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76"/>
        <w:jc w:val="center"/>
      </w:pPr>
      <w:r>
        <w:rPr>
          <w:rFonts w:ascii="Calibri" w:cs="Calibri" w:eastAsia="Calibri" w:hAnsi="Calibri"/>
          <w:b/>
          <w:bCs/>
          <w:color w:val="FFFFFF"/>
          <w:spacing w:val="20"/>
          <w:sz w:val="12"/>
          <w:szCs w:val="12"/>
        </w:rPr>
        <w:t xml:space="preserve"> </w:t>
      </w:r>
    </w:p>
    <w:p>
      <w:pPr>
        <w:shd w:fill="1F3864" w:val="clear"/>
        <w:spacing w:after="0" w:before="0" w:line="276"/>
        <w:jc w:val="center"/>
      </w:pPr>
      <w:r>
        <w:rPr>
          <w:rFonts w:ascii="Calibri" w:cs="Calibri" w:eastAsia="Calibri" w:hAnsi="Calibri"/>
          <w:b/>
          <w:bCs/>
          <w:color w:val="FFFFFF"/>
          <w:spacing w:val="20"/>
          <w:sz w:val="30"/>
          <w:szCs w:val="30"/>
        </w:rPr>
        <w:t xml:space="preserve">[INSTITUTION NAME]</w:t>
      </w:r>
    </w:p>
    <w:p>
      <w:pPr>
        <w:shd w:fill="1F3864" w:val="clear"/>
        <w:spacing w:after="0" w:before="0" w:line="276"/>
        <w:jc w:val="center"/>
      </w:pPr>
      <w:r>
        <w:rPr>
          <w:rFonts w:ascii="Calibri" w:cs="Calibri" w:eastAsia="Calibri" w:hAnsi="Calibri"/>
          <w:b/>
          <w:bCs/>
          <w:color w:val="FFFFFF"/>
          <w:spacing w:val="30"/>
          <w:sz w:val="20"/>
          <w:szCs w:val="20"/>
        </w:rPr>
        <w:t xml:space="preserve">[DEPARTMENT OF COMPUTER SCIENCE AND ENGINEERING]</w:t>
      </w:r>
    </w:p>
    <w:p>
      <w:pPr>
        <w:shd w:fill="1F3864" w:val="clear"/>
        <w:spacing w:after="0" w:before="0" w:line="276"/>
        <w:jc w:val="center"/>
      </w:pPr>
      <w:r>
        <w:rPr>
          <w:rFonts w:ascii="Calibri" w:cs="Calibri" w:eastAsia="Calibri" w:hAnsi="Calibri"/>
          <w:b/>
          <w:bCs/>
          <w:color w:val="FFFFFF"/>
          <w:spacing w:val="20"/>
          <w:sz w:val="12"/>
          <w:szCs w:val="12"/>
        </w:rPr>
        <w:t xml:space="preserve"> </w:t>
      </w:r>
    </w:p>
    <w:p>
      <w:pPr>
        <w:pBdr>
          <w:top w:val="single" w:color="C9A227" w:sz="24" w:space="1"/>
        </w:pBdr>
        <w:spacing w:after="0"/>
      </w:pPr>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200" w:before="0" w:line="300"/>
        <w:jc w:val="center"/>
      </w:pPr>
      <w:r>
        <w:rPr>
          <w:rFonts w:ascii="Calibri" w:cs="Calibri" w:eastAsia="Calibri" w:hAnsi="Calibri"/>
          <w:b/>
          <w:bCs/>
          <w:color w:val="C9A227"/>
          <w:spacing w:val="120"/>
          <w:sz w:val="22"/>
          <w:szCs w:val="22"/>
        </w:rPr>
        <w:t xml:space="preserve">A PROJECT REPORT ON</w:t>
      </w:r>
    </w:p>
    <w:p>
      <w:pPr>
        <w:spacing w:after="200" w:before="0" w:line="300"/>
        <w:jc w:val="center"/>
      </w:pPr>
      <w:r>
        <w:rPr>
          <w:rFonts w:ascii="Calibri" w:cs="Calibri" w:eastAsia="Calibri" w:hAnsi="Calibri"/>
          <w:b/>
          <w:bCs/>
          <w:color w:val="1F3864"/>
          <w:sz w:val="40"/>
          <w:szCs w:val="40"/>
        </w:rPr>
        <w:t xml:space="preserve">A POLICY-BOUNDED AGENTIC FRAMEWORK FOR AUTONOMOUS GOVERNANCE OF CLOUD DATA PIPELINES</w:t>
      </w:r>
    </w:p>
    <w:p>
      <w:pPr>
        <w:pBdr>
          <w:bottom w:val="single" w:color="C9A227" w:sz="12" w:space="1"/>
        </w:pBdr>
        <w:spacing w:after="480"/>
        <w:jc w:val="center"/>
      </w:pPr>
      <w:r>
        <w:rPr>
          <w:rFonts w:ascii="Times New Roman" w:cs="Times New Roman" w:eastAsia="Times New Roman" w:hAnsi="Times New Roman"/>
        </w:rPr>
        <w:t xml:space="preserve"/>
      </w:r>
    </w:p>
    <w:p>
      <w:pPr>
        <w:spacing w:after="160" w:before="0" w:line="300"/>
        <w:jc w:val="center"/>
      </w:pPr>
      <w:r>
        <w:rPr>
          <w:rFonts w:ascii="Times New Roman" w:cs="Times New Roman" w:eastAsia="Times New Roman" w:hAnsi="Times New Roman"/>
          <w:i/>
          <w:iCs/>
          <w:color w:val="595959"/>
          <w:sz w:val="22"/>
          <w:szCs w:val="22"/>
        </w:rPr>
        <w:t xml:space="preserve">Submitted by</w:t>
      </w:r>
    </w:p>
    <w:p>
      <w:pPr>
        <w:spacing w:after="60" w:before="0" w:line="276"/>
        <w:jc w:val="center"/>
      </w:pPr>
      <w:r>
        <w:rPr>
          <w:rFonts w:ascii="Times New Roman" w:cs="Times New Roman" w:eastAsia="Times New Roman" w:hAnsi="Times New Roman"/>
          <w:b/>
          <w:bCs/>
          <w:color w:val="1F3864"/>
          <w:sz w:val="24"/>
          <w:szCs w:val="24"/>
        </w:rPr>
        <w:t xml:space="preserve">B SAI KRISHNA</w:t>
      </w:r>
      <w:r>
        <w:rPr>
          <w:rFonts w:ascii="Times New Roman" w:cs="Times New Roman" w:eastAsia="Times New Roman" w:hAnsi="Times New Roman"/>
          <w:color w:val="595959"/>
          <w:sz w:val="22"/>
          <w:szCs w:val="22"/>
        </w:rPr>
        <w:t xml:space="preserve">   [Register No.]</w:t>
      </w:r>
    </w:p>
    <w:p>
      <w:pPr>
        <w:spacing w:after="60" w:before="0" w:line="276"/>
        <w:jc w:val="center"/>
      </w:pPr>
      <w:r>
        <w:rPr>
          <w:rFonts w:ascii="Times New Roman" w:cs="Times New Roman" w:eastAsia="Times New Roman" w:hAnsi="Times New Roman"/>
          <w:b/>
          <w:bCs/>
          <w:color w:val="1F3864"/>
          <w:sz w:val="24"/>
          <w:szCs w:val="24"/>
        </w:rPr>
        <w:t xml:space="preserve">VIGNES VM</w:t>
      </w:r>
      <w:r>
        <w:rPr>
          <w:rFonts w:ascii="Times New Roman" w:cs="Times New Roman" w:eastAsia="Times New Roman" w:hAnsi="Times New Roman"/>
          <w:color w:val="595959"/>
          <w:sz w:val="22"/>
          <w:szCs w:val="22"/>
        </w:rPr>
        <w:t xml:space="preserve">   [Register No.]</w:t>
      </w:r>
    </w:p>
    <w:p>
      <w:pPr>
        <w:spacing w:after="60" w:before="0" w:line="276"/>
        <w:jc w:val="center"/>
      </w:pPr>
      <w:r>
        <w:rPr>
          <w:rFonts w:ascii="Times New Roman" w:cs="Times New Roman" w:eastAsia="Times New Roman" w:hAnsi="Times New Roman"/>
          <w:b/>
          <w:bCs/>
          <w:color w:val="1F3864"/>
          <w:sz w:val="24"/>
          <w:szCs w:val="24"/>
        </w:rPr>
        <w:t xml:space="preserve">I MAHALAKSHMI</w:t>
      </w:r>
      <w:r>
        <w:rPr>
          <w:rFonts w:ascii="Times New Roman" w:cs="Times New Roman" w:eastAsia="Times New Roman" w:hAnsi="Times New Roman"/>
          <w:color w:val="595959"/>
          <w:sz w:val="22"/>
          <w:szCs w:val="22"/>
        </w:rPr>
        <w:t xml:space="preserve">   [Register No.]</w:t>
      </w:r>
    </w:p>
    <w:p>
      <w:pPr>
        <w:spacing w:after="60" w:before="0" w:line="276"/>
        <w:jc w:val="center"/>
      </w:pPr>
      <w:r>
        <w:rPr>
          <w:rFonts w:ascii="Times New Roman" w:cs="Times New Roman" w:eastAsia="Times New Roman" w:hAnsi="Times New Roman"/>
          <w:b/>
          <w:bCs/>
          <w:color w:val="1F3864"/>
          <w:sz w:val="24"/>
          <w:szCs w:val="24"/>
        </w:rPr>
        <w:t xml:space="preserve">SRI HARINI MP</w:t>
      </w:r>
      <w:r>
        <w:rPr>
          <w:rFonts w:ascii="Times New Roman" w:cs="Times New Roman" w:eastAsia="Times New Roman" w:hAnsi="Times New Roman"/>
          <w:color w:val="595959"/>
          <w:sz w:val="22"/>
          <w:szCs w:val="22"/>
        </w:rPr>
        <w:t xml:space="preserve">   [Register No.]</w:t>
      </w:r>
    </w:p>
    <w:p>
      <w:r>
        <w:rPr>
          <w:rFonts w:ascii="Times New Roman" w:cs="Times New Roman" w:eastAsia="Times New Roman" w:hAnsi="Times New Roman"/>
        </w:rPr>
        <w:t xml:space="preserve"/>
      </w:r>
    </w:p>
    <w:p>
      <w:pPr>
        <w:spacing w:after="120" w:before="0" w:line="300"/>
        <w:jc w:val="center"/>
      </w:pPr>
      <w:r>
        <w:rPr>
          <w:rFonts w:ascii="Times New Roman" w:cs="Times New Roman" w:eastAsia="Times New Roman" w:hAnsi="Times New Roman"/>
          <w:i/>
          <w:iCs/>
          <w:color w:val="595959"/>
          <w:sz w:val="22"/>
          <w:szCs w:val="22"/>
        </w:rPr>
        <w:t xml:space="preserve">in partial fulfilment of the requirements for the award of the degree of</w:t>
      </w:r>
    </w:p>
    <w:p>
      <w:pPr>
        <w:spacing w:after="60" w:before="0" w:line="300"/>
        <w:jc w:val="center"/>
      </w:pPr>
      <w:r>
        <w:rPr>
          <w:rFonts w:ascii="Calibri" w:cs="Calibri" w:eastAsia="Calibri" w:hAnsi="Calibri"/>
          <w:b/>
          <w:bCs/>
          <w:color w:val="2F5597"/>
          <w:sz w:val="26"/>
          <w:szCs w:val="26"/>
        </w:rPr>
        <w:t xml:space="preserve">[BACHELOR OF TECHNOLOGY]</w:t>
      </w:r>
    </w:p>
    <w:p>
      <w:pPr>
        <w:spacing w:after="60" w:before="0" w:line="300"/>
        <w:jc w:val="center"/>
      </w:pPr>
      <w:r>
        <w:rPr>
          <w:rFonts w:ascii="Times New Roman" w:cs="Times New Roman" w:eastAsia="Times New Roman" w:hAnsi="Times New Roman"/>
          <w:i/>
          <w:iCs/>
          <w:color w:val="595959"/>
          <w:sz w:val="22"/>
          <w:szCs w:val="22"/>
        </w:rPr>
        <w:t xml:space="preserve">in</w:t>
      </w:r>
    </w:p>
    <w:p>
      <w:pPr>
        <w:spacing w:after="360" w:before="0" w:line="300"/>
        <w:jc w:val="center"/>
      </w:pPr>
      <w:r>
        <w:rPr>
          <w:rFonts w:ascii="Calibri" w:cs="Calibri" w:eastAsia="Calibri" w:hAnsi="Calibri"/>
          <w:b/>
          <w:bCs/>
          <w:color w:val="2F5597"/>
          <w:sz w:val="26"/>
          <w:szCs w:val="26"/>
        </w:rPr>
        <w:t xml:space="preserve">[COMPUTER SCIENCE AND ENGINEERING]</w:t>
      </w:r>
    </w:p>
    <w:p>
      <w:pPr>
        <w:spacing w:after="80" w:before="0" w:line="300"/>
        <w:jc w:val="center"/>
      </w:pPr>
      <w:r>
        <w:rPr>
          <w:rFonts w:ascii="Times New Roman" w:cs="Times New Roman" w:eastAsia="Times New Roman" w:hAnsi="Times New Roman"/>
          <w:i/>
          <w:iCs/>
          <w:color w:val="595959"/>
          <w:sz w:val="22"/>
          <w:szCs w:val="22"/>
        </w:rPr>
        <w:t xml:space="preserve">Under the guidance of</w:t>
      </w:r>
    </w:p>
    <w:p>
      <w:pPr>
        <w:spacing w:after="600" w:before="0" w:line="300"/>
        <w:jc w:val="center"/>
      </w:pPr>
      <w:r>
        <w:rPr>
          <w:rFonts w:ascii="Times New Roman" w:cs="Times New Roman" w:eastAsia="Times New Roman" w:hAnsi="Times New Roman"/>
          <w:b/>
          <w:bCs/>
          <w:color w:val="1F3864"/>
          <w:sz w:val="24"/>
          <w:szCs w:val="24"/>
        </w:rPr>
        <w:t xml:space="preserve">[Guide Name], [Designation]</w:t>
      </w:r>
    </w:p>
    <w:p>
      <w:pPr>
        <w:pBdr>
          <w:bottom w:val="single" w:color="C9A227" w:sz="24" w:space="1"/>
        </w:pBdr>
        <w:spacing w:after="0"/>
      </w:pPr>
      <w:r>
        <w:rPr>
          <w:rFonts w:ascii="Times New Roman" w:cs="Times New Roman" w:eastAsia="Times New Roman" w:hAnsi="Times New Roman"/>
        </w:rPr>
        <w:t xml:space="preserve"/>
      </w:r>
    </w:p>
    <w:p>
      <w:pPr>
        <w:shd w:fill="1F3864" w:val="clear"/>
        <w:spacing w:after="0" w:before="0" w:line="276"/>
        <w:jc w:val="center"/>
      </w:pPr>
      <w:r>
        <w:rPr>
          <w:rFonts w:ascii="Calibri" w:cs="Calibri" w:eastAsia="Calibri" w:hAnsi="Calibri"/>
          <w:b/>
          <w:bCs/>
          <w:color w:val="FFFFFF"/>
          <w:spacing w:val="20"/>
          <w:sz w:val="12"/>
          <w:szCs w:val="12"/>
        </w:rPr>
        <w:t xml:space="preserve"> </w:t>
      </w:r>
    </w:p>
    <w:p>
      <w:pPr>
        <w:shd w:fill="1F3864" w:val="clear"/>
        <w:spacing w:after="0" w:before="0" w:line="276"/>
        <w:jc w:val="center"/>
      </w:pPr>
      <w:r>
        <w:rPr>
          <w:rFonts w:ascii="Calibri" w:cs="Calibri" w:eastAsia="Calibri" w:hAnsi="Calibri"/>
          <w:b/>
          <w:bCs/>
          <w:color w:val="FFFFFF"/>
          <w:spacing w:val="40"/>
          <w:sz w:val="22"/>
          <w:szCs w:val="22"/>
        </w:rPr>
        <w:t xml:space="preserve">[CITY]   •   [MONTH YEAR]</w:t>
      </w:r>
    </w:p>
    <w:p>
      <w:pPr>
        <w:shd w:fill="1F3864" w:val="clear"/>
        <w:spacing w:after="0" w:before="0" w:line="276"/>
        <w:jc w:val="center"/>
      </w:pPr>
      <w:r>
        <w:rPr>
          <w:rFonts w:ascii="Calibri" w:cs="Calibri" w:eastAsia="Calibri" w:hAnsi="Calibri"/>
          <w:b/>
          <w:bCs/>
          <w:color w:val="FFFFFF"/>
          <w:spacing w:val="20"/>
          <w:sz w:val="12"/>
          <w:szCs w:val="12"/>
        </w:rPr>
        <w:t xml:space="preserve"> </w:t>
      </w:r>
    </w:p>
    <w:p>
      <w:pPr>
        <w:sectPr>
          <w:pgSz w:w="11906" w:h="16838" w:orient="portrait"/>
          <w:pgMar w:top="1440" w:right="1440" w:bottom="1440" w:left="2160" w:header="708" w:footer="708" w:gutter="0"/>
          <w:pgNumType/>
          <w:docGrid w:linePitch="360"/>
        </w:sectPr>
      </w:pPr>
    </w:p>
    <w:p>
      <w:pPr>
        <w:pStyle w:val="Heading1"/>
        <w:pBdr>
          <w:bottom w:val="single" w:color="C9A227" w:sz="12" w:space="8"/>
        </w:pBdr>
        <w:jc w:val="center"/>
      </w:pPr>
      <w:r>
        <w:rPr>
          <w:rFonts w:ascii="Calibri" w:cs="Calibri" w:eastAsia="Calibri" w:hAnsi="Calibri"/>
          <w:spacing w:val="40"/>
        </w:rPr>
        <w:t xml:space="preserve">BONAFIDE CERTIFICATE</w:t>
      </w:r>
    </w:p>
    <w:p>
      <w:pPr>
        <w:spacing w:after="240" w:before="0" w:line="300"/>
        <w:jc w:val="center"/>
      </w:pPr>
      <w:r>
        <w:rPr>
          <w:rFonts w:ascii="Times New Roman" w:cs="Times New Roman" w:eastAsia="Times New Roman" w:hAnsi="Times New Roman"/>
          <w:b/>
          <w:bCs/>
          <w:color w:val="2F5597"/>
        </w:rPr>
        <w:t xml:space="preserve">[INSTITUTION NAME]</w:t>
      </w:r>
    </w:p>
    <w:p>
      <w:pPr>
        <w:spacing w:after="160" w:before="0" w:line="360"/>
        <w:jc w:val="both"/>
      </w:pPr>
      <w:r>
        <w:rPr>
          <w:rFonts w:ascii="Times New Roman" w:cs="Times New Roman" w:eastAsia="Times New Roman" w:hAnsi="Times New Roman"/>
        </w:rPr>
        <w:t xml:space="preserve">Certified that this project report titled </w:t>
      </w:r>
      <w:r>
        <w:rPr>
          <w:rFonts w:ascii="Times New Roman" w:cs="Times New Roman" w:eastAsia="Times New Roman" w:hAnsi="Times New Roman"/>
          <w:b/>
          <w:bCs/>
        </w:rPr>
        <w:t xml:space="preserve">“A Policy-Bounded Agentic Framework for Autonomous Governance of Cloud Data Pipelines”</w:t>
      </w:r>
      <w:r>
        <w:rPr>
          <w:rFonts w:ascii="Times New Roman" w:cs="Times New Roman" w:eastAsia="Times New Roman" w:hAnsi="Times New Roman"/>
        </w:rPr>
        <w:t xml:space="preserve"> is the bonafide work of B Sai Krishna ([Register No.]), Vignes VM ([Register No.]), I Mahalakshmi ([Register No.]), Sri Harini MP ([Register No.]), who carried out the project work under my supervision. Certified further that, to the best of my knowledge, the work reported herein does not form part of any other project report or dissertation on the basis of which a degree or award was conferred on an earlier occasion on these or any other candidates.</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tabs>
          <w:tab w:val="right" w:pos="8306"/>
        </w:tabs>
        <w:spacing w:after="40"/>
      </w:pPr>
      <w:r>
        <w:rPr>
          <w:rFonts w:ascii="Times New Roman" w:cs="Times New Roman" w:eastAsia="Times New Roman" w:hAnsi="Times New Roman"/>
          <w:b/>
          <w:bCs/>
        </w:rPr>
        <w:t xml:space="preserve">SIGNATURE</w:t>
        <w:tab/>
        <w:t xml:space="preserve">SIGNATURE</w:t>
      </w:r>
    </w:p>
    <w:p>
      <w:pPr>
        <w:tabs>
          <w:tab w:val="right" w:pos="8306"/>
        </w:tabs>
        <w:spacing w:after="40"/>
      </w:pPr>
      <w:r>
        <w:rPr>
          <w:rFonts w:ascii="Times New Roman" w:cs="Times New Roman" w:eastAsia="Times New Roman" w:hAnsi="Times New Roman"/>
        </w:rPr>
        <w:t xml:space="preserve">[Head of the Department]</w:t>
        <w:tab/>
        <w:t xml:space="preserve">[Guide Name]</w:t>
      </w:r>
    </w:p>
    <w:p>
      <w:pPr>
        <w:tabs>
          <w:tab w:val="right" w:pos="8306"/>
        </w:tabs>
        <w:spacing w:after="40"/>
      </w:pPr>
      <w:r>
        <w:rPr>
          <w:rFonts w:ascii="Times New Roman" w:cs="Times New Roman" w:eastAsia="Times New Roman" w:hAnsi="Times New Roman"/>
        </w:rPr>
        <w:t xml:space="preserve">HEAD OF THE DEPARTMENT</w:t>
        <w:tab/>
        <w:t xml:space="preserve">SUPERVISOR</w:t>
      </w:r>
    </w:p>
    <w:p>
      <w:pPr>
        <w:tabs>
          <w:tab w:val="right" w:pos="8306"/>
        </w:tabs>
        <w:spacing w:after="40"/>
      </w:pPr>
      <w:r>
        <w:rPr>
          <w:rFonts w:ascii="Times New Roman" w:cs="Times New Roman" w:eastAsia="Times New Roman" w:hAnsi="Times New Roman"/>
        </w:rPr>
        <w:t xml:space="preserve">Department of COMPUTER SCIENCE AND ENGINEERING</w:t>
        <w:tab/>
        <w:t xml:space="preserve">[Designation]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60" w:before="0" w:line="360"/>
        <w:jc w:val="left"/>
      </w:pPr>
      <w:r>
        <w:rPr>
          <w:rFonts w:ascii="Times New Roman" w:cs="Times New Roman" w:eastAsia="Times New Roman" w:hAnsi="Times New Roman"/>
        </w:rPr>
        <w:t xml:space="preserve">Submitted for the project viva-voce examination held on ____________________.</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tabs>
          <w:tab w:val="right" w:pos="8306"/>
        </w:tabs>
        <w:spacing w:after="40"/>
      </w:pPr>
      <w:r>
        <w:rPr>
          <w:rFonts w:ascii="Times New Roman" w:cs="Times New Roman" w:eastAsia="Times New Roman" w:hAnsi="Times New Roman"/>
          <w:b/>
          <w:bCs/>
        </w:rPr>
        <w:t xml:space="preserve">INTERNAL EXAMINER</w:t>
        <w:tab/>
        <w:t xml:space="preserve">EXTERNAL EXAMINER</w:t>
      </w:r>
    </w:p>
    <w:p>
      <w:pPr>
        <w:pStyle w:val="Heading1"/>
        <w:pageBreakBefore/>
        <w:pBdr>
          <w:bottom w:val="single" w:color="C9A227" w:sz="12" w:space="8"/>
        </w:pBdr>
        <w:jc w:val="center"/>
      </w:pPr>
      <w:r>
        <w:rPr>
          <w:rFonts w:ascii="Calibri" w:cs="Calibri" w:eastAsia="Calibri" w:hAnsi="Calibri"/>
          <w:spacing w:val="40"/>
        </w:rPr>
        <w:t xml:space="preserve">DECLARATION</w:t>
      </w:r>
    </w:p>
    <w:p>
      <w:pPr>
        <w:spacing w:after="160" w:before="0" w:line="360"/>
        <w:jc w:val="both"/>
      </w:pPr>
      <w:r>
        <w:rPr>
          <w:rFonts w:ascii="Times New Roman" w:cs="Times New Roman" w:eastAsia="Times New Roman" w:hAnsi="Times New Roman"/>
        </w:rPr>
        <w:t xml:space="preserve">We hereby declare that the project report titled </w:t>
      </w:r>
      <w:r>
        <w:rPr>
          <w:rFonts w:ascii="Times New Roman" w:cs="Times New Roman" w:eastAsia="Times New Roman" w:hAnsi="Times New Roman"/>
          <w:b/>
          <w:bCs/>
        </w:rPr>
        <w:t xml:space="preserve">“A Policy-Bounded Agentic Framework for Autonomous Governance of Cloud Data Pipelines”</w:t>
      </w:r>
      <w:r>
        <w:rPr>
          <w:rFonts w:ascii="Times New Roman" w:cs="Times New Roman" w:eastAsia="Times New Roman" w:hAnsi="Times New Roman"/>
        </w:rPr>
        <w:t xml:space="preserve"> submitted to [INSTITUTION NAME] in partial fulfilment of the requirements for the award of the degree of [BACHELOR OF TECHNOLOGY] in [COMPUTER SCIENCE AND ENGINEERING] is a record of original work carried out by us under the guidance of [Guide Name]. The work has not been submitted, in whole or in part, for the award of any other degree or diploma at this or any other institution.</w:t>
      </w:r>
    </w:p>
    <w:p>
      <w:pPr>
        <w:spacing w:after="160" w:before="0" w:line="360"/>
        <w:jc w:val="both"/>
      </w:pPr>
      <w:r>
        <w:rPr>
          <w:rFonts w:ascii="Times New Roman" w:cs="Times New Roman" w:eastAsia="Times New Roman" w:hAnsi="Times New Roman"/>
        </w:rPr>
        <w:t xml:space="preserve">Generative AI tools were used to assist with software development, analysis scripts, and editing of the text, as disclosed in the Acknowledgement. We reviewed all AI-assisted output, verified every reported result against the committed experiment data, and take full responsibility for the content of this report.</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tabs>
          <w:tab w:val="right" w:pos="8306"/>
        </w:tabs>
        <w:spacing w:after="40"/>
      </w:pPr>
      <w:r>
        <w:rPr>
          <w:rFonts w:ascii="Times New Roman" w:cs="Times New Roman" w:eastAsia="Times New Roman" w:hAnsi="Times New Roman"/>
        </w:rPr>
        <w:t xml:space="preserve">B Sai Krishna  [Register No.]</w:t>
        <w:tab/>
        <w:t xml:space="preserve">Signature: ____________________</w:t>
      </w:r>
    </w:p>
    <w:p>
      <w:pPr>
        <w:tabs>
          <w:tab w:val="right" w:pos="8306"/>
        </w:tabs>
        <w:spacing w:after="40"/>
      </w:pPr>
      <w:r>
        <w:rPr>
          <w:rFonts w:ascii="Times New Roman" w:cs="Times New Roman" w:eastAsia="Times New Roman" w:hAnsi="Times New Roman"/>
        </w:rPr>
        <w:t xml:space="preserve">Vignes VM  [Register No.]</w:t>
        <w:tab/>
        <w:t xml:space="preserve">Signature: ____________________</w:t>
      </w:r>
    </w:p>
    <w:p>
      <w:pPr>
        <w:tabs>
          <w:tab w:val="right" w:pos="8306"/>
        </w:tabs>
        <w:spacing w:after="40"/>
      </w:pPr>
      <w:r>
        <w:rPr>
          <w:rFonts w:ascii="Times New Roman" w:cs="Times New Roman" w:eastAsia="Times New Roman" w:hAnsi="Times New Roman"/>
        </w:rPr>
        <w:t xml:space="preserve">I Mahalakshmi  [Register No.]</w:t>
        <w:tab/>
        <w:t xml:space="preserve">Signature: ____________________</w:t>
      </w:r>
    </w:p>
    <w:p>
      <w:pPr>
        <w:tabs>
          <w:tab w:val="right" w:pos="8306"/>
        </w:tabs>
        <w:spacing w:after="40"/>
      </w:pPr>
      <w:r>
        <w:rPr>
          <w:rFonts w:ascii="Times New Roman" w:cs="Times New Roman" w:eastAsia="Times New Roman" w:hAnsi="Times New Roman"/>
        </w:rPr>
        <w:t xml:space="preserve">Sri Harini MP  [Register No.]</w:t>
        <w:tab/>
        <w:t xml:space="preserve">Signature: ____________________</w:t>
      </w:r>
    </w:p>
    <w:p>
      <w:r>
        <w:rPr>
          <w:rFonts w:ascii="Times New Roman" w:cs="Times New Roman" w:eastAsia="Times New Roman" w:hAnsi="Times New Roman"/>
        </w:rPr>
        <w:t xml:space="preserve"/>
      </w:r>
    </w:p>
    <w:p>
      <w:pPr>
        <w:spacing w:after="40" w:before="0" w:line="360"/>
        <w:jc w:val="left"/>
      </w:pPr>
      <w:r>
        <w:rPr>
          <w:rFonts w:ascii="Times New Roman" w:cs="Times New Roman" w:eastAsia="Times New Roman" w:hAnsi="Times New Roman"/>
        </w:rPr>
        <w:t xml:space="preserve">Place: [CITY]</w:t>
      </w:r>
    </w:p>
    <w:p>
      <w:pPr>
        <w:spacing w:after="160" w:before="0" w:line="360"/>
        <w:jc w:val="left"/>
      </w:pPr>
      <w:r>
        <w:rPr>
          <w:rFonts w:ascii="Times New Roman" w:cs="Times New Roman" w:eastAsia="Times New Roman" w:hAnsi="Times New Roman"/>
        </w:rPr>
        <w:t xml:space="preserve">Date:</w:t>
      </w:r>
    </w:p>
    <w:p>
      <w:pPr>
        <w:pStyle w:val="Heading1"/>
        <w:pageBreakBefore/>
        <w:pBdr>
          <w:bottom w:val="single" w:color="C9A227" w:sz="12" w:space="8"/>
        </w:pBdr>
        <w:jc w:val="center"/>
      </w:pPr>
      <w:r>
        <w:rPr>
          <w:rFonts w:ascii="Calibri" w:cs="Calibri" w:eastAsia="Calibri" w:hAnsi="Calibri"/>
          <w:spacing w:val="40"/>
        </w:rPr>
        <w:t xml:space="preserve">ACKNOWLEDGEMENT</w:t>
      </w:r>
    </w:p>
    <w:p>
      <w:pPr>
        <w:spacing w:after="160" w:before="0" w:line="360"/>
        <w:jc w:val="both"/>
      </w:pPr>
      <w:r>
        <w:rPr>
          <w:rFonts w:ascii="Times New Roman" w:cs="Times New Roman" w:eastAsia="Times New Roman" w:hAnsi="Times New Roman"/>
        </w:rPr>
        <w:t xml:space="preserve">We express our sincere gratitude to the management of [INSTITUTION NAME] for providing the facilities required to carry out this project.</w:t>
      </w:r>
    </w:p>
    <w:p>
      <w:pPr>
        <w:spacing w:after="160" w:before="0" w:line="360"/>
        <w:jc w:val="both"/>
      </w:pPr>
      <w:r>
        <w:rPr>
          <w:rFonts w:ascii="Times New Roman" w:cs="Times New Roman" w:eastAsia="Times New Roman" w:hAnsi="Times New Roman"/>
        </w:rPr>
        <w:t xml:space="preserve">We thank [Head of the Department], Head of the Department Of Computer Science And Engineering, for the encouragement and support extended to us throughout the course of the work.</w:t>
      </w:r>
    </w:p>
    <w:p>
      <w:pPr>
        <w:spacing w:after="160" w:before="0" w:line="360"/>
        <w:jc w:val="both"/>
      </w:pPr>
      <w:r>
        <w:rPr>
          <w:rFonts w:ascii="Times New Roman" w:cs="Times New Roman" w:eastAsia="Times New Roman" w:hAnsi="Times New Roman"/>
        </w:rPr>
        <w:t xml:space="preserve">We are deeply indebted to our guide, [Guide Name], [Designation], for valuable guidance, critical review of the experimental design and the manuscript, and constant motivation at every stage of this project.</w:t>
      </w:r>
    </w:p>
    <w:p>
      <w:pPr>
        <w:spacing w:after="160" w:before="0" w:line="360"/>
        <w:jc w:val="both"/>
      </w:pPr>
      <w:r>
        <w:rPr>
          <w:rFonts w:ascii="Times New Roman" w:cs="Times New Roman" w:eastAsia="Times New Roman" w:hAnsi="Times New Roman"/>
        </w:rPr>
        <w:t xml:space="preserve">We thank the faculty members and the technical staff of the department for their help, and our families and friends for their patience and support.</w:t>
      </w:r>
    </w:p>
    <w:p>
      <w:pPr>
        <w:spacing w:after="160" w:before="0" w:line="360"/>
        <w:jc w:val="both"/>
      </w:pPr>
      <w:r>
        <w:rPr>
          <w:rFonts w:ascii="Times New Roman" w:cs="Times New Roman" w:eastAsia="Times New Roman" w:hAnsi="Times New Roman"/>
        </w:rPr>
        <w:t xml:space="preserve">Generative AI tools (Claude, Anthropic) were used to assist with software development, analysis scripts, and editing of the text. All AI-assisted output was reviewed by the authors, and every reported result was checked against the committed campaign data.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60" w:before="0" w:line="360"/>
        <w:jc w:val="right"/>
      </w:pPr>
      <w:r>
        <w:rPr>
          <w:rFonts w:ascii="Times New Roman" w:cs="Times New Roman" w:eastAsia="Times New Roman" w:hAnsi="Times New Roman"/>
        </w:rPr>
        <w:t xml:space="preserve">B Sai Krishna, Vignes VM, I Mahalakshmi, Sri Harini MP</w:t>
      </w:r>
    </w:p>
    <w:p>
      <w:pPr>
        <w:pStyle w:val="Heading1"/>
        <w:pageBreakBefore/>
        <w:pBdr>
          <w:bottom w:val="single" w:color="C9A227" w:sz="12" w:space="8"/>
        </w:pBdr>
        <w:jc w:val="center"/>
      </w:pPr>
      <w:r>
        <w:rPr>
          <w:rFonts w:ascii="Calibri" w:cs="Calibri" w:eastAsia="Calibri" w:hAnsi="Calibri"/>
          <w:spacing w:val="40"/>
        </w:rPr>
        <w:t xml:space="preserve">ABSTRACT</w:t>
      </w:r>
    </w:p>
    <w:p>
      <w:pPr>
        <w:spacing w:after="160" w:before="0" w:line="360"/>
        <w:jc w:val="both"/>
      </w:pPr>
      <w:r>
        <w:rPr>
          <w:rFonts w:ascii="Times New Roman" w:cs="Times New Roman" w:eastAsia="Times New Roman" w:hAnsi="Times New Roman"/>
        </w:rPr>
        <w:t xml:space="preserve">Cloud data pipelines fail in ordinary ways: an upstream schema changes, a source stalls, compute is starved, or ingress bursts past capacity. A recent proposal governs such pipelines with four policy-gated large language model (LLM) agents and reports substantial gains over static orchestration. The original study does not disclose sufficient implementation detail to determine the exact model-in-the-loop evaluation condition behind those gains. In this project we implement the system as a seven-layer, policy-bounded agentic framework and evaluate it with a real, remote language model.</w:t>
      </w:r>
    </w:p>
    <w:p>
      <w:pPr>
        <w:spacing w:after="160" w:before="0" w:line="360"/>
        <w:jc w:val="both"/>
      </w:pPr>
      <w:r>
        <w:rPr>
          <w:rFonts w:ascii="Times New Roman" w:cs="Times New Roman" w:eastAsia="Times New Roman" w:hAnsi="Times New Roman"/>
        </w:rPr>
        <w:t xml:space="preserve">The evaluation is a 560-run campaign that crosses four injected fault scenarios with eight configurations: three non-agent comparators, the full system, and four single-agent ablations. With a live model, the full system changes mean time to recovery (MTTR) by −38% and cost by −56% relative to static orchestration, with most of the cost change coming from an assumed provisioning gap, yet it increases manual interventions by 500%. Two idealized non-LLM baselines recover faster still, changing MTTR by −92% and −86%. Under a deterministic mock instead of the live model, the same configuration recovers in 0.193 s, about three orders of magnitude faster, and its correct-mitigation score rises from 0.42 to 1.00, so a mock evaluation and a live evaluation of one system support different conclusions.</w:t>
      </w:r>
    </w:p>
    <w:p>
      <w:pPr>
        <w:spacing w:after="160" w:before="0" w:line="360"/>
        <w:jc w:val="both"/>
      </w:pPr>
      <w:r>
        <w:rPr>
          <w:rFonts w:ascii="Times New Roman" w:cs="Times New Roman" w:eastAsia="Times New Roman" w:hAnsi="Times New Roman"/>
        </w:rPr>
        <w:t xml:space="preserve">Graded against an oracle independent of the policy code, a generated adversarial corpus of 5547 cases yields containment of at least 0.9990 after two contract-layer gaps exposed by the corpus were fixed. The evidence is bounded by a single host, synthetic data, a simulated on-call engineer, one live model family, and modelled baselines. The project also contributes a reproducible evidence pipeline in which every reported number is regenerated from committed per-run data, and seven production-hardening lessons drawn from defects the system actually exhibited.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Pr>
        <w:tc>
          <w:tcPr>
            <w:tcW w:type="dxa" w:w="8306"/>
            <w:tcBorders>
              <w:top w:val="single" w:color="1F3864" w:sz="18"/>
              <w:left w:val="single" w:color="9DC3E6" w:sz="6"/>
              <w:bottom w:val="single" w:color="9DC3E6" w:sz="6"/>
              <w:right w:val="single" w:color="9DC3E6" w:sz="6"/>
            </w:tcBorders>
            <w:shd w:fill="F3F7FC" w:val="clear"/>
            <w:tcMar>
              <w:top w:type="dxa" w:w="120"/>
              <w:left w:type="dxa" w:w="200"/>
              <w:bottom w:type="dxa" w:w="120"/>
              <w:right w:type="dxa" w:w="200"/>
            </w:tcMar>
          </w:tcPr>
          <w:p>
            <w:pPr>
              <w:spacing w:after="60"/>
            </w:pPr>
            <w:r>
              <w:rPr>
                <w:rFonts w:ascii="Calibri" w:cs="Calibri" w:eastAsia="Calibri" w:hAnsi="Calibri"/>
                <w:b/>
                <w:bCs/>
                <w:color w:val="1F3864"/>
                <w:spacing w:val="40"/>
                <w:sz w:val="20"/>
                <w:szCs w:val="20"/>
              </w:rPr>
              <w:t xml:space="preserve">KEYWORDS</w:t>
            </w:r>
          </w:p>
          <w:p>
            <w:pPr>
              <w:spacing w:line="300"/>
              <w:jc w:val="both"/>
            </w:pPr>
            <w:r>
              <w:rPr>
                <w:rFonts w:ascii="Times New Roman" w:cs="Times New Roman" w:eastAsia="Times New Roman" w:hAnsi="Times New Roman"/>
                <w:sz w:val="22"/>
                <w:szCs w:val="22"/>
              </w:rPr>
              <w:t xml:space="preserve">LLM agents, cloud data pipeline governance, policy-as-code, Open Policy Agent, AIOps, evaluation methodology, adversarial evaluation, mock-versus-live evaluation validity.</w:t>
            </w:r>
          </w:p>
        </w:tc>
      </w:tr>
    </w:tbl>
    <w:p>
      <w:pPr>
        <w:spacing w:after="160"/>
      </w:pPr>
      <w:r>
        <w:rPr>
          <w:rFonts w:ascii="Times New Roman" w:cs="Times New Roman" w:eastAsia="Times New Roman" w:hAnsi="Times New Roman"/>
        </w:rPr>
        <w:t xml:space="preserve"/>
      </w:r>
    </w:p>
    <w:p>
      <w:pPr>
        <w:pStyle w:val="Heading1"/>
        <w:pageBreakBefore/>
        <w:pBdr>
          <w:bottom w:val="single" w:color="C9A227" w:sz="12" w:space="8"/>
        </w:pBdr>
        <w:jc w:val="center"/>
      </w:pPr>
      <w:r>
        <w:rPr>
          <w:rFonts w:ascii="Calibri" w:cs="Calibri" w:eastAsia="Calibri" w:hAnsi="Calibri"/>
          <w:spacing w:val="40"/>
        </w:rPr>
        <w:t xml:space="preserve">TABLE OF CONTENTS</w:t>
      </w:r>
    </w:p>
    <w:sdt>
      <w:sdtPr>
        <w:alias w:val="Table of Contents"/>
      </w:sdtPr>
      <w:sdtContent>
        <w:p>
          <w:r>
            <w:fldChar w:fldCharType="begin" w:dirty="true"/>
            <w:instrText xml:space="preserve">TOC \h \o "1-3"</w:instrText>
            <w:fldChar w:fldCharType="separate"/>
          </w:r>
        </w:p>
        <w:p>
          <w:pPr>
            <w:spacing w:after="60" w:line="276" w:lineRule="auto"/>
            <w:ind w:left="0"/>
          </w:pPr>
          <w:r>
            <w:rPr>
              <w:rFonts w:ascii="Times New Roman" w:hAnsi="Times New Roman" w:cs="Times New Roman"/>
              <w:b/>
              <w:color w:val="1F3864"/>
            </w:rPr>
            <w:t xml:space="preserve">BONAFIDE CERTIFICATE</w:t>
          </w:r>
        </w:p>
        <w:p>
          <w:pPr>
            <w:spacing w:after="60" w:line="276" w:lineRule="auto"/>
            <w:ind w:left="0"/>
          </w:pPr>
          <w:r>
            <w:rPr>
              <w:rFonts w:ascii="Times New Roman" w:hAnsi="Times New Roman" w:cs="Times New Roman"/>
              <w:b/>
              <w:color w:val="1F3864"/>
            </w:rPr>
            <w:t xml:space="preserve">DECLARATION</w:t>
          </w:r>
        </w:p>
        <w:p>
          <w:pPr>
            <w:spacing w:after="60" w:line="276" w:lineRule="auto"/>
            <w:ind w:left="0"/>
          </w:pPr>
          <w:r>
            <w:rPr>
              <w:rFonts w:ascii="Times New Roman" w:hAnsi="Times New Roman" w:cs="Times New Roman"/>
              <w:b/>
              <w:color w:val="1F3864"/>
            </w:rPr>
            <w:t xml:space="preserve">ACKNOWLEDGEMENT</w:t>
          </w:r>
        </w:p>
        <w:p>
          <w:pPr>
            <w:spacing w:after="60" w:line="276" w:lineRule="auto"/>
            <w:ind w:left="0"/>
          </w:pPr>
          <w:r>
            <w:rPr>
              <w:rFonts w:ascii="Times New Roman" w:hAnsi="Times New Roman" w:cs="Times New Roman"/>
              <w:b/>
              <w:color w:val="1F3864"/>
            </w:rPr>
            <w:t xml:space="preserve">ABSTRACT</w:t>
          </w:r>
        </w:p>
        <w:p>
          <w:pPr>
            <w:spacing w:after="60" w:line="276" w:lineRule="auto"/>
            <w:ind w:left="0"/>
          </w:pPr>
          <w:r>
            <w:rPr>
              <w:rFonts w:ascii="Times New Roman" w:hAnsi="Times New Roman" w:cs="Times New Roman"/>
              <w:b/>
              <w:color w:val="1F3864"/>
            </w:rPr>
            <w:t xml:space="preserve">TABLE OF CONTENTS</w:t>
          </w:r>
        </w:p>
        <w:p>
          <w:pPr>
            <w:spacing w:after="60" w:line="276" w:lineRule="auto"/>
            <w:ind w:left="0"/>
          </w:pPr>
          <w:r>
            <w:rPr>
              <w:rFonts w:ascii="Times New Roman" w:hAnsi="Times New Roman" w:cs="Times New Roman"/>
              <w:b/>
              <w:color w:val="1F3864"/>
            </w:rPr>
            <w:t xml:space="preserve">LIST OF FIGURES</w:t>
          </w:r>
        </w:p>
        <w:p>
          <w:pPr>
            <w:spacing w:after="60" w:line="276" w:lineRule="auto"/>
            <w:ind w:left="0"/>
          </w:pPr>
          <w:r>
            <w:rPr>
              <w:rFonts w:ascii="Times New Roman" w:hAnsi="Times New Roman" w:cs="Times New Roman"/>
              <w:b/>
              <w:color w:val="1F3864"/>
            </w:rPr>
            <w:t xml:space="preserve">LIST OF TABLES</w:t>
          </w:r>
        </w:p>
        <w:p>
          <w:pPr>
            <w:spacing w:after="60" w:line="276" w:lineRule="auto"/>
            <w:ind w:left="0"/>
          </w:pPr>
          <w:r>
            <w:rPr>
              <w:rFonts w:ascii="Times New Roman" w:hAnsi="Times New Roman" w:cs="Times New Roman"/>
              <w:b/>
              <w:color w:val="1F3864"/>
            </w:rPr>
            <w:t xml:space="preserve">LIST OF ABBREVIATIONS</w:t>
          </w:r>
        </w:p>
        <w:p>
          <w:pPr>
            <w:spacing w:after="60" w:line="276" w:lineRule="auto"/>
            <w:ind w:left="0"/>
          </w:pPr>
          <w:r>
            <w:rPr>
              <w:rFonts w:ascii="Times New Roman" w:hAnsi="Times New Roman" w:cs="Times New Roman"/>
              <w:b/>
              <w:color w:val="1F3864"/>
            </w:rPr>
            <w:t xml:space="preserve">1. INTRODUCTION</w:t>
          </w:r>
        </w:p>
        <w:p>
          <w:pPr>
            <w:spacing w:after="60" w:line="276" w:lineRule="auto"/>
            <w:ind w:left="360"/>
          </w:pPr>
          <w:r>
            <w:rPr>
              <w:rFonts w:ascii="Times New Roman" w:hAnsi="Times New Roman" w:cs="Times New Roman"/>
              <w:color w:val="000000"/>
            </w:rPr>
            <w:t xml:space="preserve">1.1 Background</w:t>
          </w:r>
        </w:p>
        <w:p>
          <w:pPr>
            <w:spacing w:after="60" w:line="276" w:lineRule="auto"/>
            <w:ind w:left="360"/>
          </w:pPr>
          <w:r>
            <w:rPr>
              <w:rFonts w:ascii="Times New Roman" w:hAnsi="Times New Roman" w:cs="Times New Roman"/>
              <w:color w:val="000000"/>
            </w:rPr>
            <w:t xml:space="preserve">1.2 Motivation</w:t>
          </w:r>
        </w:p>
        <w:p>
          <w:pPr>
            <w:spacing w:after="60" w:line="276" w:lineRule="auto"/>
            <w:ind w:left="360"/>
          </w:pPr>
          <w:r>
            <w:rPr>
              <w:rFonts w:ascii="Times New Roman" w:hAnsi="Times New Roman" w:cs="Times New Roman"/>
              <w:color w:val="000000"/>
            </w:rPr>
            <w:t xml:space="preserve">1.3 Problem Statement</w:t>
          </w:r>
        </w:p>
        <w:p>
          <w:pPr>
            <w:spacing w:after="60" w:line="276" w:lineRule="auto"/>
            <w:ind w:left="360"/>
          </w:pPr>
          <w:r>
            <w:rPr>
              <w:rFonts w:ascii="Times New Roman" w:hAnsi="Times New Roman" w:cs="Times New Roman"/>
              <w:color w:val="000000"/>
            </w:rPr>
            <w:t xml:space="preserve">1.4 Objectives</w:t>
          </w:r>
        </w:p>
        <w:p>
          <w:pPr>
            <w:spacing w:after="60" w:line="276" w:lineRule="auto"/>
            <w:ind w:left="360"/>
          </w:pPr>
          <w:r>
            <w:rPr>
              <w:rFonts w:ascii="Times New Roman" w:hAnsi="Times New Roman" w:cs="Times New Roman"/>
              <w:color w:val="000000"/>
            </w:rPr>
            <w:t xml:space="preserve">1.5 Research Questions</w:t>
          </w:r>
        </w:p>
        <w:p>
          <w:pPr>
            <w:spacing w:after="60" w:line="276" w:lineRule="auto"/>
            <w:ind w:left="360"/>
          </w:pPr>
          <w:r>
            <w:rPr>
              <w:rFonts w:ascii="Times New Roman" w:hAnsi="Times New Roman" w:cs="Times New Roman"/>
              <w:color w:val="000000"/>
            </w:rPr>
            <w:t xml:space="preserve">1.6 Scope of the Project</w:t>
          </w:r>
        </w:p>
        <w:p>
          <w:pPr>
            <w:spacing w:after="60" w:line="276" w:lineRule="auto"/>
            <w:ind w:left="360"/>
          </w:pPr>
          <w:r>
            <w:rPr>
              <w:rFonts w:ascii="Times New Roman" w:hAnsi="Times New Roman" w:cs="Times New Roman"/>
              <w:color w:val="000000"/>
            </w:rPr>
            <w:t xml:space="preserve">1.7 Contributions</w:t>
          </w:r>
        </w:p>
        <w:p>
          <w:pPr>
            <w:spacing w:after="60" w:line="276" w:lineRule="auto"/>
            <w:ind w:left="360"/>
          </w:pPr>
          <w:r>
            <w:rPr>
              <w:rFonts w:ascii="Times New Roman" w:hAnsi="Times New Roman" w:cs="Times New Roman"/>
              <w:color w:val="000000"/>
            </w:rPr>
            <w:t xml:space="preserve">1.8 Organization of the Report</w:t>
          </w:r>
        </w:p>
        <w:p>
          <w:pPr>
            <w:spacing w:after="60" w:line="276" w:lineRule="auto"/>
            <w:ind w:left="0"/>
          </w:pPr>
          <w:r>
            <w:rPr>
              <w:rFonts w:ascii="Times New Roman" w:hAnsi="Times New Roman" w:cs="Times New Roman"/>
              <w:b/>
              <w:color w:val="1F3864"/>
            </w:rPr>
            <w:t xml:space="preserve">2. LITERATURE SURVEY</w:t>
          </w:r>
        </w:p>
        <w:p>
          <w:pPr>
            <w:spacing w:after="60" w:line="276" w:lineRule="auto"/>
            <w:ind w:left="360"/>
          </w:pPr>
          <w:r>
            <w:rPr>
              <w:rFonts w:ascii="Times New Roman" w:hAnsi="Times New Roman" w:cs="Times New Roman"/>
              <w:color w:val="000000"/>
            </w:rPr>
            <w:t xml:space="preserve">2.1 The Base Architecture</w:t>
          </w:r>
        </w:p>
        <w:p>
          <w:pPr>
            <w:spacing w:after="60" w:line="276" w:lineRule="auto"/>
            <w:ind w:left="360"/>
          </w:pPr>
          <w:r>
            <w:rPr>
              <w:rFonts w:ascii="Times New Roman" w:hAnsi="Times New Roman" w:cs="Times New Roman"/>
              <w:color w:val="000000"/>
            </w:rPr>
            <w:t xml:space="preserve">2.2 Workflow Orchestration and Heuristic Automation</w:t>
          </w:r>
        </w:p>
        <w:p>
          <w:pPr>
            <w:spacing w:after="60" w:line="276" w:lineRule="auto"/>
            <w:ind w:left="360"/>
          </w:pPr>
          <w:r>
            <w:rPr>
              <w:rFonts w:ascii="Times New Roman" w:hAnsi="Times New Roman" w:cs="Times New Roman"/>
              <w:color w:val="000000"/>
            </w:rPr>
            <w:t xml:space="preserve">2.3 LLM Agents for Cloud Operations</w:t>
          </w:r>
        </w:p>
        <w:p>
          <w:pPr>
            <w:spacing w:after="60" w:line="276" w:lineRule="auto"/>
            <w:ind w:left="360"/>
          </w:pPr>
          <w:r>
            <w:rPr>
              <w:rFonts w:ascii="Times New Roman" w:hAnsi="Times New Roman" w:cs="Times New Roman"/>
              <w:color w:val="000000"/>
            </w:rPr>
            <w:t xml:space="preserve">2.4 Evaluation Validity for LLM Agents</w:t>
          </w:r>
        </w:p>
        <w:p>
          <w:pPr>
            <w:spacing w:after="60" w:line="276" w:lineRule="auto"/>
            <w:ind w:left="360"/>
          </w:pPr>
          <w:r>
            <w:rPr>
              <w:rFonts w:ascii="Times New Roman" w:hAnsi="Times New Roman" w:cs="Times New Roman"/>
              <w:color w:val="000000"/>
            </w:rPr>
            <w:t xml:space="preserve">2.5 Graduated Autonomy and Runtime Policy</w:t>
          </w:r>
        </w:p>
        <w:p>
          <w:pPr>
            <w:spacing w:after="60" w:line="276" w:lineRule="auto"/>
            <w:ind w:left="360"/>
          </w:pPr>
          <w:r>
            <w:rPr>
              <w:rFonts w:ascii="Times New Roman" w:hAnsi="Times New Roman" w:cs="Times New Roman"/>
              <w:color w:val="000000"/>
            </w:rPr>
            <w:t xml:space="preserve">2.6 Adversarial Evaluation and Decision Quality</w:t>
          </w:r>
        </w:p>
        <w:p>
          <w:pPr>
            <w:spacing w:after="60" w:line="276" w:lineRule="auto"/>
            <w:ind w:left="360"/>
          </w:pPr>
          <w:r>
            <w:rPr>
              <w:rFonts w:ascii="Times New Roman" w:hAnsi="Times New Roman" w:cs="Times New Roman"/>
              <w:color w:val="000000"/>
            </w:rPr>
            <w:t xml:space="preserve">2.7 Fault Injection and Statistical Methods</w:t>
          </w:r>
        </w:p>
        <w:p>
          <w:pPr>
            <w:spacing w:after="60" w:line="276" w:lineRule="auto"/>
            <w:ind w:left="360"/>
          </w:pPr>
          <w:r>
            <w:rPr>
              <w:rFonts w:ascii="Times New Roman" w:hAnsi="Times New Roman" w:cs="Times New Roman"/>
              <w:color w:val="000000"/>
            </w:rPr>
            <w:t xml:space="preserve">2.8 Research Gap</w:t>
          </w:r>
        </w:p>
        <w:p>
          <w:pPr>
            <w:spacing w:after="60" w:line="276" w:lineRule="auto"/>
            <w:ind w:left="0"/>
          </w:pPr>
          <w:r>
            <w:rPr>
              <w:rFonts w:ascii="Times New Roman" w:hAnsi="Times New Roman" w:cs="Times New Roman"/>
              <w:b/>
              <w:color w:val="1F3864"/>
            </w:rPr>
            <w:t xml:space="preserve">3. SYSTEM ANALYSIS AND REQUIREMENTS</w:t>
          </w:r>
        </w:p>
        <w:p>
          <w:pPr>
            <w:spacing w:after="60" w:line="276" w:lineRule="auto"/>
            <w:ind w:left="360"/>
          </w:pPr>
          <w:r>
            <w:rPr>
              <w:rFonts w:ascii="Times New Roman" w:hAnsi="Times New Roman" w:cs="Times New Roman"/>
              <w:color w:val="000000"/>
            </w:rPr>
            <w:t xml:space="preserve">3.1 Existing System</w:t>
          </w:r>
        </w:p>
        <w:p>
          <w:pPr>
            <w:spacing w:after="60" w:line="276" w:lineRule="auto"/>
            <w:ind w:left="720"/>
          </w:pPr>
          <w:r>
            <w:rPr>
              <w:rFonts w:ascii="Times New Roman" w:hAnsi="Times New Roman" w:cs="Times New Roman"/>
              <w:color w:val="000000"/>
            </w:rPr>
            <w:t xml:space="preserve">3.1.1 Limitations of the Existing System</w:t>
          </w:r>
        </w:p>
        <w:p>
          <w:pPr>
            <w:spacing w:after="60" w:line="276" w:lineRule="auto"/>
            <w:ind w:left="360"/>
          </w:pPr>
          <w:r>
            <w:rPr>
              <w:rFonts w:ascii="Times New Roman" w:hAnsi="Times New Roman" w:cs="Times New Roman"/>
              <w:color w:val="000000"/>
            </w:rPr>
            <w:t xml:space="preserve">3.2 Proposed System</w:t>
          </w:r>
        </w:p>
        <w:p>
          <w:pPr>
            <w:spacing w:after="60" w:line="276" w:lineRule="auto"/>
            <w:ind w:left="720"/>
          </w:pPr>
          <w:r>
            <w:rPr>
              <w:rFonts w:ascii="Times New Roman" w:hAnsi="Times New Roman" w:cs="Times New Roman"/>
              <w:color w:val="000000"/>
            </w:rPr>
            <w:t xml:space="preserve">3.2.1 Advantages of the Proposed System</w:t>
          </w:r>
        </w:p>
        <w:p>
          <w:pPr>
            <w:spacing w:after="60" w:line="276" w:lineRule="auto"/>
            <w:ind w:left="360"/>
          </w:pPr>
          <w:r>
            <w:rPr>
              <w:rFonts w:ascii="Times New Roman" w:hAnsi="Times New Roman" w:cs="Times New Roman"/>
              <w:color w:val="000000"/>
            </w:rPr>
            <w:t xml:space="preserve">3.3 Feasibility Study</w:t>
          </w:r>
        </w:p>
        <w:p>
          <w:pPr>
            <w:spacing w:after="60" w:line="276" w:lineRule="auto"/>
            <w:ind w:left="720"/>
          </w:pPr>
          <w:r>
            <w:rPr>
              <w:rFonts w:ascii="Times New Roman" w:hAnsi="Times New Roman" w:cs="Times New Roman"/>
              <w:color w:val="000000"/>
            </w:rPr>
            <w:t xml:space="preserve">3.3.1 Technical Feasibility</w:t>
          </w:r>
        </w:p>
        <w:p>
          <w:pPr>
            <w:spacing w:after="60" w:line="276" w:lineRule="auto"/>
            <w:ind w:left="720"/>
          </w:pPr>
          <w:r>
            <w:rPr>
              <w:rFonts w:ascii="Times New Roman" w:hAnsi="Times New Roman" w:cs="Times New Roman"/>
              <w:color w:val="000000"/>
            </w:rPr>
            <w:t xml:space="preserve">3.3.2 Economic Feasibility</w:t>
          </w:r>
        </w:p>
        <w:p>
          <w:pPr>
            <w:spacing w:after="60" w:line="276" w:lineRule="auto"/>
            <w:ind w:left="720"/>
          </w:pPr>
          <w:r>
            <w:rPr>
              <w:rFonts w:ascii="Times New Roman" w:hAnsi="Times New Roman" w:cs="Times New Roman"/>
              <w:color w:val="000000"/>
            </w:rPr>
            <w:t xml:space="preserve">3.3.3 Operational Feasibility</w:t>
          </w:r>
        </w:p>
        <w:p>
          <w:pPr>
            <w:spacing w:after="60" w:line="276" w:lineRule="auto"/>
            <w:ind w:left="360"/>
          </w:pPr>
          <w:r>
            <w:rPr>
              <w:rFonts w:ascii="Times New Roman" w:hAnsi="Times New Roman" w:cs="Times New Roman"/>
              <w:color w:val="000000"/>
            </w:rPr>
            <w:t xml:space="preserve">3.4 Hardware and Software Requirements</w:t>
          </w:r>
        </w:p>
        <w:p>
          <w:pPr>
            <w:spacing w:after="60" w:line="276" w:lineRule="auto"/>
            <w:ind w:left="360"/>
          </w:pPr>
          <w:r>
            <w:rPr>
              <w:rFonts w:ascii="Times New Roman" w:hAnsi="Times New Roman" w:cs="Times New Roman"/>
              <w:color w:val="000000"/>
            </w:rPr>
            <w:t xml:space="preserve">3.5 Functional Requirements</w:t>
          </w:r>
        </w:p>
        <w:p>
          <w:pPr>
            <w:spacing w:after="60" w:line="276" w:lineRule="auto"/>
            <w:ind w:left="360"/>
          </w:pPr>
          <w:r>
            <w:rPr>
              <w:rFonts w:ascii="Times New Roman" w:hAnsi="Times New Roman" w:cs="Times New Roman"/>
              <w:color w:val="000000"/>
            </w:rPr>
            <w:t xml:space="preserve">3.6 Non-Functional Requirements</w:t>
          </w:r>
        </w:p>
        <w:p>
          <w:pPr>
            <w:spacing w:after="60" w:line="276" w:lineRule="auto"/>
            <w:ind w:left="0"/>
          </w:pPr>
          <w:r>
            <w:rPr>
              <w:rFonts w:ascii="Times New Roman" w:hAnsi="Times New Roman" w:cs="Times New Roman"/>
              <w:b/>
              <w:color w:val="1F3864"/>
            </w:rPr>
            <w:t xml:space="preserve">4. SYSTEM DESIGN</w:t>
          </w:r>
        </w:p>
        <w:p>
          <w:pPr>
            <w:spacing w:after="60" w:line="276" w:lineRule="auto"/>
            <w:ind w:left="360"/>
          </w:pPr>
          <w:r>
            <w:rPr>
              <w:rFonts w:ascii="Times New Roman" w:hAnsi="Times New Roman" w:cs="Times New Roman"/>
              <w:color w:val="000000"/>
            </w:rPr>
            <w:t xml:space="preserve">4.1 Architecture Overview</w:t>
          </w:r>
        </w:p>
        <w:p>
          <w:pPr>
            <w:spacing w:after="60" w:line="276" w:lineRule="auto"/>
            <w:ind w:left="360"/>
          </w:pPr>
          <w:r>
            <w:rPr>
              <w:rFonts w:ascii="Times New Roman" w:hAnsi="Times New Roman" w:cs="Times New Roman"/>
              <w:color w:val="000000"/>
            </w:rPr>
            <w:t xml:space="preserve">4.2 Problem Formulation</w:t>
          </w:r>
        </w:p>
        <w:p>
          <w:pPr>
            <w:spacing w:after="60" w:line="276" w:lineRule="auto"/>
            <w:ind w:left="720"/>
          </w:pPr>
          <w:r>
            <w:rPr>
              <w:rFonts w:ascii="Times New Roman" w:hAnsi="Times New Roman" w:cs="Times New Roman"/>
              <w:color w:val="000000"/>
            </w:rPr>
            <w:t xml:space="preserve">4.2.1 Gate Semantics</w:t>
          </w:r>
        </w:p>
        <w:p>
          <w:pPr>
            <w:spacing w:after="60" w:line="276" w:lineRule="auto"/>
            <w:ind w:left="720"/>
          </w:pPr>
          <w:r>
            <w:rPr>
              <w:rFonts w:ascii="Times New Roman" w:hAnsi="Times New Roman" w:cs="Times New Roman"/>
              <w:color w:val="000000"/>
            </w:rPr>
            <w:t xml:space="preserve">4.2.2 Metrics</w:t>
          </w:r>
        </w:p>
        <w:p>
          <w:pPr>
            <w:spacing w:after="60" w:line="276" w:lineRule="auto"/>
            <w:ind w:left="360"/>
          </w:pPr>
          <w:r>
            <w:rPr>
              <w:rFonts w:ascii="Times New Roman" w:hAnsi="Times New Roman" w:cs="Times New Roman"/>
              <w:color w:val="000000"/>
            </w:rPr>
            <w:t xml:space="preserve">4.3 Action Contract</w:t>
          </w:r>
        </w:p>
        <w:p>
          <w:pPr>
            <w:spacing w:after="60" w:line="276" w:lineRule="auto"/>
            <w:ind w:left="360"/>
          </w:pPr>
          <w:r>
            <w:rPr>
              <w:rFonts w:ascii="Times New Roman" w:hAnsi="Times New Roman" w:cs="Times New Roman"/>
              <w:color w:val="000000"/>
            </w:rPr>
            <w:t xml:space="preserve">4.4 Control Loop Design</w:t>
          </w:r>
        </w:p>
        <w:p>
          <w:pPr>
            <w:spacing w:after="60" w:line="276" w:lineRule="auto"/>
            <w:ind w:left="360"/>
          </w:pPr>
          <w:r>
            <w:rPr>
              <w:rFonts w:ascii="Times New Roman" w:hAnsi="Times New Roman" w:cs="Times New Roman"/>
              <w:color w:val="000000"/>
            </w:rPr>
            <w:t xml:space="preserve">4.5 Database Design</w:t>
          </w:r>
        </w:p>
        <w:p>
          <w:pPr>
            <w:spacing w:after="60" w:line="276" w:lineRule="auto"/>
            <w:ind w:left="360"/>
          </w:pPr>
          <w:r>
            <w:rPr>
              <w:rFonts w:ascii="Times New Roman" w:hAnsi="Times New Roman" w:cs="Times New Roman"/>
              <w:color w:val="000000"/>
            </w:rPr>
            <w:t xml:space="preserve">4.6 Data Flow</w:t>
          </w:r>
        </w:p>
        <w:p>
          <w:pPr>
            <w:spacing w:after="60" w:line="276" w:lineRule="auto"/>
            <w:ind w:left="0"/>
          </w:pPr>
          <w:r>
            <w:rPr>
              <w:rFonts w:ascii="Times New Roman" w:hAnsi="Times New Roman" w:cs="Times New Roman"/>
              <w:b/>
              <w:color w:val="1F3864"/>
            </w:rPr>
            <w:t xml:space="preserve">5. IMPLEMENTATION</w:t>
          </w:r>
        </w:p>
        <w:p>
          <w:pPr>
            <w:spacing w:after="60" w:line="276" w:lineRule="auto"/>
            <w:ind w:left="360"/>
          </w:pPr>
          <w:r>
            <w:rPr>
              <w:rFonts w:ascii="Times New Roman" w:hAnsi="Times New Roman" w:cs="Times New Roman"/>
              <w:color w:val="000000"/>
            </w:rPr>
            <w:t xml:space="preserve">5.1 Technology Stack</w:t>
          </w:r>
        </w:p>
        <w:p>
          <w:pPr>
            <w:spacing w:after="60" w:line="276" w:lineRule="auto"/>
            <w:ind w:left="360"/>
          </w:pPr>
          <w:r>
            <w:rPr>
              <w:rFonts w:ascii="Times New Roman" w:hAnsi="Times New Roman" w:cs="Times New Roman"/>
              <w:color w:val="000000"/>
            </w:rPr>
            <w:t xml:space="preserve">5.2 Project Structure</w:t>
          </w:r>
        </w:p>
        <w:p>
          <w:pPr>
            <w:spacing w:after="60" w:line="276" w:lineRule="auto"/>
            <w:ind w:left="360"/>
          </w:pPr>
          <w:r>
            <w:rPr>
              <w:rFonts w:ascii="Times New Roman" w:hAnsi="Times New Roman" w:cs="Times New Roman"/>
              <w:color w:val="000000"/>
            </w:rPr>
            <w:t xml:space="preserve">5.3 Data Plane and Telemetry</w:t>
          </w:r>
        </w:p>
        <w:p>
          <w:pPr>
            <w:spacing w:after="60" w:line="276" w:lineRule="auto"/>
            <w:ind w:left="360"/>
          </w:pPr>
          <w:r>
            <w:rPr>
              <w:rFonts w:ascii="Times New Roman" w:hAnsi="Times New Roman" w:cs="Times New Roman"/>
              <w:color w:val="000000"/>
            </w:rPr>
            <w:t xml:space="preserve">5.4 Agents and the LLM Client</w:t>
          </w:r>
        </w:p>
        <w:p>
          <w:pPr>
            <w:spacing w:after="60" w:line="276" w:lineRule="auto"/>
            <w:ind w:left="360"/>
          </w:pPr>
          <w:r>
            <w:rPr>
              <w:rFonts w:ascii="Times New Roman" w:hAnsi="Times New Roman" w:cs="Times New Roman"/>
              <w:color w:val="000000"/>
            </w:rPr>
            <w:t xml:space="preserve">5.5 Action Contract</w:t>
          </w:r>
        </w:p>
        <w:p>
          <w:pPr>
            <w:spacing w:after="60" w:line="276" w:lineRule="auto"/>
            <w:ind w:left="360"/>
          </w:pPr>
          <w:r>
            <w:rPr>
              <w:rFonts w:ascii="Times New Roman" w:hAnsi="Times New Roman" w:cs="Times New Roman"/>
              <w:color w:val="000000"/>
            </w:rPr>
            <w:t xml:space="preserve">5.6 Policy Engine</w:t>
          </w:r>
        </w:p>
        <w:p>
          <w:pPr>
            <w:spacing w:after="60" w:line="276" w:lineRule="auto"/>
            <w:ind w:left="360"/>
          </w:pPr>
          <w:r>
            <w:rPr>
              <w:rFonts w:ascii="Times New Roman" w:hAnsi="Times New Roman" w:cs="Times New Roman"/>
              <w:color w:val="000000"/>
            </w:rPr>
            <w:t xml:space="preserve">5.7 Execution and Write-Ahead Audit</w:t>
          </w:r>
        </w:p>
        <w:p>
          <w:pPr>
            <w:spacing w:after="60" w:line="276" w:lineRule="auto"/>
            <w:ind w:left="360"/>
          </w:pPr>
          <w:r>
            <w:rPr>
              <w:rFonts w:ascii="Times New Roman" w:hAnsi="Times New Roman" w:cs="Times New Roman"/>
              <w:color w:val="000000"/>
            </w:rPr>
            <w:t xml:space="preserve">5.8 Fault Injection and Experiment Harness</w:t>
          </w:r>
        </w:p>
        <w:p>
          <w:pPr>
            <w:spacing w:after="60" w:line="276" w:lineRule="auto"/>
            <w:ind w:left="360"/>
          </w:pPr>
          <w:r>
            <w:rPr>
              <w:rFonts w:ascii="Times New Roman" w:hAnsi="Times New Roman" w:cs="Times New Roman"/>
              <w:color w:val="000000"/>
            </w:rPr>
            <w:t xml:space="preserve">5.9 Analysis and Artifact Generation</w:t>
          </w:r>
        </w:p>
        <w:p>
          <w:pPr>
            <w:spacing w:after="60" w:line="276" w:lineRule="auto"/>
            <w:ind w:left="360"/>
          </w:pPr>
          <w:r>
            <w:rPr>
              <w:rFonts w:ascii="Times New Roman" w:hAnsi="Times New Roman" w:cs="Times New Roman"/>
              <w:color w:val="000000"/>
            </w:rPr>
            <w:t xml:space="preserve">5.10 Operator API and Dashboard</w:t>
          </w:r>
        </w:p>
        <w:p>
          <w:pPr>
            <w:spacing w:after="60" w:line="276" w:lineRule="auto"/>
            <w:ind w:left="0"/>
          </w:pPr>
          <w:r>
            <w:rPr>
              <w:rFonts w:ascii="Times New Roman" w:hAnsi="Times New Roman" w:cs="Times New Roman"/>
              <w:b/>
              <w:color w:val="1F3864"/>
            </w:rPr>
            <w:t xml:space="preserve">6. TESTING AND VALIDATION</w:t>
          </w:r>
        </w:p>
        <w:p>
          <w:pPr>
            <w:spacing w:after="60" w:line="276" w:lineRule="auto"/>
            <w:ind w:left="360"/>
          </w:pPr>
          <w:r>
            <w:rPr>
              <w:rFonts w:ascii="Times New Roman" w:hAnsi="Times New Roman" w:cs="Times New Roman"/>
              <w:color w:val="000000"/>
            </w:rPr>
            <w:t xml:space="preserve">6.1 Testing Strategy</w:t>
          </w:r>
        </w:p>
        <w:p>
          <w:pPr>
            <w:spacing w:after="60" w:line="276" w:lineRule="auto"/>
            <w:ind w:left="360"/>
          </w:pPr>
          <w:r>
            <w:rPr>
              <w:rFonts w:ascii="Times New Roman" w:hAnsi="Times New Roman" w:cs="Times New Roman"/>
              <w:color w:val="000000"/>
            </w:rPr>
            <w:t xml:space="preserve">6.2 Unit Testing</w:t>
          </w:r>
        </w:p>
        <w:p>
          <w:pPr>
            <w:spacing w:after="60" w:line="276" w:lineRule="auto"/>
            <w:ind w:left="360"/>
          </w:pPr>
          <w:r>
            <w:rPr>
              <w:rFonts w:ascii="Times New Roman" w:hAnsi="Times New Roman" w:cs="Times New Roman"/>
              <w:color w:val="000000"/>
            </w:rPr>
            <w:t xml:space="preserve">6.3 Policy Testing</w:t>
          </w:r>
        </w:p>
        <w:p>
          <w:pPr>
            <w:spacing w:after="60" w:line="276" w:lineRule="auto"/>
            <w:ind w:left="360"/>
          </w:pPr>
          <w:r>
            <w:rPr>
              <w:rFonts w:ascii="Times New Roman" w:hAnsi="Times New Roman" w:cs="Times New Roman"/>
              <w:color w:val="000000"/>
            </w:rPr>
            <w:t xml:space="preserve">6.4 Integration Testing</w:t>
          </w:r>
        </w:p>
        <w:p>
          <w:pPr>
            <w:spacing w:after="60" w:line="276" w:lineRule="auto"/>
            <w:ind w:left="360"/>
          </w:pPr>
          <w:r>
            <w:rPr>
              <w:rFonts w:ascii="Times New Roman" w:hAnsi="Times New Roman" w:cs="Times New Roman"/>
              <w:color w:val="000000"/>
            </w:rPr>
            <w:t xml:space="preserve">6.5 Static Analysis</w:t>
          </w:r>
        </w:p>
        <w:p>
          <w:pPr>
            <w:spacing w:after="60" w:line="276" w:lineRule="auto"/>
            <w:ind w:left="360"/>
          </w:pPr>
          <w:r>
            <w:rPr>
              <w:rFonts w:ascii="Times New Roman" w:hAnsi="Times New Roman" w:cs="Times New Roman"/>
              <w:color w:val="000000"/>
            </w:rPr>
            <w:t xml:space="preserve">6.6 Adversarial Validation</w:t>
          </w:r>
        </w:p>
        <w:p>
          <w:pPr>
            <w:spacing w:after="60" w:line="276" w:lineRule="auto"/>
            <w:ind w:left="360"/>
          </w:pPr>
          <w:r>
            <w:rPr>
              <w:rFonts w:ascii="Times New Roman" w:hAnsi="Times New Roman" w:cs="Times New Roman"/>
              <w:color w:val="000000"/>
            </w:rPr>
            <w:t xml:space="preserve">6.7 Pilot Runs</w:t>
          </w:r>
        </w:p>
        <w:p>
          <w:pPr>
            <w:spacing w:after="60" w:line="276" w:lineRule="auto"/>
            <w:ind w:left="0"/>
          </w:pPr>
          <w:r>
            <w:rPr>
              <w:rFonts w:ascii="Times New Roman" w:hAnsi="Times New Roman" w:cs="Times New Roman"/>
              <w:b/>
              <w:color w:val="1F3864"/>
            </w:rPr>
            <w:t xml:space="preserve">7. RESULTS AND DISCUSSION</w:t>
          </w:r>
        </w:p>
        <w:p>
          <w:pPr>
            <w:spacing w:after="60" w:line="276" w:lineRule="auto"/>
            <w:ind w:left="360"/>
          </w:pPr>
          <w:r>
            <w:rPr>
              <w:rFonts w:ascii="Times New Roman" w:hAnsi="Times New Roman" w:cs="Times New Roman"/>
              <w:color w:val="000000"/>
            </w:rPr>
            <w:t xml:space="preserve">7.1 Experimental Setup</w:t>
          </w:r>
        </w:p>
        <w:p>
          <w:pPr>
            <w:spacing w:after="60" w:line="276" w:lineRule="auto"/>
            <w:ind w:left="360"/>
          </w:pPr>
          <w:r>
            <w:rPr>
              <w:rFonts w:ascii="Times New Roman" w:hAnsi="Times New Roman" w:cs="Times New Roman"/>
              <w:color w:val="000000"/>
            </w:rPr>
            <w:t xml:space="preserve">7.2 RQ1: Comparison with Static Orchestration</w:t>
          </w:r>
        </w:p>
        <w:p>
          <w:pPr>
            <w:spacing w:after="60" w:line="276" w:lineRule="auto"/>
            <w:ind w:left="360"/>
          </w:pPr>
          <w:r>
            <w:rPr>
              <w:rFonts w:ascii="Times New Roman" w:hAnsi="Times New Roman" w:cs="Times New Roman"/>
              <w:color w:val="000000"/>
            </w:rPr>
            <w:t xml:space="preserve">7.3 RQ2: Comparison with Non-LLM Automation</w:t>
          </w:r>
        </w:p>
        <w:p>
          <w:pPr>
            <w:spacing w:after="60" w:line="276" w:lineRule="auto"/>
            <w:ind w:left="360"/>
          </w:pPr>
          <w:r>
            <w:rPr>
              <w:rFonts w:ascii="Times New Roman" w:hAnsi="Times New Roman" w:cs="Times New Roman"/>
              <w:color w:val="000000"/>
            </w:rPr>
            <w:t xml:space="preserve">7.4 RQ3: Decision Quality</w:t>
          </w:r>
        </w:p>
        <w:p>
          <w:pPr>
            <w:spacing w:after="60" w:line="276" w:lineRule="auto"/>
            <w:ind w:left="360"/>
          </w:pPr>
          <w:r>
            <w:rPr>
              <w:rFonts w:ascii="Times New Roman" w:hAnsi="Times New Roman" w:cs="Times New Roman"/>
              <w:color w:val="000000"/>
            </w:rPr>
            <w:t xml:space="preserve">7.5 Per-Scenario Behaviour</w:t>
          </w:r>
        </w:p>
        <w:p>
          <w:pPr>
            <w:spacing w:after="60" w:line="276" w:lineRule="auto"/>
            <w:ind w:left="360"/>
          </w:pPr>
          <w:r>
            <w:rPr>
              <w:rFonts w:ascii="Times New Roman" w:hAnsi="Times New Roman" w:cs="Times New Roman"/>
              <w:color w:val="000000"/>
            </w:rPr>
            <w:t xml:space="preserve">7.6 RQ4: Mock Versus Live Evaluation</w:t>
          </w:r>
        </w:p>
        <w:p>
          <w:pPr>
            <w:spacing w:after="60" w:line="276" w:lineRule="auto"/>
            <w:ind w:left="360"/>
          </w:pPr>
          <w:r>
            <w:rPr>
              <w:rFonts w:ascii="Times New Roman" w:hAnsi="Times New Roman" w:cs="Times New Roman"/>
              <w:color w:val="000000"/>
            </w:rPr>
            <w:t xml:space="preserve">7.7 LLM Accounting</w:t>
          </w:r>
        </w:p>
        <w:p>
          <w:pPr>
            <w:spacing w:after="60" w:line="276" w:lineRule="auto"/>
            <w:ind w:left="360"/>
          </w:pPr>
          <w:r>
            <w:rPr>
              <w:rFonts w:ascii="Times New Roman" w:hAnsi="Times New Roman" w:cs="Times New Roman"/>
              <w:color w:val="000000"/>
            </w:rPr>
            <w:t xml:space="preserve">7.8 Sensitivity Analysis</w:t>
          </w:r>
        </w:p>
        <w:p>
          <w:pPr>
            <w:spacing w:after="60" w:line="276" w:lineRule="auto"/>
            <w:ind w:left="360"/>
          </w:pPr>
          <w:r>
            <w:rPr>
              <w:rFonts w:ascii="Times New Roman" w:hAnsi="Times New Roman" w:cs="Times New Roman"/>
              <w:color w:val="000000"/>
            </w:rPr>
            <w:t xml:space="preserve">7.9 RQ5: Adversarial Containment</w:t>
          </w:r>
        </w:p>
        <w:p>
          <w:pPr>
            <w:spacing w:after="60" w:line="276" w:lineRule="auto"/>
            <w:ind w:left="360"/>
          </w:pPr>
          <w:r>
            <w:rPr>
              <w:rFonts w:ascii="Times New Roman" w:hAnsi="Times New Roman" w:cs="Times New Roman"/>
              <w:color w:val="000000"/>
            </w:rPr>
            <w:t xml:space="preserve">7.10 Lessons Learned</w:t>
          </w:r>
        </w:p>
        <w:p>
          <w:pPr>
            <w:spacing w:after="60" w:line="276" w:lineRule="auto"/>
            <w:ind w:left="360"/>
          </w:pPr>
          <w:r>
            <w:rPr>
              <w:rFonts w:ascii="Times New Roman" w:hAnsi="Times New Roman" w:cs="Times New Roman"/>
              <w:color w:val="000000"/>
            </w:rPr>
            <w:t xml:space="preserve">7.11 Limitations</w:t>
          </w:r>
        </w:p>
        <w:p>
          <w:pPr>
            <w:spacing w:after="60" w:line="276" w:lineRule="auto"/>
            <w:ind w:left="0"/>
          </w:pPr>
          <w:r>
            <w:rPr>
              <w:rFonts w:ascii="Times New Roman" w:hAnsi="Times New Roman" w:cs="Times New Roman"/>
              <w:b/>
              <w:color w:val="1F3864"/>
            </w:rPr>
            <w:t xml:space="preserve">8. CONCLUSION AND FUTURE WORK</w:t>
          </w:r>
        </w:p>
        <w:p>
          <w:pPr>
            <w:spacing w:after="60" w:line="276" w:lineRule="auto"/>
            <w:ind w:left="360"/>
          </w:pPr>
          <w:r>
            <w:rPr>
              <w:rFonts w:ascii="Times New Roman" w:hAnsi="Times New Roman" w:cs="Times New Roman"/>
              <w:color w:val="000000"/>
            </w:rPr>
            <w:t xml:space="preserve">8.1 Conclusion</w:t>
          </w:r>
        </w:p>
        <w:p>
          <w:pPr>
            <w:spacing w:after="60" w:line="276" w:lineRule="auto"/>
            <w:ind w:left="360"/>
          </w:pPr>
          <w:r>
            <w:rPr>
              <w:rFonts w:ascii="Times New Roman" w:hAnsi="Times New Roman" w:cs="Times New Roman"/>
              <w:color w:val="000000"/>
            </w:rPr>
            <w:t xml:space="preserve">8.2 Future Work</w:t>
          </w:r>
        </w:p>
        <w:p>
          <w:pPr>
            <w:spacing w:after="60" w:line="276" w:lineRule="auto"/>
            <w:ind w:left="0"/>
          </w:pPr>
          <w:r>
            <w:rPr>
              <w:rFonts w:ascii="Times New Roman" w:hAnsi="Times New Roman" w:cs="Times New Roman"/>
              <w:b/>
              <w:color w:val="1F3864"/>
            </w:rPr>
            <w:t xml:space="preserve">REFERENCES</w:t>
          </w:r>
        </w:p>
        <w:p>
          <w:pPr>
            <w:spacing w:after="60" w:line="276" w:lineRule="auto"/>
            <w:ind w:left="0"/>
          </w:pPr>
          <w:r>
            <w:rPr>
              <w:rFonts w:ascii="Times New Roman" w:hAnsi="Times New Roman" w:cs="Times New Roman"/>
              <w:b/>
              <w:color w:val="1F3864"/>
            </w:rPr>
            <w:t xml:space="preserve">APPENDIX A: REPRODUCTION GUIDE</w:t>
          </w:r>
        </w:p>
        <w:p>
          <w:r>
            <w:fldChar w:fldCharType="end"/>
          </w:r>
        </w:p>
      </w:sdtContent>
    </w:sdt>
    <w:p>
      <w:pPr>
        <w:pStyle w:val="Heading1"/>
        <w:pageBreakBefore/>
        <w:pBdr>
          <w:bottom w:val="single" w:color="C9A227" w:sz="12" w:space="8"/>
        </w:pBdr>
        <w:jc w:val="center"/>
      </w:pPr>
      <w:r>
        <w:rPr>
          <w:rFonts w:ascii="Calibri" w:cs="Calibri" w:eastAsia="Calibri" w:hAnsi="Calibri"/>
          <w:spacing w:val="40"/>
        </w:rPr>
        <w:t xml:space="preserve">LIST OF FIGURES</w:t>
      </w:r>
    </w:p>
    <w:sdt>
      <w:sdtPr>
        <w:alias w:val="List of Figures"/>
      </w:sdtPr>
      <w:sdtContent>
        <w:p>
          <w:r>
            <w:fldChar w:fldCharType="begin" w:dirty="true"/>
            <w:instrText xml:space="preserve">TOC \c "Figure" \h</w:instrText>
            <w:fldChar w:fldCharType="separate"/>
          </w:r>
        </w:p>
        <w:p>
          <w:pPr>
            <w:spacing w:after="60" w:line="276" w:lineRule="auto"/>
            <w:ind w:left="0"/>
          </w:pPr>
          <w:r>
            <w:rPr>
              <w:rFonts w:ascii="Times New Roman" w:hAnsi="Times New Roman" w:cs="Times New Roman"/>
              <w:b/>
              <w:color w:val="1F3864"/>
            </w:rPr>
            <w:t xml:space="preserve">Figure 1: Seven-layer system architecture</w:t>
          </w:r>
        </w:p>
        <w:p>
          <w:pPr>
            <w:spacing w:after="60" w:line="276" w:lineRule="auto"/>
            <w:ind w:left="0"/>
          </w:pPr>
          <w:r>
            <w:rPr>
              <w:rFonts w:ascii="Times New Roman" w:hAnsi="Times New Roman" w:cs="Times New Roman"/>
              <w:b/>
              <w:color w:val="1F3864"/>
            </w:rPr>
            <w:t xml:space="preserve">Figure 2: Recovery-time distribution by configuration (log scale)</w:t>
          </w:r>
        </w:p>
        <w:p>
          <w:pPr>
            <w:spacing w:after="60" w:line="276" w:lineRule="auto"/>
            <w:ind w:left="0"/>
          </w:pPr>
          <w:r>
            <w:rPr>
              <w:rFonts w:ascii="Times New Roman" w:hAnsi="Times New Roman" w:cs="Times New Roman"/>
              <w:b/>
              <w:color w:val="1F3864"/>
            </w:rPr>
            <w:t xml:space="preserve">Figure 3: Cliff's δ against baseline by configuration and metric</w:t>
          </w:r>
        </w:p>
        <w:p>
          <w:pPr>
            <w:spacing w:after="60" w:line="276" w:lineRule="auto"/>
            <w:ind w:left="0"/>
          </w:pPr>
          <w:r>
            <w:rPr>
              <w:rFonts w:ascii="Times New Roman" w:hAnsi="Times New Roman" w:cs="Times New Roman"/>
              <w:b/>
              <w:color w:val="1F3864"/>
            </w:rPr>
            <w:t xml:space="preserve">Figure 4: MTTR by configuration and scenario</w:t>
          </w:r>
        </w:p>
        <w:p>
          <w:pPr>
            <w:spacing w:after="60" w:line="276" w:lineRule="auto"/>
            <w:ind w:left="0"/>
          </w:pPr>
          <w:r>
            <w:rPr>
              <w:rFonts w:ascii="Times New Roman" w:hAnsi="Times New Roman" w:cs="Times New Roman"/>
              <w:b/>
              <w:color w:val="1F3864"/>
            </w:rPr>
            <w:t xml:space="preserve">Figure 5: Live versus mock medians for the full configuration, per metric</w:t>
          </w:r>
        </w:p>
        <w:p>
          <w:pPr>
            <w:spacing w:after="60" w:line="276" w:lineRule="auto"/>
            <w:ind w:left="0"/>
          </w:pPr>
          <w:r>
            <w:rPr>
              <w:rFonts w:ascii="Times New Roman" w:hAnsi="Times New Roman" w:cs="Times New Roman"/>
              <w:b/>
              <w:color w:val="1F3864"/>
            </w:rPr>
            <w:t xml:space="preserve">Figure 6: Probability that automation recovers faster than the simulated human</w:t>
          </w:r>
        </w:p>
        <w:p>
          <w:pPr>
            <w:spacing w:after="60" w:line="276" w:lineRule="auto"/>
            <w:ind w:left="0"/>
          </w:pPr>
          <w:r>
            <w:rPr>
              <w:rFonts w:ascii="Times New Roman" w:hAnsi="Times New Roman" w:cs="Times New Roman"/>
              <w:b/>
              <w:color w:val="1F3864"/>
            </w:rPr>
            <w:t xml:space="preserve">Figure 7: Cost reduction of the full configuration versus static provisioning</w:t>
          </w:r>
        </w:p>
        <w:p>
          <w:r>
            <w:fldChar w:fldCharType="end"/>
          </w:r>
        </w:p>
      </w:sdtContent>
    </w:sdt>
    <w:p>
      <w:pPr>
        <w:pStyle w:val="Heading1"/>
        <w:pageBreakBefore/>
        <w:pBdr>
          <w:bottom w:val="single" w:color="C9A227" w:sz="12" w:space="8"/>
        </w:pBdr>
        <w:jc w:val="center"/>
      </w:pPr>
      <w:r>
        <w:rPr>
          <w:rFonts w:ascii="Calibri" w:cs="Calibri" w:eastAsia="Calibri" w:hAnsi="Calibri"/>
          <w:spacing w:val="40"/>
        </w:rPr>
        <w:t xml:space="preserve">LIST OF TABLES</w:t>
      </w:r>
    </w:p>
    <w:sdt>
      <w:sdtPr>
        <w:alias w:val="List of Tables"/>
      </w:sdtPr>
      <w:sdtContent>
        <w:p>
          <w:r>
            <w:fldChar w:fldCharType="begin" w:dirty="true"/>
            <w:instrText xml:space="preserve">TOC \c "Table" \h</w:instrText>
            <w:fldChar w:fldCharType="separate"/>
          </w:r>
        </w:p>
        <w:p>
          <w:pPr>
            <w:spacing w:after="60" w:line="276" w:lineRule="auto"/>
            <w:ind w:left="0"/>
          </w:pPr>
          <w:r>
            <w:rPr>
              <w:rFonts w:ascii="Times New Roman" w:hAnsi="Times New Roman" w:cs="Times New Roman"/>
              <w:b/>
              <w:color w:val="1F3864"/>
            </w:rPr>
            <w:t xml:space="preserve">Table 1: Abbreviations used in this report</w:t>
          </w:r>
        </w:p>
        <w:p>
          <w:pPr>
            <w:spacing w:after="60" w:line="276" w:lineRule="auto"/>
            <w:ind w:left="0"/>
          </w:pPr>
          <w:r>
            <w:rPr>
              <w:rFonts w:ascii="Times New Roman" w:hAnsi="Times New Roman" w:cs="Times New Roman"/>
              <w:b/>
              <w:color w:val="1F3864"/>
            </w:rPr>
            <w:t xml:space="preserve">Table 2: Summary of related work and its relation to this project</w:t>
          </w:r>
        </w:p>
        <w:p>
          <w:pPr>
            <w:spacing w:after="60" w:line="276" w:lineRule="auto"/>
            <w:ind w:left="0"/>
          </w:pPr>
          <w:r>
            <w:rPr>
              <w:rFonts w:ascii="Times New Roman" w:hAnsi="Times New Roman" w:cs="Times New Roman"/>
              <w:b/>
              <w:color w:val="1F3864"/>
            </w:rPr>
            <w:t xml:space="preserve">Table 3: Testbed, software versions, and fixed experimental parameters</w:t>
          </w:r>
        </w:p>
        <w:p>
          <w:pPr>
            <w:spacing w:after="60" w:line="276" w:lineRule="auto"/>
            <w:ind w:left="0"/>
          </w:pPr>
          <w:r>
            <w:rPr>
              <w:rFonts w:ascii="Times New Roman" w:hAnsi="Times New Roman" w:cs="Times New Roman"/>
              <w:b/>
              <w:color w:val="1F3864"/>
            </w:rPr>
            <w:t xml:space="preserve">Table 4: Layers of the architecture</w:t>
          </w:r>
        </w:p>
        <w:p>
          <w:pPr>
            <w:spacing w:after="60" w:line="276" w:lineRule="auto"/>
            <w:ind w:left="0"/>
          </w:pPr>
          <w:r>
            <w:rPr>
              <w:rFonts w:ascii="Times New Roman" w:hAnsi="Times New Roman" w:cs="Times New Roman"/>
              <w:b/>
              <w:color w:val="1F3864"/>
            </w:rPr>
            <w:t xml:space="preserve">Table 5: Action types allowed for each agent</w:t>
          </w:r>
        </w:p>
        <w:p>
          <w:pPr>
            <w:spacing w:after="60" w:line="276" w:lineRule="auto"/>
            <w:ind w:left="0"/>
          </w:pPr>
          <w:r>
            <w:rPr>
              <w:rFonts w:ascii="Times New Roman" w:hAnsi="Times New Roman" w:cs="Times New Roman"/>
              <w:b/>
              <w:color w:val="1F3864"/>
            </w:rPr>
            <w:t xml:space="preserve">Table 6: Database schemas and tables</w:t>
          </w:r>
        </w:p>
        <w:p>
          <w:pPr>
            <w:spacing w:after="60" w:line="276" w:lineRule="auto"/>
            <w:ind w:left="0"/>
          </w:pPr>
          <w:r>
            <w:rPr>
              <w:rFonts w:ascii="Times New Roman" w:hAnsi="Times New Roman" w:cs="Times New Roman"/>
              <w:b/>
              <w:color w:val="1F3864"/>
            </w:rPr>
            <w:t xml:space="preserve">Table 7: Technology stack</w:t>
          </w:r>
        </w:p>
        <w:p>
          <w:pPr>
            <w:spacing w:after="60" w:line="276" w:lineRule="auto"/>
            <w:ind w:left="0"/>
          </w:pPr>
          <w:r>
            <w:rPr>
              <w:rFonts w:ascii="Times New Roman" w:hAnsi="Times New Roman" w:cs="Times New Roman"/>
              <w:b/>
              <w:color w:val="1F3864"/>
            </w:rPr>
            <w:t xml:space="preserve">Table 8: Main modules of the implementation</w:t>
          </w:r>
        </w:p>
        <w:p>
          <w:pPr>
            <w:spacing w:after="60" w:line="276" w:lineRule="auto"/>
            <w:ind w:left="0"/>
          </w:pPr>
          <w:r>
            <w:rPr>
              <w:rFonts w:ascii="Times New Roman" w:hAnsi="Times New Roman" w:cs="Times New Roman"/>
              <w:b/>
              <w:color w:val="1F3864"/>
            </w:rPr>
            <w:t xml:space="preserve">Table 9: Summary of testing activities</w:t>
          </w:r>
        </w:p>
        <w:p>
          <w:pPr>
            <w:spacing w:after="60" w:line="276" w:lineRule="auto"/>
            <w:ind w:left="0"/>
          </w:pPr>
          <w:r>
            <w:rPr>
              <w:rFonts w:ascii="Times New Roman" w:hAnsi="Times New Roman" w:cs="Times New Roman"/>
              <w:b/>
              <w:color w:val="1F3864"/>
            </w:rPr>
            <w:t xml:space="preserve">Table 10: Medians [IQR] per configuration, pooled across scenarios</w:t>
          </w:r>
        </w:p>
        <w:p>
          <w:pPr>
            <w:spacing w:after="60" w:line="276" w:lineRule="auto"/>
            <w:ind w:left="0"/>
          </w:pPr>
          <w:r>
            <w:rPr>
              <w:rFonts w:ascii="Times New Roman" w:hAnsi="Times New Roman" w:cs="Times New Roman"/>
              <w:b/>
              <w:color w:val="1F3864"/>
            </w:rPr>
            <w:t xml:space="preserve">Table 11: Effect of each configuration against baseline (bootstrap 95% CI, Cliff's δ, Holm-corrected p)</w:t>
          </w:r>
        </w:p>
        <w:p>
          <w:pPr>
            <w:spacing w:after="60" w:line="276" w:lineRule="auto"/>
            <w:ind w:left="0"/>
          </w:pPr>
          <w:r>
            <w:rPr>
              <w:rFonts w:ascii="Times New Roman" w:hAnsi="Times New Roman" w:cs="Times New Roman"/>
              <w:b/>
              <w:color w:val="1F3864"/>
            </w:rPr>
            <w:t xml:space="preserve">Table 12: Median MTTR (s) by configuration and scenario</w:t>
          </w:r>
        </w:p>
        <w:p>
          <w:pPr>
            <w:spacing w:after="60" w:line="276" w:lineRule="auto"/>
            <w:ind w:left="0"/>
          </w:pPr>
          <w:r>
            <w:rPr>
              <w:rFonts w:ascii="Times New Roman" w:hAnsi="Times New Roman" w:cs="Times New Roman"/>
              <w:b/>
              <w:color w:val="1F3864"/>
            </w:rPr>
            <w:t xml:space="preserve">Table 13: Live model versus deterministic mock for the full configuration</w:t>
          </w:r>
        </w:p>
        <w:p>
          <w:pPr>
            <w:spacing w:after="60" w:line="276" w:lineRule="auto"/>
            <w:ind w:left="0"/>
          </w:pPr>
          <w:r>
            <w:rPr>
              <w:rFonts w:ascii="Times New Roman" w:hAnsi="Times New Roman" w:cs="Times New Roman"/>
              <w:b/>
              <w:color w:val="1F3864"/>
            </w:rPr>
            <w:t xml:space="preserve">Table 14: LLM accounting per agent configuration</w:t>
          </w:r>
        </w:p>
        <w:p>
          <w:pPr>
            <w:spacing w:after="60" w:line="276" w:lineRule="auto"/>
            <w:ind w:left="0"/>
          </w:pPr>
          <w:r>
            <w:rPr>
              <w:rFonts w:ascii="Times New Roman" w:hAnsi="Times New Roman" w:cs="Times New Roman"/>
              <w:b/>
              <w:color w:val="1F3864"/>
            </w:rPr>
            <w:t xml:space="preserve">Table 15: Closed-form break-even points for human latency and static provisioning</w:t>
          </w:r>
        </w:p>
        <w:p>
          <w:pPr>
            <w:spacing w:after="60" w:line="276" w:lineRule="auto"/>
            <w:ind w:left="0"/>
          </w:pPr>
          <w:r>
            <w:rPr>
              <w:rFonts w:ascii="Times New Roman" w:hAnsi="Times New Roman" w:cs="Times New Roman"/>
              <w:b/>
              <w:color w:val="1F3864"/>
            </w:rPr>
            <w:t xml:space="preserve">Table 16: Adversarial corpus graded against the independent oracle</w:t>
          </w:r>
        </w:p>
        <w:p>
          <w:r>
            <w:fldChar w:fldCharType="end"/>
          </w:r>
        </w:p>
      </w:sdtContent>
    </w:sdt>
    <w:p>
      <w:pPr>
        <w:pStyle w:val="Heading1"/>
        <w:pageBreakBefore/>
        <w:pBdr>
          <w:bottom w:val="single" w:color="C9A227" w:sz="12" w:space="8"/>
        </w:pBdr>
        <w:jc w:val="center"/>
      </w:pPr>
      <w:r>
        <w:rPr>
          <w:rFonts w:ascii="Calibri" w:cs="Calibri" w:eastAsia="Calibri" w:hAnsi="Calibri"/>
          <w:spacing w:val="40"/>
        </w:rPr>
        <w:t xml:space="preserve">LIST OF 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6230"/>
      </w:tblGrid>
      <w:tr>
        <w:trPr>
          <w:cantSplit/>
          <w:tblHeader/>
        </w:trPr>
        <w:tc>
          <w:tcPr>
            <w:tcW w:type="dxa" w:w="2076"/>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Abbreviation</w:t>
            </w:r>
          </w:p>
        </w:tc>
        <w:tc>
          <w:tcPr>
            <w:tcW w:type="dxa" w:w="6230"/>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Expansion</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AI</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Artificial Intelligence</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AIOps</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Artificial Intelligence for IT Operations</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API</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Application Programming Interface</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CI</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Confidence Interval / Continuous Integration</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CPU</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Central Processing Unit</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DAG</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Directed Acyclic Graph (Airflow workflow)</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DDL</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Data Definition Language</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IQR</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Interquartile Range</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LLM</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Large Language Model</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MDP</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Markov Decision Process</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MTTR</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Mean Time to Recovery</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OPA</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Open Policy Agent</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RBAC</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Role-Based Access Control</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Rego</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Policy language of Open Policy Agent</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RQ</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Research Question</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SLA</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Service-Level Agreement</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SMT</w:t>
            </w:r>
          </w:p>
        </w:tc>
        <w:tc>
          <w:tcPr>
            <w:tcW w:type="dxa" w:w="623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Satisfiability Modulo Theories</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TPC-DS</w:t>
            </w:r>
          </w:p>
        </w:tc>
        <w:tc>
          <w:tcPr>
            <w:tcW w:type="dxa" w:w="623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Transaction Processing Performance Council Decision Support benchmark</w:t>
            </w:r>
          </w:p>
        </w:tc>
      </w:tr>
    </w:tbl>
    <w:p>
      <w:pPr>
        <w:spacing w:after="160"/>
      </w:pPr>
      <w:r>
        <w:rPr>
          <w:rFonts w:ascii="Times New Roman" w:cs="Times New Roman" w:eastAsia="Times New Roman" w:hAnsi="Times New Roman"/>
        </w:rPr>
        <w:t xml:space="preserve"/>
      </w:r>
    </w:p>
    <w:p>
      <w:pPr>
        <w:sectPr>
          <w:headerReference w:type="default" r:id="rId7"/>
          <w:footerReference w:type="default" r:id="rId8"/>
          <w:pgSz w:w="11906" w:h="16838" w:orient="portrait"/>
          <w:pgMar w:top="1440" w:right="1440" w:bottom="1440" w:left="2160" w:header="708" w:footer="708" w:gutter="0"/>
          <w:pgNumType w:start="1" w:fmt="lowerRoman"/>
          <w:docGrid w:linePitch="360"/>
        </w:sectPr>
      </w:pPr>
    </w:p>
    <w:p>
      <w:pPr>
        <w:pageBreakBefore/>
        <w:spacing w:after="0" w:before="720" w:line="240"/>
        <w:jc w:val="left"/>
      </w:pPr>
      <w:r>
        <w:rPr>
          <w:rFonts w:ascii="Calibri" w:cs="Calibri" w:eastAsia="Calibri" w:hAnsi="Calibri"/>
          <w:b/>
          <w:bCs/>
          <w:color w:val="9DC3E6"/>
          <w:sz w:val="120"/>
          <w:szCs w:val="120"/>
        </w:rPr>
        <w:t xml:space="preserve">01</w:t>
      </w:r>
    </w:p>
    <w:p>
      <w:pPr>
        <w:spacing w:after="60"/>
        <w:jc w:val="left"/>
      </w:pPr>
      <w:r>
        <w:rPr>
          <w:rFonts w:ascii="Calibri" w:cs="Calibri" w:eastAsia="Calibri" w:hAnsi="Calibri"/>
          <w:b/>
          <w:bCs/>
          <w:color w:val="C9A227"/>
          <w:spacing w:val="120"/>
          <w:sz w:val="22"/>
          <w:szCs w:val="22"/>
        </w:rPr>
        <w:t xml:space="preserve">CHAPTER ONE</w:t>
      </w:r>
    </w:p>
    <w:p>
      <w:pPr>
        <w:pStyle w:val="Heading1"/>
        <w:pBdr>
          <w:bottom w:val="single" w:color="C9A227" w:sz="12" w:space="8"/>
        </w:pBdr>
        <w:jc w:val="left"/>
      </w:pPr>
      <w:r>
        <w:rPr>
          <w:rFonts w:ascii="Calibri" w:cs="Calibri" w:eastAsia="Calibri" w:hAnsi="Calibri"/>
        </w:rPr>
        <w:t xml:space="preserve">1. INTRODUCTION</w:t>
      </w:r>
    </w:p>
    <w:p>
      <w:pPr>
        <w:pStyle w:val="Heading2"/>
        <w:keepNext/>
      </w:pPr>
      <w:r>
        <w:rPr>
          <w:rFonts w:ascii="Calibri" w:cs="Calibri" w:eastAsia="Calibri" w:hAnsi="Calibri"/>
        </w:rPr>
        <w:t xml:space="preserve">1.1  Background</w:t>
      </w:r>
    </w:p>
    <w:p>
      <w:pPr>
        <w:spacing w:after="160" w:before="0" w:line="360"/>
        <w:jc w:val="both"/>
      </w:pPr>
      <w:r>
        <w:rPr>
          <w:rFonts w:ascii="Times New Roman" w:cs="Times New Roman" w:eastAsia="Times New Roman" w:hAnsi="Times New Roman"/>
        </w:rPr>
        <w:t xml:space="preserve">Modern organizations move data through pipelines that ingest, transform, and store it for analytics. These pipelines fail in ordinary ways. An upstream schema changes a column's type, a source stalls, a co-tenant starves the pipeline of compute, or ingress bursts past capacity. An empirical study of real pipelines identifies 41 distinct factors behind such quality and reliability failures [1]. In most deployments the remedy is still an on-call engineer, and the time that engineer needs to respond often accounts for much of the recovery time.</w:t>
      </w:r>
    </w:p>
    <w:p>
      <w:pPr>
        <w:spacing w:after="160" w:before="0" w:line="360"/>
        <w:jc w:val="both"/>
      </w:pPr>
      <w:r>
        <w:rPr>
          <w:rFonts w:ascii="Times New Roman" w:cs="Times New Roman" w:eastAsia="Times New Roman" w:hAnsi="Times New Roman"/>
        </w:rPr>
        <w:t xml:space="preserve">Workflow orchestrators such as Apache Airflow schedule, retry, and alert, but they do not reason about failures their authors did not anticipate. Large language model (LLM) agents could shorten the loop between failure and recovery, and agent systems for cloud incidents already run in production [2]–[4]. Most of them stop at a recommended diagnosis.</w:t>
      </w:r>
    </w:p>
    <w:p>
      <w:pPr>
        <w:pStyle w:val="Heading2"/>
        <w:keepNext/>
      </w:pPr>
      <w:r>
        <w:rPr>
          <w:rFonts w:ascii="Calibri" w:cs="Calibri" w:eastAsia="Calibri" w:hAnsi="Calibri"/>
        </w:rPr>
        <w:t xml:space="preserve">1.2  Motivation</w:t>
      </w:r>
    </w:p>
    <w:p>
      <w:pPr>
        <w:spacing w:after="160" w:before="0" w:line="360"/>
        <w:jc w:val="both"/>
      </w:pPr>
      <w:r>
        <w:rPr>
          <w:rFonts w:ascii="Times New Roman" w:cs="Times New Roman" w:eastAsia="Times New Roman" w:hAnsi="Times New Roman"/>
        </w:rPr>
        <w:t xml:space="preserve">Once an agent may also act on production infrastructure, a governance question arises: what limits the actions it can take? A recent proposal [5] answers with four bounded agents for monitoring, optimization, schema management, and recovery. Each agent emits only a structured action proposal, and a declarative policy engine must approve the proposal before anything executes. Against static orchestration, the authors report reductions of up to 45% in recovery time, about 25% in cost, and more than 70% in manual interventions. This project asks whether those claims survive a careful, reproducible evaluation with a real model in the loop.</w:t>
      </w:r>
    </w:p>
    <w:p>
      <w:pPr>
        <w:pStyle w:val="Heading2"/>
        <w:keepNext/>
      </w:pPr>
      <w:r>
        <w:rPr>
          <w:rFonts w:ascii="Calibri" w:cs="Calibri" w:eastAsia="Calibri" w:hAnsi="Calibri"/>
        </w:rPr>
        <w:t xml:space="preserve">1.3  Problem Statement</w:t>
      </w:r>
    </w:p>
    <w:p>
      <w:pPr>
        <w:spacing w:after="160" w:before="0" w:line="360"/>
        <w:jc w:val="both"/>
      </w:pPr>
      <w:r>
        <w:rPr>
          <w:rFonts w:ascii="Times New Roman" w:cs="Times New Roman" w:eastAsia="Times New Roman" w:hAnsi="Times New Roman"/>
        </w:rPr>
        <w:t xml:space="preserve">Four gaps separate the claims of the base proposal from the evidence offered for them:</w:t>
      </w:r>
    </w:p>
    <w:p>
      <w:pPr>
        <w:pStyle w:val="ListParagraph"/>
        <w:numPr>
          <w:ilvl w:val="0"/>
          <w:numId w:val="2"/>
        </w:numPr>
        <w:spacing w:after="80" w:line="340"/>
        <w:jc w:val="both"/>
      </w:pPr>
      <w:r>
        <w:rPr>
          <w:rFonts w:ascii="Times New Roman" w:cs="Times New Roman" w:eastAsia="Times New Roman" w:hAnsi="Times New Roman"/>
        </w:rPr>
        <w:t xml:space="preserve">Evaluation path: the study gives too little implementation detail to identify the model-in-the-loop condition behind its headline figures, although simulated environments are known to inflate agent performance [6]–[8].</w:t>
      </w:r>
    </w:p>
    <w:p>
      <w:pPr>
        <w:pStyle w:val="ListParagraph"/>
        <w:numPr>
          <w:ilvl w:val="0"/>
          <w:numId w:val="2"/>
        </w:numPr>
        <w:spacing w:after="80" w:line="340"/>
        <w:jc w:val="both"/>
      </w:pPr>
      <w:r>
        <w:rPr>
          <w:rFonts w:ascii="Times New Roman" w:cs="Times New Roman" w:eastAsia="Times New Roman" w:hAnsi="Times New Roman"/>
        </w:rPr>
        <w:t xml:space="preserve">Baselines: the only comparator is static orchestration, even though mature non-LLM automation already runs at production scale [9].</w:t>
      </w:r>
    </w:p>
    <w:p>
      <w:pPr>
        <w:pStyle w:val="ListParagraph"/>
        <w:numPr>
          <w:ilvl w:val="0"/>
          <w:numId w:val="2"/>
        </w:numPr>
        <w:spacing w:after="80" w:line="340"/>
        <w:jc w:val="both"/>
      </w:pPr>
      <w:r>
        <w:rPr>
          <w:rFonts w:ascii="Times New Roman" w:cs="Times New Roman" w:eastAsia="Times New Roman" w:hAnsi="Times New Roman"/>
        </w:rPr>
        <w:t xml:space="preserve">Adversarial testing: the safety case rests on the policy gate, but the bound is asserted rather than tested against an adversary [10]–[12].</w:t>
      </w:r>
    </w:p>
    <w:p>
      <w:pPr>
        <w:pStyle w:val="ListParagraph"/>
        <w:numPr>
          <w:ilvl w:val="0"/>
          <w:numId w:val="2"/>
        </w:numPr>
        <w:spacing w:after="80" w:line="340"/>
        <w:jc w:val="both"/>
      </w:pPr>
      <w:r>
        <w:rPr>
          <w:rFonts w:ascii="Times New Roman" w:cs="Times New Roman" w:eastAsia="Times New Roman" w:hAnsi="Times New Roman"/>
        </w:rPr>
        <w:t xml:space="preserve">Statistics and generality: no confidence intervals, effect sizes, run counts, or cross-model results are reported [13], [14].</w:t>
      </w:r>
    </w:p>
    <w:p>
      <w:pPr>
        <w:spacing w:after="160" w:before="0" w:line="360"/>
        <w:jc w:val="both"/>
      </w:pPr>
      <w:r>
        <w:rPr>
          <w:rFonts w:ascii="Times New Roman" w:cs="Times New Roman" w:eastAsia="Times New Roman" w:hAnsi="Times New Roman"/>
        </w:rPr>
        <w:t xml:space="preserve">The problem addressed by this project is therefore to build the policy-bounded agentic system and to measure, with appropriate baselines, statistics, and an adversarial test, how much of the claimed benefit holds when a real model drives the agents.</w:t>
      </w:r>
    </w:p>
    <w:p>
      <w:pPr>
        <w:pStyle w:val="Heading2"/>
        <w:keepNext/>
      </w:pPr>
      <w:r>
        <w:rPr>
          <w:rFonts w:ascii="Calibri" w:cs="Calibri" w:eastAsia="Calibri" w:hAnsi="Calibri"/>
        </w:rPr>
        <w:t xml:space="preserve">1.4  Objectives</w:t>
      </w:r>
    </w:p>
    <w:p>
      <w:pPr>
        <w:pStyle w:val="ListParagraph"/>
        <w:numPr>
          <w:ilvl w:val="0"/>
          <w:numId w:val="3"/>
        </w:numPr>
        <w:spacing w:after="80" w:line="340"/>
        <w:jc w:val="both"/>
      </w:pPr>
      <w:r>
        <w:rPr>
          <w:rFonts w:ascii="Times New Roman" w:cs="Times New Roman" w:eastAsia="Times New Roman" w:hAnsi="Times New Roman"/>
        </w:rPr>
        <w:t xml:space="preserve">Design and implement a seven-layer, policy-bounded agentic framework for cloud data pipeline governance.</w:t>
      </w:r>
    </w:p>
    <w:p>
      <w:pPr>
        <w:pStyle w:val="ListParagraph"/>
        <w:numPr>
          <w:ilvl w:val="0"/>
          <w:numId w:val="3"/>
        </w:numPr>
        <w:spacing w:after="80" w:line="340"/>
        <w:jc w:val="both"/>
      </w:pPr>
      <w:r>
        <w:rPr>
          <w:rFonts w:ascii="Times New Roman" w:cs="Times New Roman" w:eastAsia="Times New Roman" w:hAnsi="Times New Roman"/>
        </w:rPr>
        <w:t xml:space="preserve">Gate every agent action through declarative Open Policy Agent policies with a fail-safe default and a write-ahead audit trail.</w:t>
      </w:r>
    </w:p>
    <w:p>
      <w:pPr>
        <w:pStyle w:val="ListParagraph"/>
        <w:numPr>
          <w:ilvl w:val="0"/>
          <w:numId w:val="3"/>
        </w:numPr>
        <w:spacing w:after="80" w:line="340"/>
        <w:jc w:val="both"/>
      </w:pPr>
      <w:r>
        <w:rPr>
          <w:rFonts w:ascii="Times New Roman" w:cs="Times New Roman" w:eastAsia="Times New Roman" w:hAnsi="Times New Roman"/>
        </w:rPr>
        <w:t xml:space="preserve">Build a reproducible, seeded fault-injection and experiment harness with per-run provenance.</w:t>
      </w:r>
    </w:p>
    <w:p>
      <w:pPr>
        <w:pStyle w:val="ListParagraph"/>
        <w:numPr>
          <w:ilvl w:val="0"/>
          <w:numId w:val="3"/>
        </w:numPr>
        <w:spacing w:after="80" w:line="340"/>
        <w:jc w:val="both"/>
      </w:pPr>
      <w:r>
        <w:rPr>
          <w:rFonts w:ascii="Times New Roman" w:cs="Times New Roman" w:eastAsia="Times New Roman" w:hAnsi="Times New Roman"/>
        </w:rPr>
        <w:t xml:space="preserve">Evaluate the system with a live LLM against static orchestration and two non-LLM baselines, with confidence intervals and effect sizes.</w:t>
      </w:r>
    </w:p>
    <w:p>
      <w:pPr>
        <w:pStyle w:val="ListParagraph"/>
        <w:numPr>
          <w:ilvl w:val="0"/>
          <w:numId w:val="3"/>
        </w:numPr>
        <w:spacing w:after="80" w:line="340"/>
        <w:jc w:val="both"/>
      </w:pPr>
      <w:r>
        <w:rPr>
          <w:rFonts w:ascii="Times New Roman" w:cs="Times New Roman" w:eastAsia="Times New Roman" w:hAnsi="Times New Roman"/>
        </w:rPr>
        <w:t xml:space="preserve">Quantify how a deterministic mock changes the conclusions relative to the live model.</w:t>
      </w:r>
    </w:p>
    <w:p>
      <w:pPr>
        <w:pStyle w:val="ListParagraph"/>
        <w:numPr>
          <w:ilvl w:val="0"/>
          <w:numId w:val="3"/>
        </w:numPr>
        <w:spacing w:after="80" w:line="340"/>
        <w:jc w:val="both"/>
      </w:pPr>
      <w:r>
        <w:rPr>
          <w:rFonts w:ascii="Times New Roman" w:cs="Times New Roman" w:eastAsia="Times New Roman" w:hAnsi="Times New Roman"/>
        </w:rPr>
        <w:t xml:space="preserve">Test the policy gate against a generated adversarial corpus graded by an independent oracle.</w:t>
      </w:r>
    </w:p>
    <w:p>
      <w:pPr>
        <w:pStyle w:val="Heading2"/>
        <w:keepNext/>
      </w:pPr>
      <w:r>
        <w:rPr>
          <w:rFonts w:ascii="Calibri" w:cs="Calibri" w:eastAsia="Calibri" w:hAnsi="Calibri"/>
        </w:rPr>
        <w:t xml:space="preserve">1.5  Research Questions</w:t>
      </w:r>
    </w:p>
    <w:p>
      <w:pPr>
        <w:pStyle w:val="ListParagraph"/>
        <w:numPr>
          <w:ilvl w:val="0"/>
          <w:numId w:val="4"/>
        </w:numPr>
        <w:spacing w:after="80" w:line="340"/>
        <w:jc w:val="both"/>
      </w:pPr>
      <w:r>
        <w:rPr>
          <w:rFonts w:ascii="Times New Roman" w:cs="Times New Roman" w:eastAsia="Times New Roman" w:hAnsi="Times New Roman"/>
        </w:rPr>
        <w:t xml:space="preserve">RQ1: With a real model in the loop, does the full agent system outperform static orchestration on recovery time, cost, and manual interventions?</w:t>
      </w:r>
    </w:p>
    <w:p>
      <w:pPr>
        <w:pStyle w:val="ListParagraph"/>
        <w:numPr>
          <w:ilvl w:val="0"/>
          <w:numId w:val="4"/>
        </w:numPr>
        <w:spacing w:after="80" w:line="340"/>
        <w:jc w:val="both"/>
      </w:pPr>
      <w:r>
        <w:rPr>
          <w:rFonts w:ascii="Times New Roman" w:cs="Times New Roman" w:eastAsia="Times New Roman" w:hAnsi="Times New Roman"/>
        </w:rPr>
        <w:t xml:space="preserve">RQ2: Does it outperform cheap non-LLM automation, or only a slow human?</w:t>
      </w:r>
    </w:p>
    <w:p>
      <w:pPr>
        <w:pStyle w:val="ListParagraph"/>
        <w:numPr>
          <w:ilvl w:val="0"/>
          <w:numId w:val="4"/>
        </w:numPr>
        <w:spacing w:after="80" w:line="340"/>
        <w:jc w:val="both"/>
      </w:pPr>
      <w:r>
        <w:rPr>
          <w:rFonts w:ascii="Times New Roman" w:cs="Times New Roman" w:eastAsia="Times New Roman" w:hAnsi="Times New Roman"/>
        </w:rPr>
        <w:t xml:space="preserve">RQ3: Does it act correctly, and not merely quickly?</w:t>
      </w:r>
    </w:p>
    <w:p>
      <w:pPr>
        <w:pStyle w:val="ListParagraph"/>
        <w:numPr>
          <w:ilvl w:val="0"/>
          <w:numId w:val="4"/>
        </w:numPr>
        <w:spacing w:after="80" w:line="340"/>
        <w:jc w:val="both"/>
      </w:pPr>
      <w:r>
        <w:rPr>
          <w:rFonts w:ascii="Times New Roman" w:cs="Times New Roman" w:eastAsia="Times New Roman" w:hAnsi="Times New Roman"/>
        </w:rPr>
        <w:t xml:space="preserve">RQ4: Do the answers to RQ1–RQ3 change when the model is replaced by a deterministic mock?</w:t>
      </w:r>
    </w:p>
    <w:p>
      <w:pPr>
        <w:pStyle w:val="ListParagraph"/>
        <w:numPr>
          <w:ilvl w:val="0"/>
          <w:numId w:val="4"/>
        </w:numPr>
        <w:spacing w:after="80" w:line="340"/>
        <w:jc w:val="both"/>
      </w:pPr>
      <w:r>
        <w:rPr>
          <w:rFonts w:ascii="Times New Roman" w:cs="Times New Roman" w:eastAsia="Times New Roman" w:hAnsi="Times New Roman"/>
        </w:rPr>
        <w:t xml:space="preserve">RQ5: Does the policy gate contain adversarial proposals when judged against an oracle that is independent of the policy code?</w:t>
      </w:r>
    </w:p>
    <w:p>
      <w:pPr>
        <w:pStyle w:val="Heading2"/>
        <w:keepNext/>
      </w:pPr>
      <w:r>
        <w:rPr>
          <w:rFonts w:ascii="Calibri" w:cs="Calibri" w:eastAsia="Calibri" w:hAnsi="Calibri"/>
        </w:rPr>
        <w:t xml:space="preserve">1.6  Scope of the Project</w:t>
      </w:r>
    </w:p>
    <w:p>
      <w:pPr>
        <w:spacing w:after="160" w:before="0" w:line="360"/>
        <w:jc w:val="both"/>
      </w:pPr>
      <w:r>
        <w:rPr>
          <w:rFonts w:ascii="Times New Roman" w:cs="Times New Roman" w:eastAsia="Times New Roman" w:hAnsi="Times New Roman"/>
        </w:rPr>
        <w:t xml:space="preserve">The project covers the complete software system, a single-host containerized testbed, four injected fault scenarios, eight configurations, and a live campaign with one model family. A cross-model harness, a production trust core (graduated autonomy, kill switch, blast-radius cap), and an enterprise governance layer are implemented and unit-tested but were not exercised in the evaluated campaign; the report describes them as architecture rather than as results.</w:t>
      </w:r>
    </w:p>
    <w:p>
      <w:pPr>
        <w:pStyle w:val="Heading2"/>
        <w:keepNext/>
      </w:pPr>
      <w:r>
        <w:rPr>
          <w:rFonts w:ascii="Calibri" w:cs="Calibri" w:eastAsia="Calibri" w:hAnsi="Calibri"/>
        </w:rPr>
        <w:t xml:space="preserve">1.7  Contributions</w:t>
      </w:r>
    </w:p>
    <w:p>
      <w:pPr>
        <w:pStyle w:val="ListParagraph"/>
        <w:numPr>
          <w:ilvl w:val="0"/>
          <w:numId w:val="5"/>
        </w:numPr>
        <w:spacing w:after="80" w:line="340"/>
        <w:jc w:val="both"/>
      </w:pPr>
      <w:r>
        <w:rPr>
          <w:rFonts w:ascii="Times New Roman" w:cs="Times New Roman" w:eastAsia="Times New Roman" w:hAnsi="Times New Roman"/>
        </w:rPr>
        <w:t xml:space="preserve">A live-model evaluation of eight configurations across four fault scenarios in a 560-run campaign with per-run provenance and billing-accurate LLM accounting.</w:t>
      </w:r>
    </w:p>
    <w:p>
      <w:pPr>
        <w:pStyle w:val="ListParagraph"/>
        <w:numPr>
          <w:ilvl w:val="0"/>
          <w:numId w:val="5"/>
        </w:numPr>
        <w:spacing w:after="80" w:line="340"/>
        <w:jc w:val="both"/>
      </w:pPr>
      <w:r>
        <w:rPr>
          <w:rFonts w:ascii="Times New Roman" w:cs="Times New Roman" w:eastAsia="Times New Roman" w:hAnsi="Times New Roman"/>
        </w:rPr>
        <w:t xml:space="preserve">Explicit non-LLM baselines and a decision-quality metric that test whether the agent system beats cheap automation and whether it acts correctly.</w:t>
      </w:r>
    </w:p>
    <w:p>
      <w:pPr>
        <w:pStyle w:val="ListParagraph"/>
        <w:numPr>
          <w:ilvl w:val="0"/>
          <w:numId w:val="5"/>
        </w:numPr>
        <w:spacing w:after="80" w:line="340"/>
        <w:jc w:val="both"/>
      </w:pPr>
      <w:r>
        <w:rPr>
          <w:rFonts w:ascii="Times New Roman" w:cs="Times New Roman" w:eastAsia="Times New Roman" w:hAnsi="Times New Roman"/>
        </w:rPr>
        <w:t xml:space="preserve">An adversarial evaluation of the policy gate against an independently written oracle.</w:t>
      </w:r>
    </w:p>
    <w:p>
      <w:pPr>
        <w:pStyle w:val="ListParagraph"/>
        <w:numPr>
          <w:ilvl w:val="0"/>
          <w:numId w:val="5"/>
        </w:numPr>
        <w:spacing w:after="80" w:line="340"/>
        <w:jc w:val="both"/>
      </w:pPr>
      <w:r>
        <w:rPr>
          <w:rFonts w:ascii="Times New Roman" w:cs="Times New Roman" w:eastAsia="Times New Roman" w:hAnsi="Times New Roman"/>
        </w:rPr>
        <w:t xml:space="preserve">A disclosed cost model with closed-form sensitivity analyses, together with an account of where its metered term falls short.</w:t>
      </w:r>
    </w:p>
    <w:p>
      <w:pPr>
        <w:pStyle w:val="ListParagraph"/>
        <w:numPr>
          <w:ilvl w:val="0"/>
          <w:numId w:val="5"/>
        </w:numPr>
        <w:spacing w:after="80" w:line="340"/>
        <w:jc w:val="both"/>
      </w:pPr>
      <w:r>
        <w:rPr>
          <w:rFonts w:ascii="Times New Roman" w:cs="Times New Roman" w:eastAsia="Times New Roman" w:hAnsi="Times New Roman"/>
        </w:rPr>
        <w:t xml:space="preserve">Seven production-hardening lessons drawn from defects the system actually exhibited.</w:t>
      </w:r>
    </w:p>
    <w:p>
      <w:pPr>
        <w:pStyle w:val="Heading2"/>
        <w:keepNext/>
      </w:pPr>
      <w:r>
        <w:rPr>
          <w:rFonts w:ascii="Calibri" w:cs="Calibri" w:eastAsia="Calibri" w:hAnsi="Calibri"/>
        </w:rPr>
        <w:t xml:space="preserve">1.8  Organization of the Report</w:t>
      </w:r>
    </w:p>
    <w:p>
      <w:pPr>
        <w:spacing w:after="160" w:before="0" w:line="360"/>
        <w:jc w:val="both"/>
      </w:pPr>
      <w:r>
        <w:rPr>
          <w:rFonts w:ascii="Times New Roman" w:cs="Times New Roman" w:eastAsia="Times New Roman" w:hAnsi="Times New Roman"/>
        </w:rPr>
        <w:t xml:space="preserve">Chapter 2 surveys the related literature. Chapter 3 analyzes the existing system and states the requirements. Chapter 4 presents the system design, and Chapter 5 describes the implementation. Chapter 6 covers testing and validation. Chapter 7 reports and discusses the experimental results, and Chapter 8 concludes the report and outlines future work.</w:t>
      </w:r>
    </w:p>
    <w:p>
      <w:pPr>
        <w:pageBreakBefore/>
        <w:spacing w:after="0" w:before="720" w:line="240"/>
        <w:jc w:val="left"/>
      </w:pPr>
      <w:r>
        <w:rPr>
          <w:rFonts w:ascii="Calibri" w:cs="Calibri" w:eastAsia="Calibri" w:hAnsi="Calibri"/>
          <w:b/>
          <w:bCs/>
          <w:color w:val="9DC3E6"/>
          <w:sz w:val="120"/>
          <w:szCs w:val="120"/>
        </w:rPr>
        <w:t xml:space="preserve">02</w:t>
      </w:r>
    </w:p>
    <w:p>
      <w:pPr>
        <w:spacing w:after="60"/>
        <w:jc w:val="left"/>
      </w:pPr>
      <w:r>
        <w:rPr>
          <w:rFonts w:ascii="Calibri" w:cs="Calibri" w:eastAsia="Calibri" w:hAnsi="Calibri"/>
          <w:b/>
          <w:bCs/>
          <w:color w:val="C9A227"/>
          <w:spacing w:val="120"/>
          <w:sz w:val="22"/>
          <w:szCs w:val="22"/>
        </w:rPr>
        <w:t xml:space="preserve">CHAPTER TWO</w:t>
      </w:r>
    </w:p>
    <w:p>
      <w:pPr>
        <w:pStyle w:val="Heading1"/>
        <w:pBdr>
          <w:bottom w:val="single" w:color="C9A227" w:sz="12" w:space="8"/>
        </w:pBdr>
        <w:jc w:val="left"/>
      </w:pPr>
      <w:r>
        <w:rPr>
          <w:rFonts w:ascii="Calibri" w:cs="Calibri" w:eastAsia="Calibri" w:hAnsi="Calibri"/>
        </w:rPr>
        <w:t xml:space="preserve">2. LITERATURE SURVEY</w:t>
      </w:r>
    </w:p>
    <w:p>
      <w:pPr>
        <w:spacing w:after="160" w:before="0" w:line="360"/>
        <w:jc w:val="both"/>
      </w:pPr>
      <w:r>
        <w:rPr>
          <w:rFonts w:ascii="Times New Roman" w:cs="Times New Roman" w:eastAsia="Times New Roman" w:hAnsi="Times New Roman"/>
        </w:rPr>
        <w:t xml:space="preserve">This chapter reviews four bodies of work: LLM agents for cloud operations, the validity of LLM agent evaluations, runtime governance of agent actions, and the non-LLM automation against which such agents should be measured.</w:t>
      </w:r>
    </w:p>
    <w:p>
      <w:pPr>
        <w:pStyle w:val="Heading2"/>
        <w:keepNext/>
      </w:pPr>
      <w:r>
        <w:rPr>
          <w:rFonts w:ascii="Calibri" w:cs="Calibri" w:eastAsia="Calibri" w:hAnsi="Calibri"/>
        </w:rPr>
        <w:t xml:space="preserve">2.1  The Base Architecture</w:t>
      </w:r>
    </w:p>
    <w:p>
      <w:pPr>
        <w:spacing w:after="160" w:before="0" w:line="360"/>
        <w:jc w:val="both"/>
      </w:pPr>
      <w:r>
        <w:rPr>
          <w:rFonts w:ascii="Times New Roman" w:cs="Times New Roman" w:eastAsia="Times New Roman" w:hAnsi="Times New Roman"/>
        </w:rPr>
        <w:t xml:space="preserve">The base proposal [5] describes a data plane, a policy plane, and an agentic control plane. Four bounded agents share the control plane, and each produces only a validated action proposal. Its evaluation compares the system with a static-orchestration baseline across injected failures. This project follows the same decomposition and records every design choice the description leaves open.</w:t>
      </w:r>
    </w:p>
    <w:p>
      <w:pPr>
        <w:pStyle w:val="Heading2"/>
        <w:keepNext/>
      </w:pPr>
      <w:r>
        <w:rPr>
          <w:rFonts w:ascii="Calibri" w:cs="Calibri" w:eastAsia="Calibri" w:hAnsi="Calibri"/>
        </w:rPr>
        <w:t xml:space="preserve">2.2  Workflow Orchestration and Heuristic Automation</w:t>
      </w:r>
    </w:p>
    <w:p>
      <w:pPr>
        <w:spacing w:after="160" w:before="0" w:line="360"/>
        <w:jc w:val="both"/>
      </w:pPr>
      <w:r>
        <w:rPr>
          <w:rFonts w:ascii="Times New Roman" w:cs="Times New Roman" w:eastAsia="Times New Roman" w:hAnsi="Times New Roman"/>
        </w:rPr>
        <w:t xml:space="preserve">Workflow orchestrators such as Airflow, Prefect, and Dagster are execution-centric: they schedule, retry, and alert. Automation driven only by resource signals nonetheless achieves a great deal at production scale. Google's Autopilot [9], a heuristic autoscaler covering a large share of Google's fleet, uses no LLM, which makes such automation a legitimate comparator rather than a strawman.</w:t>
      </w:r>
    </w:p>
    <w:p>
      <w:pPr>
        <w:pStyle w:val="Heading2"/>
        <w:keepNext/>
      </w:pPr>
      <w:r>
        <w:rPr>
          <w:rFonts w:ascii="Calibri" w:cs="Calibri" w:eastAsia="Calibri" w:hAnsi="Calibri"/>
        </w:rPr>
        <w:t xml:space="preserve">2.3  LLM Agents for Cloud Operations</w:t>
      </w:r>
    </w:p>
    <w:p>
      <w:pPr>
        <w:spacing w:after="160" w:before="0" w:line="360"/>
        <w:jc w:val="both"/>
      </w:pPr>
      <w:r>
        <w:rPr>
          <w:rFonts w:ascii="Times New Roman" w:cs="Times New Roman" w:eastAsia="Times New Roman" w:hAnsi="Times New Roman"/>
        </w:rPr>
        <w:t xml:space="preserve">Reasoning-and-acting loops [15] are the general pattern behind agents that observe a system and propose actions. For root-cause analysis, RCACopilot [2] and RCAgent [3] apply tool-augmented LLMs to production incidents at Microsoft and Alibaba Cloud, and OpsAgent [4] is a multi-agent incident-management system in production at Lenovo. These systems mostly recommend; the design studied here also executes, which is what makes a policy gate necessary.</w:t>
      </w:r>
    </w:p>
    <w:p>
      <w:pPr>
        <w:pStyle w:val="Heading2"/>
        <w:keepNext/>
      </w:pPr>
      <w:r>
        <w:rPr>
          <w:rFonts w:ascii="Calibri" w:cs="Calibri" w:eastAsia="Calibri" w:hAnsi="Calibri"/>
        </w:rPr>
        <w:t xml:space="preserve">2.4  Evaluation Validity for LLM Agents</w:t>
      </w:r>
    </w:p>
    <w:p>
      <w:pPr>
        <w:spacing w:after="160" w:before="0" w:line="360"/>
        <w:jc w:val="both"/>
      </w:pPr>
      <w:r>
        <w:rPr>
          <w:rFonts w:ascii="Times New Roman" w:cs="Times New Roman" w:eastAsia="Times New Roman" w:hAnsi="Times New Roman"/>
        </w:rPr>
        <w:t xml:space="preserve">A growing literature studies the gap between simulated and real evaluation of LLM agents. One framing decomposes the gap into observation, action, transition, and reward mismatches [6]. Empirical studies find that LLM-simulated users are excessively cooperative and inflate agent success [7], and that reliability drops under production-like stress such as tool faults and rate limits [8]. High-fidelity benchmarks such as TheAgentCompany [16] show low completion of consequential tasks, and a survey of agentic benchmarks finds that none meets basic procedural-validity criteria for public-sector deployment [17].</w:t>
      </w:r>
    </w:p>
    <w:p>
      <w:pPr>
        <w:pStyle w:val="Heading2"/>
        <w:keepNext/>
      </w:pPr>
      <w:r>
        <w:rPr>
          <w:rFonts w:ascii="Calibri" w:cs="Calibri" w:eastAsia="Calibri" w:hAnsi="Calibri"/>
        </w:rPr>
        <w:t xml:space="preserve">2.5  Graduated Autonomy and Runtime Policy</w:t>
      </w:r>
    </w:p>
    <w:p>
      <w:pPr>
        <w:spacing w:after="160" w:before="0" w:line="360"/>
        <w:jc w:val="both"/>
      </w:pPr>
      <w:r>
        <w:rPr>
          <w:rFonts w:ascii="Times New Roman" w:cs="Times New Roman" w:eastAsia="Times New Roman" w:hAnsi="Times New Roman"/>
        </w:rPr>
        <w:t xml:space="preserve">Graduated autonomy and a durable kill switch build on the game-theoretic treatment of shutdown incentives [18]. A related framework separates an agent's permitted autonomy level from its capability level [19]. The policy gate in this project runs on Open Policy Agent [20]; one critique argues that Rego-style languages are not expressive enough for agentic governance [12], while ActGov [21] validates every tool call against an SMT-verified policy engine, which is functionally the same per-action gate.</w:t>
      </w:r>
    </w:p>
    <w:p>
      <w:pPr>
        <w:pStyle w:val="Heading2"/>
        <w:keepNext/>
      </w:pPr>
      <w:r>
        <w:rPr>
          <w:rFonts w:ascii="Calibri" w:cs="Calibri" w:eastAsia="Calibri" w:hAnsi="Calibri"/>
        </w:rPr>
        <w:t xml:space="preserve">2.6  Adversarial Evaluation and Decision Quality</w:t>
      </w:r>
    </w:p>
    <w:p>
      <w:pPr>
        <w:spacing w:after="160" w:before="0" w:line="360"/>
        <w:jc w:val="both"/>
      </w:pPr>
      <w:r>
        <w:rPr>
          <w:rFonts w:ascii="Times New Roman" w:cs="Times New Roman" w:eastAsia="Times New Roman" w:hAnsi="Times New Roman"/>
        </w:rPr>
        <w:t xml:space="preserve">AgentDojo [10] and the Agent Security Bench [11], which reports attack success rates of up to 84.3% against weak defenses, are the extensible benchmarks closest to the corpus used here. Resolving an incident quickly is not the same as resolving it correctly: AIOpsLab [22] evaluates detection, localization, and mitigation, and OpenSec [23] finds poor calibration in frontier models. Cross-model studies report large behavior shifts across models and providers [13], [14].</w:t>
      </w:r>
    </w:p>
    <w:p>
      <w:pPr>
        <w:pStyle w:val="Heading2"/>
        <w:keepNext/>
      </w:pPr>
      <w:r>
        <w:rPr>
          <w:rFonts w:ascii="Calibri" w:cs="Calibri" w:eastAsia="Calibri" w:hAnsi="Calibri"/>
        </w:rPr>
        <w:t xml:space="preserve">2.7  Fault Injection and Statistical Methods</w:t>
      </w:r>
    </w:p>
    <w:p>
      <w:pPr>
        <w:spacing w:after="160" w:before="0" w:line="360"/>
        <w:jc w:val="both"/>
      </w:pPr>
      <w:r>
        <w:rPr>
          <w:rFonts w:ascii="Times New Roman" w:cs="Times New Roman" w:eastAsia="Times New Roman" w:hAnsi="Times New Roman"/>
        </w:rPr>
        <w:t xml:space="preserve">Deliberate fault injection is established practice [24]. The statistical analysis in this project uses bootstrap resampling [25], the Mann–Whitney [26] and Wilcoxon [27] tests, Holm's correction [28], Cliff's δ [29], and Wilson intervals [30].</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w:t>
      </w:r>
      <w:r>
        <w:fldChar w:fldCharType="end"/>
      </w:r>
      <w:r>
        <w:rPr>
          <w:rFonts w:ascii="Calibri" w:cs="Calibri" w:eastAsia="Calibri" w:hAnsi="Calibri"/>
          <w:color w:val="404040"/>
          <w:sz w:val="20"/>
          <w:szCs w:val="20"/>
        </w:rPr>
        <w:t xml:space="preserve">:  Summary of related work and its relation to this project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42"/>
        <w:gridCol w:w="2712"/>
        <w:gridCol w:w="3052"/>
      </w:tblGrid>
      <w:tr>
        <w:trPr>
          <w:cantSplit/>
          <w:tblHeader/>
        </w:trPr>
        <w:tc>
          <w:tcPr>
            <w:tcW w:type="dxa" w:w="2542"/>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Work</w:t>
            </w:r>
          </w:p>
        </w:tc>
        <w:tc>
          <w:tcPr>
            <w:tcW w:type="dxa" w:w="2712"/>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Focus</w:t>
            </w:r>
          </w:p>
        </w:tc>
        <w:tc>
          <w:tcPr>
            <w:tcW w:type="dxa" w:w="3052"/>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Relation to this project</w:t>
            </w:r>
          </w:p>
        </w:tc>
      </w:tr>
      <w:tr>
        <w:trPr>
          <w:cantSplit/>
          <w:tblHeader w:val="false"/>
        </w:trPr>
        <w:tc>
          <w:tcPr>
            <w:tcW w:type="dxa" w:w="254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Base proposal [5]</w:t>
            </w:r>
          </w:p>
        </w:tc>
        <w:tc>
          <w:tcPr>
            <w:tcW w:type="dxa" w:w="271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Policy-gated agents for pipelines</w:t>
            </w:r>
          </w:p>
        </w:tc>
        <w:tc>
          <w:tcPr>
            <w:tcW w:type="dxa" w:w="305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Architecture implemented and evaluated here</w:t>
            </w:r>
          </w:p>
        </w:tc>
      </w:tr>
      <w:tr>
        <w:trPr>
          <w:cantSplit/>
          <w:tblHeader w:val="false"/>
        </w:trPr>
        <w:tc>
          <w:tcPr>
            <w:tcW w:type="dxa" w:w="254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Autopilot [9]</w:t>
            </w:r>
          </w:p>
        </w:tc>
        <w:tc>
          <w:tcPr>
            <w:tcW w:type="dxa" w:w="271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Heuristic autoscaling at scale</w:t>
            </w:r>
          </w:p>
        </w:tc>
        <w:tc>
          <w:tcPr>
            <w:tcW w:type="dxa" w:w="305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Motivates non-LLM baselines</w:t>
            </w:r>
          </w:p>
        </w:tc>
      </w:tr>
      <w:tr>
        <w:trPr>
          <w:cantSplit/>
          <w:tblHeader w:val="false"/>
        </w:trPr>
        <w:tc>
          <w:tcPr>
            <w:tcW w:type="dxa" w:w="254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RCACopilot [2], RCAgent [3]</w:t>
            </w:r>
          </w:p>
        </w:tc>
        <w:tc>
          <w:tcPr>
            <w:tcW w:type="dxa" w:w="271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LLM root-cause analysis</w:t>
            </w:r>
          </w:p>
        </w:tc>
        <w:tc>
          <w:tcPr>
            <w:tcW w:type="dxa" w:w="305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Diagnose only; this system also acts</w:t>
            </w:r>
          </w:p>
        </w:tc>
      </w:tr>
      <w:tr>
        <w:trPr>
          <w:cantSplit/>
          <w:tblHeader w:val="false"/>
        </w:trPr>
        <w:tc>
          <w:tcPr>
            <w:tcW w:type="dxa" w:w="254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OpsAgent [4]</w:t>
            </w:r>
          </w:p>
        </w:tc>
        <w:tc>
          <w:tcPr>
            <w:tcW w:type="dxa" w:w="271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Multi-agent incident management</w:t>
            </w:r>
          </w:p>
        </w:tc>
        <w:tc>
          <w:tcPr>
            <w:tcW w:type="dxa" w:w="305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Industrial practice, same direction</w:t>
            </w:r>
          </w:p>
        </w:tc>
      </w:tr>
      <w:tr>
        <w:trPr>
          <w:cantSplit/>
          <w:tblHeader w:val="false"/>
        </w:trPr>
        <w:tc>
          <w:tcPr>
            <w:tcW w:type="dxa" w:w="254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Sim-to-real studies [6]–[8]</w:t>
            </w:r>
          </w:p>
        </w:tc>
        <w:tc>
          <w:tcPr>
            <w:tcW w:type="dxa" w:w="271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Simulation inflates agent results</w:t>
            </w:r>
          </w:p>
        </w:tc>
        <w:tc>
          <w:tcPr>
            <w:tcW w:type="dxa" w:w="305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Context for the mock-vs-live finding</w:t>
            </w:r>
          </w:p>
        </w:tc>
      </w:tr>
      <w:tr>
        <w:trPr>
          <w:cantSplit/>
          <w:tblHeader w:val="false"/>
        </w:trPr>
        <w:tc>
          <w:tcPr>
            <w:tcW w:type="dxa" w:w="254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AgentDojo [10], ASB [11]</w:t>
            </w:r>
          </w:p>
        </w:tc>
        <w:tc>
          <w:tcPr>
            <w:tcW w:type="dxa" w:w="271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Agent security benchmarks</w:t>
            </w:r>
          </w:p>
        </w:tc>
        <w:tc>
          <w:tcPr>
            <w:tcW w:type="dxa" w:w="305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Closest to the adversarial corpus</w:t>
            </w:r>
          </w:p>
        </w:tc>
      </w:tr>
      <w:tr>
        <w:trPr>
          <w:cantSplit/>
          <w:tblHeader w:val="false"/>
        </w:trPr>
        <w:tc>
          <w:tcPr>
            <w:tcW w:type="dxa" w:w="254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ActGov [21]</w:t>
            </w:r>
          </w:p>
        </w:tc>
        <w:tc>
          <w:tcPr>
            <w:tcW w:type="dxa" w:w="271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SMT-verified action gating</w:t>
            </w:r>
          </w:p>
        </w:tc>
        <w:tc>
          <w:tcPr>
            <w:tcW w:type="dxa" w:w="305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Same per-action gate concept</w:t>
            </w:r>
          </w:p>
        </w:tc>
      </w:tr>
      <w:tr>
        <w:trPr>
          <w:cantSplit/>
          <w:tblHeader w:val="false"/>
        </w:trPr>
        <w:tc>
          <w:tcPr>
            <w:tcW w:type="dxa" w:w="254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AIOpsLab [22], OpenSec [23]</w:t>
            </w:r>
          </w:p>
        </w:tc>
        <w:tc>
          <w:tcPr>
            <w:tcW w:type="dxa" w:w="271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Decision quality of cloud agents</w:t>
            </w:r>
          </w:p>
        </w:tc>
        <w:tc>
          <w:tcPr>
            <w:tcW w:type="dxa" w:w="305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Motivates the correct-mitigation metric</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2.8  Research Gap</w:t>
      </w:r>
    </w:p>
    <w:p>
      <w:pPr>
        <w:spacing w:after="160" w:before="0" w:line="360"/>
        <w:jc w:val="both"/>
      </w:pPr>
      <w:r>
        <w:rPr>
          <w:rFonts w:ascii="Times New Roman" w:cs="Times New Roman" w:eastAsia="Times New Roman" w:hAnsi="Times New Roman"/>
        </w:rPr>
        <w:t xml:space="preserve">Prior work shows that agents can fail under live or adversarial conditions, but no study measures, within one controlled campaign, how far the evaluation path alone moves the conclusions about a policy-gated pipeline agent. This project fills that gap and, in addition, tests the policy bound adversarially and compares against explicit non-LLM baselines.</w:t>
      </w:r>
    </w:p>
    <w:p>
      <w:pPr>
        <w:pageBreakBefore/>
        <w:spacing w:after="0" w:before="720" w:line="240"/>
        <w:jc w:val="left"/>
      </w:pPr>
      <w:r>
        <w:rPr>
          <w:rFonts w:ascii="Calibri" w:cs="Calibri" w:eastAsia="Calibri" w:hAnsi="Calibri"/>
          <w:b/>
          <w:bCs/>
          <w:color w:val="9DC3E6"/>
          <w:sz w:val="120"/>
          <w:szCs w:val="120"/>
        </w:rPr>
        <w:t xml:space="preserve">03</w:t>
      </w:r>
    </w:p>
    <w:p>
      <w:pPr>
        <w:spacing w:after="60"/>
        <w:jc w:val="left"/>
      </w:pPr>
      <w:r>
        <w:rPr>
          <w:rFonts w:ascii="Calibri" w:cs="Calibri" w:eastAsia="Calibri" w:hAnsi="Calibri"/>
          <w:b/>
          <w:bCs/>
          <w:color w:val="C9A227"/>
          <w:spacing w:val="120"/>
          <w:sz w:val="22"/>
          <w:szCs w:val="22"/>
        </w:rPr>
        <w:t xml:space="preserve">CHAPTER THREE</w:t>
      </w:r>
    </w:p>
    <w:p>
      <w:pPr>
        <w:pStyle w:val="Heading1"/>
        <w:pBdr>
          <w:bottom w:val="single" w:color="C9A227" w:sz="12" w:space="8"/>
        </w:pBdr>
        <w:jc w:val="left"/>
      </w:pPr>
      <w:r>
        <w:rPr>
          <w:rFonts w:ascii="Calibri" w:cs="Calibri" w:eastAsia="Calibri" w:hAnsi="Calibri"/>
        </w:rPr>
        <w:t xml:space="preserve">3. SYSTEM ANALYSIS AND REQUIREMENTS</w:t>
      </w:r>
    </w:p>
    <w:p>
      <w:pPr>
        <w:pStyle w:val="Heading2"/>
        <w:keepNext/>
      </w:pPr>
      <w:r>
        <w:rPr>
          <w:rFonts w:ascii="Calibri" w:cs="Calibri" w:eastAsia="Calibri" w:hAnsi="Calibri"/>
        </w:rPr>
        <w:t xml:space="preserve">3.1  Existing System</w:t>
      </w:r>
    </w:p>
    <w:p>
      <w:pPr>
        <w:spacing w:after="160" w:before="0" w:line="360"/>
        <w:jc w:val="both"/>
      </w:pPr>
      <w:r>
        <w:rPr>
          <w:rFonts w:ascii="Times New Roman" w:cs="Times New Roman" w:eastAsia="Times New Roman" w:hAnsi="Times New Roman"/>
        </w:rPr>
        <w:t xml:space="preserve">In the existing practice, pipelines run under static orchestration: fixed allocations, predefined retries, and human-initiated remediation, with autoscaling disabled. When a fault occurs, an alert reaches an on-call engineer, who diagnoses and repairs it by hand. The base proposal adds LLM agents but evaluates them only against this static baseline and without disclosing whether a real or simulated model produced its numbers.</w:t>
      </w:r>
    </w:p>
    <w:p>
      <w:pPr>
        <w:pStyle w:val="Heading3"/>
        <w:keepNext/>
      </w:pPr>
      <w:r>
        <w:rPr>
          <w:rFonts w:ascii="Calibri" w:cs="Calibri" w:eastAsia="Calibri" w:hAnsi="Calibri"/>
        </w:rPr>
        <w:t xml:space="preserve">3.1.1  Limitations of the Existing System</w:t>
      </w:r>
    </w:p>
    <w:p>
      <w:pPr>
        <w:pStyle w:val="ListParagraph"/>
        <w:numPr>
          <w:ilvl w:val="0"/>
          <w:numId w:val="6"/>
        </w:numPr>
        <w:spacing w:after="80" w:line="340"/>
        <w:jc w:val="both"/>
      </w:pPr>
      <w:r>
        <w:rPr>
          <w:rFonts w:ascii="Times New Roman" w:cs="Times New Roman" w:eastAsia="Times New Roman" w:hAnsi="Times New Roman"/>
        </w:rPr>
        <w:t xml:space="preserve">Recovery time is dominated by human response time.</w:t>
      </w:r>
    </w:p>
    <w:p>
      <w:pPr>
        <w:pStyle w:val="ListParagraph"/>
        <w:numPr>
          <w:ilvl w:val="0"/>
          <w:numId w:val="6"/>
        </w:numPr>
        <w:spacing w:after="80" w:line="340"/>
        <w:jc w:val="both"/>
      </w:pPr>
      <w:r>
        <w:rPr>
          <w:rFonts w:ascii="Times New Roman" w:cs="Times New Roman" w:eastAsia="Times New Roman" w:hAnsi="Times New Roman"/>
        </w:rPr>
        <w:t xml:space="preserve">Static allocation over-provisions resources and wastes cost.</w:t>
      </w:r>
    </w:p>
    <w:p>
      <w:pPr>
        <w:pStyle w:val="ListParagraph"/>
        <w:numPr>
          <w:ilvl w:val="0"/>
          <w:numId w:val="6"/>
        </w:numPr>
        <w:spacing w:after="80" w:line="340"/>
        <w:jc w:val="both"/>
      </w:pPr>
      <w:r>
        <w:rPr>
          <w:rFonts w:ascii="Times New Roman" w:cs="Times New Roman" w:eastAsia="Times New Roman" w:hAnsi="Times New Roman"/>
        </w:rPr>
        <w:t xml:space="preserve">Agent-based proposals lack independent safety testing, credible baselines, and statistical reporting.</w:t>
      </w:r>
    </w:p>
    <w:p>
      <w:pPr>
        <w:pStyle w:val="ListParagraph"/>
        <w:numPr>
          <w:ilvl w:val="0"/>
          <w:numId w:val="6"/>
        </w:numPr>
        <w:spacing w:after="80" w:line="340"/>
        <w:jc w:val="both"/>
      </w:pPr>
      <w:r>
        <w:rPr>
          <w:rFonts w:ascii="Times New Roman" w:cs="Times New Roman" w:eastAsia="Times New Roman" w:hAnsi="Times New Roman"/>
        </w:rPr>
        <w:t xml:space="preserve">Evaluations that use a simulated model may not transfer to a live deployment.</w:t>
      </w:r>
    </w:p>
    <w:p>
      <w:pPr>
        <w:pStyle w:val="Heading2"/>
        <w:keepNext/>
      </w:pPr>
      <w:r>
        <w:rPr>
          <w:rFonts w:ascii="Calibri" w:cs="Calibri" w:eastAsia="Calibri" w:hAnsi="Calibri"/>
        </w:rPr>
        <w:t xml:space="preserve">3.2  Proposed System</w:t>
      </w:r>
    </w:p>
    <w:p>
      <w:pPr>
        <w:spacing w:after="160" w:before="0" w:line="360"/>
        <w:jc w:val="both"/>
      </w:pPr>
      <w:r>
        <w:rPr>
          <w:rFonts w:ascii="Times New Roman" w:cs="Times New Roman" w:eastAsia="Times New Roman" w:hAnsi="Times New Roman"/>
        </w:rPr>
        <w:t xml:space="preserve">The proposed system is a seven-layer, policy-bounded agentic framework. Four bounded agents observe telemetry and emit only typed action proposals; a declarative policy gate decides each proposal from a context the system builds itself; allowed actions execute through a write-ahead audit trail; and everything else escalates to a human. The system is accompanied by a reproducible experiment harness that evaluates it against static orchestration and two non-LLM baselines, with a live model and with a deterministic mock.</w:t>
      </w:r>
    </w:p>
    <w:p>
      <w:pPr>
        <w:pStyle w:val="Heading3"/>
        <w:keepNext/>
      </w:pPr>
      <w:r>
        <w:rPr>
          <w:rFonts w:ascii="Calibri" w:cs="Calibri" w:eastAsia="Calibri" w:hAnsi="Calibri"/>
        </w:rPr>
        <w:t xml:space="preserve">3.2.1  Advantages of the Proposed System</w:t>
      </w:r>
    </w:p>
    <w:p>
      <w:pPr>
        <w:pStyle w:val="ListParagraph"/>
        <w:numPr>
          <w:ilvl w:val="0"/>
          <w:numId w:val="6"/>
        </w:numPr>
        <w:spacing w:after="80" w:line="340"/>
        <w:jc w:val="both"/>
      </w:pPr>
      <w:r>
        <w:rPr>
          <w:rFonts w:ascii="Times New Roman" w:cs="Times New Roman" w:eastAsia="Times New Roman" w:hAnsi="Times New Roman"/>
        </w:rPr>
        <w:t xml:space="preserve">Agents never emit or execute code; every action is validated, policy-gated, and audited.</w:t>
      </w:r>
    </w:p>
    <w:p>
      <w:pPr>
        <w:pStyle w:val="ListParagraph"/>
        <w:numPr>
          <w:ilvl w:val="0"/>
          <w:numId w:val="6"/>
        </w:numPr>
        <w:spacing w:after="80" w:line="340"/>
        <w:jc w:val="both"/>
      </w:pPr>
      <w:r>
        <w:rPr>
          <w:rFonts w:ascii="Times New Roman" w:cs="Times New Roman" w:eastAsia="Times New Roman" w:hAnsi="Times New Roman"/>
        </w:rPr>
        <w:t xml:space="preserve">Fail-safe defaults: an unreachable policy engine or an unmatched proposal escalates to a human.</w:t>
      </w:r>
    </w:p>
    <w:p>
      <w:pPr>
        <w:pStyle w:val="ListParagraph"/>
        <w:numPr>
          <w:ilvl w:val="0"/>
          <w:numId w:val="6"/>
        </w:numPr>
        <w:spacing w:after="80" w:line="340"/>
        <w:jc w:val="both"/>
      </w:pPr>
      <w:r>
        <w:rPr>
          <w:rFonts w:ascii="Times New Roman" w:cs="Times New Roman" w:eastAsia="Times New Roman" w:hAnsi="Times New Roman"/>
        </w:rPr>
        <w:t xml:space="preserve">Every reported result is regenerated from committed per-run data with provenance checks.</w:t>
      </w:r>
    </w:p>
    <w:p>
      <w:pPr>
        <w:pStyle w:val="ListParagraph"/>
        <w:numPr>
          <w:ilvl w:val="0"/>
          <w:numId w:val="6"/>
        </w:numPr>
        <w:spacing w:after="80" w:line="340"/>
        <w:jc w:val="both"/>
      </w:pPr>
      <w:r>
        <w:rPr>
          <w:rFonts w:ascii="Times New Roman" w:cs="Times New Roman" w:eastAsia="Times New Roman" w:hAnsi="Times New Roman"/>
        </w:rPr>
        <w:t xml:space="preserve">The safety bound is tested against an independent oracle rather than asserted.</w:t>
      </w:r>
    </w:p>
    <w:p>
      <w:pPr>
        <w:pStyle w:val="Heading2"/>
        <w:keepNext/>
      </w:pPr>
      <w:r>
        <w:rPr>
          <w:rFonts w:ascii="Calibri" w:cs="Calibri" w:eastAsia="Calibri" w:hAnsi="Calibri"/>
        </w:rPr>
        <w:t xml:space="preserve">3.3  Feasibility Study</w:t>
      </w:r>
    </w:p>
    <w:p>
      <w:pPr>
        <w:pStyle w:val="Heading3"/>
        <w:keepNext/>
      </w:pPr>
      <w:r>
        <w:rPr>
          <w:rFonts w:ascii="Calibri" w:cs="Calibri" w:eastAsia="Calibri" w:hAnsi="Calibri"/>
        </w:rPr>
        <w:t xml:space="preserve">3.3.1  Technical Feasibility</w:t>
      </w:r>
    </w:p>
    <w:p>
      <w:pPr>
        <w:spacing w:after="160" w:before="0" w:line="360"/>
        <w:jc w:val="both"/>
      </w:pPr>
      <w:r>
        <w:rPr>
          <w:rFonts w:ascii="Times New Roman" w:cs="Times New Roman" w:eastAsia="Times New Roman" w:hAnsi="Times New Roman"/>
        </w:rPr>
        <w:t xml:space="preserve">All components are open source and run in containers on a single laptop-class machine: PostgreSQL, Redpanda, Apache Airflow, and Open Policy Agent, with a Python 3.11 control plane. The live model is reached through an OpenAI-compatible endpoint.</w:t>
      </w:r>
    </w:p>
    <w:p>
      <w:pPr>
        <w:pStyle w:val="Heading3"/>
        <w:keepNext/>
      </w:pPr>
      <w:r>
        <w:rPr>
          <w:rFonts w:ascii="Calibri" w:cs="Calibri" w:eastAsia="Calibri" w:hAnsi="Calibri"/>
        </w:rPr>
        <w:t xml:space="preserve">3.3.2  Economic Feasibility</w:t>
      </w:r>
    </w:p>
    <w:p>
      <w:pPr>
        <w:spacing w:after="160" w:before="0" w:line="360"/>
        <w:jc w:val="both"/>
      </w:pPr>
      <w:r>
        <w:rPr>
          <w:rFonts w:ascii="Times New Roman" w:cs="Times New Roman" w:eastAsia="Times New Roman" w:hAnsi="Times New Roman"/>
        </w:rPr>
        <w:t xml:space="preserve">The software stack has no licence cost. The live campaign made 703 model calls and used 975,570 tokens across 240 live runs, well within a modest research budget; all tests and the default configuration use a mock model with zero API calls.</w:t>
      </w:r>
    </w:p>
    <w:p>
      <w:pPr>
        <w:pStyle w:val="Heading3"/>
        <w:keepNext/>
      </w:pPr>
      <w:r>
        <w:rPr>
          <w:rFonts w:ascii="Calibri" w:cs="Calibri" w:eastAsia="Calibri" w:hAnsi="Calibri"/>
        </w:rPr>
        <w:t xml:space="preserve">3.3.3  Operational Feasibility</w:t>
      </w:r>
    </w:p>
    <w:p>
      <w:pPr>
        <w:spacing w:after="160" w:before="0" w:line="360"/>
        <w:jc w:val="both"/>
      </w:pPr>
      <w:r>
        <w:rPr>
          <w:rFonts w:ascii="Times New Roman" w:cs="Times New Roman" w:eastAsia="Times New Roman" w:hAnsi="Times New Roman"/>
        </w:rPr>
        <w:t xml:space="preserve">The system attaches to an existing orchestrator through a connector boundary, supports shadow and approval modes before autonomous operation, and exposes an operator API and dashboard, so it can be introduced gradually into an existing operations team.</w:t>
      </w:r>
    </w:p>
    <w:p>
      <w:pPr>
        <w:pStyle w:val="Heading2"/>
        <w:keepNext/>
      </w:pPr>
      <w:r>
        <w:rPr>
          <w:rFonts w:ascii="Calibri" w:cs="Calibri" w:eastAsia="Calibri" w:hAnsi="Calibri"/>
        </w:rPr>
        <w:t xml:space="preserve">3.4  Hardware and Software Requirements</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2</w:t>
      </w:r>
      <w:r>
        <w:fldChar w:fldCharType="end"/>
      </w:r>
      <w:r>
        <w:rPr>
          <w:rFonts w:ascii="Calibri" w:cs="Calibri" w:eastAsia="Calibri" w:hAnsi="Calibri"/>
          <w:color w:val="404040"/>
          <w:sz w:val="20"/>
          <w:szCs w:val="20"/>
        </w:rPr>
        <w:t xml:space="preserve">:  Testbed, software versions, and fixed experimental parameters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27"/>
        <w:gridCol w:w="6479"/>
      </w:tblGrid>
      <w:tr>
        <w:trPr>
          <w:cantSplit/>
          <w:tblHeader/>
        </w:trPr>
        <w:tc>
          <w:tcPr>
            <w:tcW w:type="dxa" w:w="182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Item</w:t>
            </w:r>
          </w:p>
        </w:tc>
        <w:tc>
          <w:tcPr>
            <w:tcW w:type="dxa" w:w="647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Setting</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Host</w:t>
            </w:r>
          </w:p>
        </w:tc>
        <w:tc>
          <w:tcPr>
            <w:tcW w:type="dxa" w:w="647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One Apple M2 machine (arm64), 8 cores, 8 GB memory, macOS 15.7.2; runs strictly sequential</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Software</w:t>
            </w:r>
          </w:p>
        </w:tc>
        <w:tc>
          <w:tcPr>
            <w:tcW w:type="dxa" w:w="647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Docker 29.6.1; PostgreSQL 16.6; Redpanda v24.2.18; Apache Airflow 2.10.5 (Python 3.11); OPA 0.68.0</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Batch data</w:t>
            </w:r>
          </w:p>
        </w:tc>
        <w:tc>
          <w:tcPr>
            <w:tcW w:type="dxa" w:w="647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Downscaled TPC-DS-derived synthetic fact table, 20,000 rows</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Live model</w:t>
            </w:r>
          </w:p>
        </w:tc>
        <w:tc>
          <w:tcPr>
            <w:tcW w:type="dxa" w:w="647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Reasoning agents: nvidia/nemotron-3-ultra-550b-a55b; monitoring: nvidia/nemotron-3-super-120b-a12b; OpenAI-compatible endpoint, temperature 0</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LLM budget</w:t>
            </w:r>
          </w:p>
        </w:tc>
        <w:tc>
          <w:tcPr>
            <w:tcW w:type="dxa" w:w="647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60 calls and 150,000 tokens per run</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Timing</w:t>
            </w:r>
          </w:p>
        </w:tc>
        <w:tc>
          <w:tcPr>
            <w:tcW w:type="dxa" w:w="647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120 s warm-up, 300 s control loop, 5 s settle; control tick 2 s (default 15 s)</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Human model</w:t>
            </w:r>
          </w:p>
        </w:tc>
        <w:tc>
          <w:tcPr>
            <w:tcW w:type="dxa" w:w="647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Log-normal delay, median 360 s, σ = 0.5</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Cost model</w:t>
            </w:r>
          </w:p>
        </w:tc>
        <w:tc>
          <w:tcPr>
            <w:tcW w:type="dxa" w:w="647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Static allocation 8 units, right-sized 3 units, horizon 300 s; 0.05 per compute unit-second, 0.01 per GB-hour</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Baseline latencies</w:t>
            </w:r>
          </w:p>
        </w:tc>
        <w:tc>
          <w:tcPr>
            <w:tcW w:type="dxa" w:w="647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rule_based resolves covered faults 30 s after detection; autoscale 20 s</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Policy limits</w:t>
            </w:r>
          </w:p>
        </w:tc>
        <w:tc>
          <w:tcPr>
            <w:tcW w:type="dxa" w:w="647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Rate limit of 5 actions per agent per 10 minutes; default budget 100 units per run</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3.5  Functional Requirements</w:t>
      </w:r>
    </w:p>
    <w:p>
      <w:pPr>
        <w:pStyle w:val="ListParagraph"/>
        <w:numPr>
          <w:ilvl w:val="0"/>
          <w:numId w:val="7"/>
        </w:numPr>
        <w:spacing w:after="80" w:line="340"/>
        <w:jc w:val="both"/>
      </w:pPr>
      <w:r>
        <w:rPr>
          <w:rFonts w:ascii="Times New Roman" w:cs="Times New Roman" w:eastAsia="Times New Roman" w:hAnsi="Times New Roman"/>
        </w:rPr>
        <w:t xml:space="preserve">Collect pipeline telemetry (task runs, resource usage, failure events, freshness, cost) into a central store.</w:t>
      </w:r>
    </w:p>
    <w:p>
      <w:pPr>
        <w:pStyle w:val="ListParagraph"/>
        <w:numPr>
          <w:ilvl w:val="0"/>
          <w:numId w:val="7"/>
        </w:numPr>
        <w:spacing w:after="80" w:line="340"/>
        <w:jc w:val="both"/>
      </w:pPr>
      <w:r>
        <w:rPr>
          <w:rFonts w:ascii="Times New Roman" w:cs="Times New Roman" w:eastAsia="Times New Roman" w:hAnsi="Times New Roman"/>
        </w:rPr>
        <w:t xml:space="preserve">Detect anomalies and record failure events with detection timestamps.</w:t>
      </w:r>
    </w:p>
    <w:p>
      <w:pPr>
        <w:pStyle w:val="ListParagraph"/>
        <w:numPr>
          <w:ilvl w:val="0"/>
          <w:numId w:val="7"/>
        </w:numPr>
        <w:spacing w:after="80" w:line="340"/>
        <w:jc w:val="both"/>
      </w:pPr>
      <w:r>
        <w:rPr>
          <w:rFonts w:ascii="Times New Roman" w:cs="Times New Roman" w:eastAsia="Times New Roman" w:hAnsi="Times New Roman"/>
        </w:rPr>
        <w:t xml:space="preserve">Let each agent propose only actions from its own allowlist, as a validated structured object.</w:t>
      </w:r>
    </w:p>
    <w:p>
      <w:pPr>
        <w:pStyle w:val="ListParagraph"/>
        <w:numPr>
          <w:ilvl w:val="0"/>
          <w:numId w:val="7"/>
        </w:numPr>
        <w:spacing w:after="80" w:line="340"/>
        <w:jc w:val="both"/>
      </w:pPr>
      <w:r>
        <w:rPr>
          <w:rFonts w:ascii="Times New Roman" w:cs="Times New Roman" w:eastAsia="Times New Roman" w:hAnsi="Times New Roman"/>
        </w:rPr>
        <w:t xml:space="preserve">Evaluate every proposal against rate-limit, cost-budget, recovery-approval, and schema-compatibility policies.</w:t>
      </w:r>
    </w:p>
    <w:p>
      <w:pPr>
        <w:pStyle w:val="ListParagraph"/>
        <w:numPr>
          <w:ilvl w:val="0"/>
          <w:numId w:val="7"/>
        </w:numPr>
        <w:spacing w:after="80" w:line="340"/>
        <w:jc w:val="both"/>
      </w:pPr>
      <w:r>
        <w:rPr>
          <w:rFonts w:ascii="Times New Roman" w:cs="Times New Roman" w:eastAsia="Times New Roman" w:hAnsi="Times New Roman"/>
        </w:rPr>
        <w:t xml:space="preserve">Execute allowed actions on Airflow and PostgreSQL, and escalate denied or unmatched ones to a human.</w:t>
      </w:r>
    </w:p>
    <w:p>
      <w:pPr>
        <w:pStyle w:val="ListParagraph"/>
        <w:numPr>
          <w:ilvl w:val="0"/>
          <w:numId w:val="7"/>
        </w:numPr>
        <w:spacing w:after="80" w:line="340"/>
        <w:jc w:val="both"/>
      </w:pPr>
      <w:r>
        <w:rPr>
          <w:rFonts w:ascii="Times New Roman" w:cs="Times New Roman" w:eastAsia="Times New Roman" w:hAnsi="Times New Roman"/>
        </w:rPr>
        <w:t xml:space="preserve">Record an intent row before execution and the outcome after it.</w:t>
      </w:r>
    </w:p>
    <w:p>
      <w:pPr>
        <w:pStyle w:val="ListParagraph"/>
        <w:numPr>
          <w:ilvl w:val="0"/>
          <w:numId w:val="7"/>
        </w:numPr>
        <w:spacing w:after="80" w:line="340"/>
        <w:jc w:val="both"/>
      </w:pPr>
      <w:r>
        <w:rPr>
          <w:rFonts w:ascii="Times New Roman" w:cs="Times New Roman" w:eastAsia="Times New Roman" w:hAnsi="Times New Roman"/>
        </w:rPr>
        <w:t xml:space="preserve">Inject reproducible, seeded faults and run experiment matrices with per-run provenance.</w:t>
      </w:r>
    </w:p>
    <w:p>
      <w:pPr>
        <w:pStyle w:val="ListParagraph"/>
        <w:numPr>
          <w:ilvl w:val="0"/>
          <w:numId w:val="7"/>
        </w:numPr>
        <w:spacing w:after="80" w:line="340"/>
        <w:jc w:val="both"/>
      </w:pPr>
      <w:r>
        <w:rPr>
          <w:rFonts w:ascii="Times New Roman" w:cs="Times New Roman" w:eastAsia="Times New Roman" w:hAnsi="Times New Roman"/>
        </w:rPr>
        <w:t xml:space="preserve">Generate every table, figure, and reported number from the committed run data.</w:t>
      </w:r>
    </w:p>
    <w:p>
      <w:pPr>
        <w:pStyle w:val="Heading2"/>
        <w:keepNext/>
      </w:pPr>
      <w:r>
        <w:rPr>
          <w:rFonts w:ascii="Calibri" w:cs="Calibri" w:eastAsia="Calibri" w:hAnsi="Calibri"/>
        </w:rPr>
        <w:t xml:space="preserve">3.6  Non-Functional Requirements</w:t>
      </w:r>
    </w:p>
    <w:p>
      <w:pPr>
        <w:pStyle w:val="ListParagraph"/>
        <w:numPr>
          <w:ilvl w:val="0"/>
          <w:numId w:val="6"/>
        </w:numPr>
        <w:spacing w:after="80" w:line="340"/>
        <w:jc w:val="both"/>
      </w:pPr>
      <w:r>
        <w:rPr>
          <w:rFonts w:ascii="Times New Roman" w:cs="Times New Roman" w:eastAsia="Times New Roman" w:hAnsi="Times New Roman"/>
        </w:rPr>
        <w:t xml:space="preserve">Safety: fail toward the human on any policy or infrastructure failure.</w:t>
      </w:r>
    </w:p>
    <w:p>
      <w:pPr>
        <w:pStyle w:val="ListParagraph"/>
        <w:numPr>
          <w:ilvl w:val="0"/>
          <w:numId w:val="6"/>
        </w:numPr>
        <w:spacing w:after="80" w:line="340"/>
        <w:jc w:val="both"/>
      </w:pPr>
      <w:r>
        <w:rPr>
          <w:rFonts w:ascii="Times New Roman" w:cs="Times New Roman" w:eastAsia="Times New Roman" w:hAnsi="Times New Roman"/>
        </w:rPr>
        <w:t xml:space="preserve">Determinism: every stochastic component takes an explicit seed; the model runs at temperature zero.</w:t>
      </w:r>
    </w:p>
    <w:p>
      <w:pPr>
        <w:pStyle w:val="ListParagraph"/>
        <w:numPr>
          <w:ilvl w:val="0"/>
          <w:numId w:val="6"/>
        </w:numPr>
        <w:spacing w:after="80" w:line="340"/>
        <w:jc w:val="both"/>
      </w:pPr>
      <w:r>
        <w:rPr>
          <w:rFonts w:ascii="Times New Roman" w:cs="Times New Roman" w:eastAsia="Times New Roman" w:hAnsi="Times New Roman"/>
        </w:rPr>
        <w:t xml:space="preserve">Auditability: every action, verdict, and outcome is persisted.</w:t>
      </w:r>
    </w:p>
    <w:p>
      <w:pPr>
        <w:pStyle w:val="ListParagraph"/>
        <w:numPr>
          <w:ilvl w:val="0"/>
          <w:numId w:val="6"/>
        </w:numPr>
        <w:spacing w:after="80" w:line="340"/>
        <w:jc w:val="both"/>
      </w:pPr>
      <w:r>
        <w:rPr>
          <w:rFonts w:ascii="Times New Roman" w:cs="Times New Roman" w:eastAsia="Times New Roman" w:hAnsi="Times New Roman"/>
        </w:rPr>
        <w:t xml:space="preserve">Reliability: bounded retries for database and orchestrator calls; supervised, resumable campaigns.</w:t>
      </w:r>
    </w:p>
    <w:p>
      <w:pPr>
        <w:pStyle w:val="ListParagraph"/>
        <w:numPr>
          <w:ilvl w:val="0"/>
          <w:numId w:val="6"/>
        </w:numPr>
        <w:spacing w:after="80" w:line="340"/>
        <w:jc w:val="both"/>
      </w:pPr>
      <w:r>
        <w:rPr>
          <w:rFonts w:ascii="Times New Roman" w:cs="Times New Roman" w:eastAsia="Times New Roman" w:hAnsi="Times New Roman"/>
        </w:rPr>
        <w:t xml:space="preserve">Maintainability: full type hints, linting, static type checking, and more than 80% unit-test coverage.</w:t>
      </w:r>
    </w:p>
    <w:p>
      <w:pPr>
        <w:pStyle w:val="ListParagraph"/>
        <w:numPr>
          <w:ilvl w:val="0"/>
          <w:numId w:val="6"/>
        </w:numPr>
        <w:spacing w:after="80" w:line="340"/>
        <w:jc w:val="both"/>
      </w:pPr>
      <w:r>
        <w:rPr>
          <w:rFonts w:ascii="Times New Roman" w:cs="Times New Roman" w:eastAsia="Times New Roman" w:hAnsi="Times New Roman"/>
        </w:rPr>
        <w:t xml:space="preserve">Security: no secrets in code; credentials only through environment configuration.</w:t>
      </w:r>
    </w:p>
    <w:p>
      <w:pPr>
        <w:pageBreakBefore/>
        <w:spacing w:after="0" w:before="720" w:line="240"/>
        <w:jc w:val="left"/>
      </w:pPr>
      <w:r>
        <w:rPr>
          <w:rFonts w:ascii="Calibri" w:cs="Calibri" w:eastAsia="Calibri" w:hAnsi="Calibri"/>
          <w:b/>
          <w:bCs/>
          <w:color w:val="9DC3E6"/>
          <w:sz w:val="120"/>
          <w:szCs w:val="120"/>
        </w:rPr>
        <w:t xml:space="preserve">04</w:t>
      </w:r>
    </w:p>
    <w:p>
      <w:pPr>
        <w:spacing w:after="60"/>
        <w:jc w:val="left"/>
      </w:pPr>
      <w:r>
        <w:rPr>
          <w:rFonts w:ascii="Calibri" w:cs="Calibri" w:eastAsia="Calibri" w:hAnsi="Calibri"/>
          <w:b/>
          <w:bCs/>
          <w:color w:val="C9A227"/>
          <w:spacing w:val="120"/>
          <w:sz w:val="22"/>
          <w:szCs w:val="22"/>
        </w:rPr>
        <w:t xml:space="preserve">CHAPTER FOUR</w:t>
      </w:r>
    </w:p>
    <w:p>
      <w:pPr>
        <w:pStyle w:val="Heading1"/>
        <w:pBdr>
          <w:bottom w:val="single" w:color="C9A227" w:sz="12" w:space="8"/>
        </w:pBdr>
        <w:jc w:val="left"/>
      </w:pPr>
      <w:r>
        <w:rPr>
          <w:rFonts w:ascii="Calibri" w:cs="Calibri" w:eastAsia="Calibri" w:hAnsi="Calibri"/>
        </w:rPr>
        <w:t xml:space="preserve">4. SYSTEM DESIGN</w:t>
      </w:r>
    </w:p>
    <w:p>
      <w:pPr>
        <w:pStyle w:val="Heading2"/>
        <w:keepNext/>
      </w:pPr>
      <w:r>
        <w:rPr>
          <w:rFonts w:ascii="Calibri" w:cs="Calibri" w:eastAsia="Calibri" w:hAnsi="Calibri"/>
        </w:rPr>
        <w:t xml:space="preserve">4.1  Architecture Overview</w:t>
      </w:r>
    </w:p>
    <w:p>
      <w:pPr>
        <w:spacing w:after="160" w:before="0" w:line="360"/>
        <w:jc w:val="both"/>
      </w:pPr>
      <w:r>
        <w:rPr>
          <w:rFonts w:ascii="Times New Roman" w:cs="Times New Roman" w:eastAsia="Times New Roman" w:hAnsi="Times New Roman"/>
        </w:rPr>
        <w:t xml:space="preserve">The system is organized in seven layers, shown in Figure 1. Layers 1 and 2 form the data plane and its telemetry, layer 3 holds the four bounded agents, layer 4 is the policy gate, and layer 5 executes and audits whatever the gate allows. Layers 6 and 7, orchestration and enterprise governance, extend the base design. Dashed boxes mark components that are implemented but were not exercised in the evaluation.</w:t>
      </w:r>
    </w:p>
    <w:p>
      <w:pPr>
        <w:keepNext/>
        <w:spacing w:before="120"/>
        <w:jc w:val="center"/>
      </w:pPr>
      <w:r>
        <w:drawing>
          <wp:inline distT="0" distB="0" distL="0" distR="0">
            <wp:extent cx="5486400" cy="4248150"/>
            <wp:effectExtent t="0" r="0" b="0" l="0"/>
            <wp:docPr id="1" name="system_architecture.png" descr="Seven-layer system architecture" title="Seven-layer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248150"/>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1</w:t>
      </w:r>
      <w:r>
        <w:fldChar w:fldCharType="end"/>
      </w:r>
      <w:r>
        <w:rPr>
          <w:rFonts w:ascii="Calibri" w:cs="Calibri" w:eastAsia="Calibri" w:hAnsi="Calibri"/>
          <w:color w:val="404040"/>
          <w:sz w:val="20"/>
          <w:szCs w:val="20"/>
        </w:rPr>
        <w:t xml:space="preserve">:  Seven-layer system architecture</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3</w:t>
      </w:r>
      <w:r>
        <w:fldChar w:fldCharType="end"/>
      </w:r>
      <w:r>
        <w:rPr>
          <w:rFonts w:ascii="Calibri" w:cs="Calibri" w:eastAsia="Calibri" w:hAnsi="Calibri"/>
          <w:color w:val="404040"/>
          <w:sz w:val="20"/>
          <w:szCs w:val="20"/>
        </w:rPr>
        <w:t xml:space="preserve">:  Layers of the architecture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76"/>
        <w:gridCol w:w="3322"/>
        <w:gridCol w:w="2399"/>
        <w:gridCol w:w="1109"/>
      </w:tblGrid>
      <w:tr>
        <w:trPr>
          <w:cantSplit/>
          <w:tblHeader/>
        </w:trPr>
        <w:tc>
          <w:tcPr>
            <w:tcW w:type="dxa" w:w="1476"/>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Layer</w:t>
            </w:r>
          </w:p>
        </w:tc>
        <w:tc>
          <w:tcPr>
            <w:tcW w:type="dxa" w:w="3322"/>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Components</w:t>
            </w:r>
          </w:p>
        </w:tc>
        <w:tc>
          <w:tcPr>
            <w:tcW w:type="dxa" w:w="239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Role</w:t>
            </w:r>
          </w:p>
        </w:tc>
        <w:tc>
          <w:tcPr>
            <w:tcW w:type="dxa" w:w="110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Evaluated</w:t>
            </w:r>
          </w:p>
        </w:tc>
      </w:tr>
      <w:tr>
        <w:trPr>
          <w:cantSplit/>
          <w:tblHeader w:val="false"/>
        </w:trPr>
        <w:tc>
          <w:tcPr>
            <w:tcW w:type="dxa" w:w="14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1 Data plane</w:t>
            </w:r>
          </w:p>
        </w:tc>
        <w:tc>
          <w:tcPr>
            <w:tcW w:type="dxa" w:w="33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Airflow, warehouse, Redpanda, stream consumer</w:t>
            </w:r>
          </w:p>
        </w:tc>
        <w:tc>
          <w:tcPr>
            <w:tcW w:type="dxa" w:w="239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Batch and streaming ingestion</w:t>
            </w:r>
          </w:p>
        </w:tc>
        <w:tc>
          <w:tcPr>
            <w:tcW w:type="dxa" w:w="110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Yes</w:t>
            </w:r>
          </w:p>
        </w:tc>
      </w:tr>
      <w:tr>
        <w:trPr>
          <w:cantSplit/>
          <w:tblHeader w:val="false"/>
        </w:trPr>
        <w:tc>
          <w:tcPr>
            <w:tcW w:type="dxa" w:w="14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2 Telemetry</w:t>
            </w:r>
          </w:p>
        </w:tc>
        <w:tc>
          <w:tcPr>
            <w:tcW w:type="dxa" w:w="33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Collector, telemetry store, freshness, cost ledger</w:t>
            </w:r>
          </w:p>
        </w:tc>
        <w:tc>
          <w:tcPr>
            <w:tcW w:type="dxa" w:w="239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Observability and metrics</w:t>
            </w:r>
          </w:p>
        </w:tc>
        <w:tc>
          <w:tcPr>
            <w:tcW w:type="dxa" w:w="110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Yes</w:t>
            </w:r>
          </w:p>
        </w:tc>
      </w:tr>
      <w:tr>
        <w:trPr>
          <w:cantSplit/>
          <w:tblHeader w:val="false"/>
        </w:trPr>
        <w:tc>
          <w:tcPr>
            <w:tcW w:type="dxa" w:w="14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3 Agents</w:t>
            </w:r>
          </w:p>
        </w:tc>
        <w:tc>
          <w:tcPr>
            <w:tcW w:type="dxa" w:w="33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Monitoring, optimization, schema, recovery; LLM client</w:t>
            </w:r>
          </w:p>
        </w:tc>
        <w:tc>
          <w:tcPr>
            <w:tcW w:type="dxa" w:w="239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Observe, reason, propose</w:t>
            </w:r>
          </w:p>
        </w:tc>
        <w:tc>
          <w:tcPr>
            <w:tcW w:type="dxa" w:w="110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Yes</w:t>
            </w:r>
          </w:p>
        </w:tc>
      </w:tr>
      <w:tr>
        <w:trPr>
          <w:cantSplit/>
          <w:tblHeader w:val="false"/>
        </w:trPr>
        <w:tc>
          <w:tcPr>
            <w:tcW w:type="dxa" w:w="14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4 Policy gate</w:t>
            </w:r>
          </w:p>
        </w:tc>
        <w:tc>
          <w:tcPr>
            <w:tcW w:type="dxa" w:w="33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Context builder, OPA with four policy packs</w:t>
            </w:r>
          </w:p>
        </w:tc>
        <w:tc>
          <w:tcPr>
            <w:tcW w:type="dxa" w:w="239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Allow, deny, escalate</w:t>
            </w:r>
          </w:p>
        </w:tc>
        <w:tc>
          <w:tcPr>
            <w:tcW w:type="dxa" w:w="110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Yes</w:t>
            </w:r>
          </w:p>
        </w:tc>
      </w:tr>
      <w:tr>
        <w:trPr>
          <w:cantSplit/>
          <w:tblHeader w:val="false"/>
        </w:trPr>
        <w:tc>
          <w:tcPr>
            <w:tcW w:type="dxa" w:w="14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5 Execution</w:t>
            </w:r>
          </w:p>
        </w:tc>
        <w:tc>
          <w:tcPr>
            <w:tcW w:type="dxa" w:w="33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Write-ahead audit log, dispatcher, handlers</w:t>
            </w:r>
          </w:p>
        </w:tc>
        <w:tc>
          <w:tcPr>
            <w:tcW w:type="dxa" w:w="239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Execute and audit</w:t>
            </w:r>
          </w:p>
        </w:tc>
        <w:tc>
          <w:tcPr>
            <w:tcW w:type="dxa" w:w="110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Partly</w:t>
            </w:r>
          </w:p>
        </w:tc>
      </w:tr>
      <w:tr>
        <w:trPr>
          <w:cantSplit/>
          <w:tblHeader w:val="false"/>
        </w:trPr>
        <w:tc>
          <w:tcPr>
            <w:tcW w:type="dxa" w:w="14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6 Orchestration</w:t>
            </w:r>
          </w:p>
        </w:tc>
        <w:tc>
          <w:tcPr>
            <w:tcW w:type="dxa" w:w="33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Control loop, arbitration, locks, trust core</w:t>
            </w:r>
          </w:p>
        </w:tc>
        <w:tc>
          <w:tcPr>
            <w:tcW w:type="dxa" w:w="239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Drive the loop, resolve conflicts</w:t>
            </w:r>
          </w:p>
        </w:tc>
        <w:tc>
          <w:tcPr>
            <w:tcW w:type="dxa" w:w="110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Partly</w:t>
            </w:r>
          </w:p>
        </w:tc>
      </w:tr>
      <w:tr>
        <w:trPr>
          <w:cantSplit/>
          <w:tblHeader w:val="false"/>
        </w:trPr>
        <w:tc>
          <w:tcPr>
            <w:tcW w:type="dxa" w:w="14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7 Governance</w:t>
            </w:r>
          </w:p>
        </w:tc>
        <w:tc>
          <w:tcPr>
            <w:tcW w:type="dxa" w:w="33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Operator API, RBAC, tenants, audit export</w:t>
            </w:r>
          </w:p>
        </w:tc>
        <w:tc>
          <w:tcPr>
            <w:tcW w:type="dxa" w:w="239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Multi-tenant operation</w:t>
            </w:r>
          </w:p>
        </w:tc>
        <w:tc>
          <w:tcPr>
            <w:tcW w:type="dxa" w:w="110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No</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4.2  Problem Formulation</w:t>
      </w:r>
    </w:p>
    <w:p>
      <w:pPr>
        <w:spacing w:after="160" w:before="0" w:line="360"/>
        <w:jc w:val="both"/>
      </w:pPr>
      <w:r>
        <w:rPr>
          <w:rFonts w:ascii="Times New Roman" w:cs="Times New Roman" w:eastAsia="Times New Roman" w:hAnsi="Times New Roman"/>
        </w:rPr>
        <w:t xml:space="preserve">A pipeline emits a telemetry snapshot s_k at each control tick k. A fault f is injected at time t_f, detected at t_d, and resolved at t_r, either by an executed mitigation or by the on-call engineer. Each enabled agent g proposes an action a = (g, type, target, params, justification, confidence). A policy gate G decides each proposal from a context c = (m, B, n, κ, v): the projected marginal cost m, the remaining budget B, the number n of actions the proposing agent has recorded in the last ten minutes, the schema-compatibility class κ, and a flag v indicating whether a prior version exists.</w:t>
      </w:r>
    </w:p>
    <w:p>
      <w:pPr>
        <w:pStyle w:val="Heading3"/>
        <w:keepNext/>
      </w:pPr>
      <w:r>
        <w:rPr>
          <w:rFonts w:ascii="Calibri" w:cs="Calibri" w:eastAsia="Calibri" w:hAnsi="Calibri"/>
        </w:rPr>
        <w:t xml:space="preserve">4.2.1  Gate Semantics</w:t>
      </w:r>
    </w:p>
    <w:p>
      <w:pPr>
        <w:spacing w:after="160" w:before="0" w:line="360"/>
        <w:jc w:val="both"/>
      </w:pPr>
      <w:r>
        <w:rPr>
          <w:rFonts w:ascii="Times New Roman" w:cs="Times New Roman" w:eastAsia="Times New Roman" w:hAnsi="Times New Roman"/>
        </w:rPr>
        <w:t xml:space="preserve">The rate limit is applied before any agent-specific policy:</w:t>
      </w:r>
    </w:p>
    <w:p>
      <w:pPr>
        <w:tabs>
          <w:tab w:val="right" w:pos="8306"/>
        </w:tabs>
        <w:spacing w:after="160" w:before="120"/>
        <w:jc w:val="center"/>
      </w:pPr>
      <w:r>
        <w:rPr>
          <w:rFonts w:ascii="Times New Roman" w:cs="Times New Roman" w:eastAsia="Times New Roman" w:hAnsi="Times New Roman"/>
          <w:i/>
          <w:iCs/>
        </w:rPr>
        <w:t xml:space="preserve">G(a, c) = DENY  if  n ≥ n_max,   n_max = 5</w:t>
      </w:r>
      <w:r>
        <w:rPr>
          <w:rFonts w:ascii="Times New Roman" w:cs="Times New Roman" w:eastAsia="Times New Roman" w:hAnsi="Times New Roman"/>
        </w:rPr>
        <w:tab/>
        <w:t xml:space="preserve">(4.1)</w:t>
      </w:r>
    </w:p>
    <w:p>
      <w:pPr>
        <w:spacing w:after="160" w:before="0" w:line="360"/>
        <w:jc w:val="both"/>
      </w:pPr>
      <w:r>
        <w:rPr>
          <w:rFonts w:ascii="Times New Roman" w:cs="Times New Roman" w:eastAsia="Times New Roman" w:hAnsi="Times New Roman"/>
        </w:rPr>
        <w:t xml:space="preserve">A scaling action passes the cost policy only if</w:t>
      </w:r>
    </w:p>
    <w:p>
      <w:pPr>
        <w:tabs>
          <w:tab w:val="right" w:pos="8306"/>
        </w:tabs>
        <w:spacing w:after="160" w:before="120"/>
        <w:jc w:val="center"/>
      </w:pPr>
      <w:r>
        <w:rPr>
          <w:rFonts w:ascii="Times New Roman" w:cs="Times New Roman" w:eastAsia="Times New Roman" w:hAnsi="Times New Roman"/>
          <w:i/>
          <w:iCs/>
        </w:rPr>
        <w:t xml:space="preserve">m ≤ 0   or   m ≤ B</w:t>
      </w:r>
      <w:r>
        <w:rPr>
          <w:rFonts w:ascii="Times New Roman" w:cs="Times New Roman" w:eastAsia="Times New Roman" w:hAnsi="Times New Roman"/>
        </w:rPr>
        <w:tab/>
        <w:t xml:space="preserve">(4.2)</w:t>
      </w:r>
    </w:p>
    <w:p>
      <w:pPr>
        <w:spacing w:after="160" w:before="0" w:line="360"/>
        <w:jc w:val="both"/>
      </w:pPr>
      <w:r>
        <w:rPr>
          <w:rFonts w:ascii="Times New Roman" w:cs="Times New Roman" w:eastAsia="Times New Roman" w:hAnsi="Times New Roman"/>
        </w:rPr>
        <w:t xml:space="preserve">so a scale-down always passes. Rollback requires v, a schema change requires a backward-compatible κ, and any proposal that matches no policy or cannot be evaluated escalates.</w:t>
      </w:r>
    </w:p>
    <w:p>
      <w:pPr>
        <w:pStyle w:val="Heading3"/>
        <w:keepNext/>
      </w:pPr>
      <w:r>
        <w:rPr>
          <w:rFonts w:ascii="Calibri" w:cs="Calibri" w:eastAsia="Calibri" w:hAnsi="Calibri"/>
        </w:rPr>
        <w:t xml:space="preserve">4.2.2  Metrics</w:t>
      </w:r>
    </w:p>
    <w:p>
      <w:pPr>
        <w:tabs>
          <w:tab w:val="right" w:pos="8306"/>
        </w:tabs>
        <w:spacing w:after="160" w:before="120"/>
        <w:jc w:val="center"/>
      </w:pPr>
      <w:r>
        <w:rPr>
          <w:rFonts w:ascii="Times New Roman" w:cs="Times New Roman" w:eastAsia="Times New Roman" w:hAnsi="Times New Roman"/>
          <w:i/>
          <w:iCs/>
        </w:rPr>
        <w:t xml:space="preserve">MTTR(r) = t_r − t_d</w:t>
      </w:r>
      <w:r>
        <w:rPr>
          <w:rFonts w:ascii="Times New Roman" w:cs="Times New Roman" w:eastAsia="Times New Roman" w:hAnsi="Times New Roman"/>
        </w:rPr>
        <w:tab/>
        <w:t xml:space="preserve">(4.3)</w:t>
      </w:r>
    </w:p>
    <w:p>
      <w:pPr>
        <w:tabs>
          <w:tab w:val="right" w:pos="8306"/>
        </w:tabs>
        <w:spacing w:after="160" w:before="120"/>
        <w:jc w:val="center"/>
      </w:pPr>
      <w:r>
        <w:rPr>
          <w:rFonts w:ascii="Times New Roman" w:cs="Times New Roman" w:eastAsia="Times New Roman" w:hAnsi="Times New Roman"/>
          <w:i/>
          <w:iCs/>
        </w:rPr>
        <w:t xml:space="preserve">C(r) = C_meas(r) + ρ_c · u_π · T_h</w:t>
      </w:r>
      <w:r>
        <w:rPr>
          <w:rFonts w:ascii="Times New Roman" w:cs="Times New Roman" w:eastAsia="Times New Roman" w:hAnsi="Times New Roman"/>
        </w:rPr>
        <w:tab/>
        <w:t xml:space="preserve">(4.4)</w:t>
      </w:r>
    </w:p>
    <w:p>
      <w:pPr>
        <w:tabs>
          <w:tab w:val="right" w:pos="8306"/>
        </w:tabs>
        <w:spacing w:after="160" w:before="120"/>
        <w:jc w:val="center"/>
      </w:pPr>
      <w:r>
        <w:rPr>
          <w:rFonts w:ascii="Times New Roman" w:cs="Times New Roman" w:eastAsia="Times New Roman" w:hAnsi="Times New Roman"/>
          <w:i/>
          <w:iCs/>
        </w:rPr>
        <w:t xml:space="preserve">D(r) = 1[ executed mitigation ∈ A*(f) ]</w:t>
      </w:r>
      <w:r>
        <w:rPr>
          <w:rFonts w:ascii="Times New Roman" w:cs="Times New Roman" w:eastAsia="Times New Roman" w:hAnsi="Times New Roman"/>
        </w:rPr>
        <w:tab/>
        <w:t xml:space="preserve">(4.5)</w:t>
      </w:r>
    </w:p>
    <w:p>
      <w:pPr>
        <w:spacing w:after="160" w:before="0" w:line="360"/>
        <w:jc w:val="both"/>
      </w:pPr>
      <w:r>
        <w:rPr>
          <w:rFonts w:ascii="Times New Roman" w:cs="Times New Roman" w:eastAsia="Times New Roman" w:hAnsi="Times New Roman"/>
        </w:rPr>
        <w:t xml:space="preserve">Here C_meas is the metered compute and storage cost, ρ_c = 0.05 per unit-second, u_π is the allocation held over the horizon T_h = 300 s (3 units for right-sizing configurations, 8 otherwise), and A*(f) is the set of accepted mitigations for the fault. The evaluation-validity question compares the median of a metric under a live model and under a mock through the divergence ratio</w:t>
      </w:r>
    </w:p>
    <w:p>
      <w:pPr>
        <w:tabs>
          <w:tab w:val="right" w:pos="8306"/>
        </w:tabs>
        <w:spacing w:after="160" w:before="120"/>
        <w:jc w:val="center"/>
      </w:pPr>
      <w:r>
        <w:rPr>
          <w:rFonts w:ascii="Times New Roman" w:cs="Times New Roman" w:eastAsia="Times New Roman" w:hAnsi="Times New Roman"/>
          <w:i/>
          <w:iCs/>
        </w:rPr>
        <w:t xml:space="preserve">R_x = x̃_live / x̃_mock</w:t>
      </w:r>
      <w:r>
        <w:rPr>
          <w:rFonts w:ascii="Times New Roman" w:cs="Times New Roman" w:eastAsia="Times New Roman" w:hAnsi="Times New Roman"/>
        </w:rPr>
        <w:tab/>
        <w:t xml:space="preserve">(4.6)</w:t>
      </w:r>
    </w:p>
    <w:p>
      <w:pPr>
        <w:pStyle w:val="Heading2"/>
        <w:keepNext/>
      </w:pPr>
      <w:r>
        <w:rPr>
          <w:rFonts w:ascii="Calibri" w:cs="Calibri" w:eastAsia="Calibri" w:hAnsi="Calibri"/>
        </w:rPr>
        <w:t xml:space="preserve">4.3  Action Contract</w:t>
      </w:r>
    </w:p>
    <w:p>
      <w:pPr>
        <w:spacing w:after="160" w:before="0" w:line="360"/>
        <w:jc w:val="both"/>
      </w:pPr>
      <w:r>
        <w:rPr>
          <w:rFonts w:ascii="Times New Roman" w:cs="Times New Roman" w:eastAsia="Times New Roman" w:hAnsi="Times New Roman"/>
        </w:rPr>
        <w:t xml:space="preserve">An agent's only output is a ProposedAction. A typed schema rejects any action type outside the agent's allowlist and any scaling target that is not an integer of at least one; invalid output degrades the agent's turn to no_action and is counted.</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4</w:t>
      </w:r>
      <w:r>
        <w:fldChar w:fldCharType="end"/>
      </w:r>
      <w:r>
        <w:rPr>
          <w:rFonts w:ascii="Calibri" w:cs="Calibri" w:eastAsia="Calibri" w:hAnsi="Calibri"/>
          <w:color w:val="404040"/>
          <w:sz w:val="20"/>
          <w:szCs w:val="20"/>
        </w:rPr>
        <w:t xml:space="preserve">:  Action types allowed for each agent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45"/>
        <w:gridCol w:w="6461"/>
      </w:tblGrid>
      <w:tr>
        <w:trPr>
          <w:cantSplit/>
          <w:tblHeader/>
        </w:trPr>
        <w:tc>
          <w:tcPr>
            <w:tcW w:type="dxa" w:w="1845"/>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Agent</w:t>
            </w:r>
          </w:p>
        </w:tc>
        <w:tc>
          <w:tcPr>
            <w:tcW w:type="dxa" w:w="646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Allowed action types</w:t>
            </w:r>
          </w:p>
        </w:tc>
      </w:tr>
      <w:tr>
        <w:trPr>
          <w:cantSplit/>
          <w:tblHeader w:val="false"/>
        </w:trPr>
        <w:tc>
          <w:tcPr>
            <w:tcW w:type="dxa" w:w="18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Monitoring</w:t>
            </w:r>
          </w:p>
        </w:tc>
        <w:tc>
          <w:tcPr>
            <w:tcW w:type="dxa" w:w="646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raise_anomaly, escalate, no_action</w:t>
            </w:r>
          </w:p>
        </w:tc>
      </w:tr>
      <w:tr>
        <w:trPr>
          <w:cantSplit/>
          <w:tblHeader w:val="false"/>
        </w:trPr>
        <w:tc>
          <w:tcPr>
            <w:tcW w:type="dxa" w:w="184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Optimization</w:t>
            </w:r>
          </w:p>
        </w:tc>
        <w:tc>
          <w:tcPr>
            <w:tcW w:type="dxa" w:w="646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scale_workers, adjust_pool_slots, reprioritize_pipeline, no_action</w:t>
            </w:r>
          </w:p>
        </w:tc>
      </w:tr>
      <w:tr>
        <w:trPr>
          <w:cantSplit/>
          <w:tblHeader w:val="false"/>
        </w:trPr>
        <w:tc>
          <w:tcPr>
            <w:tcW w:type="dxa" w:w="18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Schema</w:t>
            </w:r>
          </w:p>
        </w:tc>
        <w:tc>
          <w:tcPr>
            <w:tcW w:type="dxa" w:w="646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allow_compatible, apply_mapping, quarantine_partition, block_ingestion, no_action</w:t>
            </w:r>
          </w:p>
        </w:tc>
      </w:tr>
      <w:tr>
        <w:trPr>
          <w:cantSplit/>
          <w:tblHeader w:val="false"/>
        </w:trPr>
        <w:tc>
          <w:tcPr>
            <w:tcW w:type="dxa" w:w="184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Recovery</w:t>
            </w:r>
          </w:p>
        </w:tc>
        <w:tc>
          <w:tcPr>
            <w:tcW w:type="dxa" w:w="646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retry_with_backoff, replay, rollback, partial_recompute, escalate_to_human, no_action</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4.4  Control Loop Design</w:t>
      </w:r>
    </w:p>
    <w:p>
      <w:pPr>
        <w:spacing w:after="160" w:before="0" w:line="360"/>
        <w:jc w:val="both"/>
      </w:pPr>
      <w:r>
        <w:rPr>
          <w:rFonts w:ascii="Times New Roman" w:cs="Times New Roman" w:eastAsia="Times New Roman" w:hAnsi="Times New Roman"/>
        </w:rPr>
        <w:t xml:space="preserve">Each control tick performs the following steps:</w:t>
      </w:r>
    </w:p>
    <w:p>
      <w:pPr>
        <w:pStyle w:val="ListParagraph"/>
        <w:numPr>
          <w:ilvl w:val="0"/>
          <w:numId w:val="8"/>
        </w:numPr>
        <w:spacing w:after="80" w:line="340"/>
        <w:jc w:val="both"/>
      </w:pPr>
      <w:r>
        <w:rPr>
          <w:rFonts w:ascii="Times New Roman" w:cs="Times New Roman" w:eastAsia="Times New Roman" w:hAnsi="Times New Roman"/>
        </w:rPr>
        <w:t xml:space="preserve">Record a heartbeat and return immediately if the kill switch is engaged.</w:t>
      </w:r>
    </w:p>
    <w:p>
      <w:pPr>
        <w:pStyle w:val="ListParagraph"/>
        <w:numPr>
          <w:ilvl w:val="0"/>
          <w:numId w:val="8"/>
        </w:numPr>
        <w:spacing w:after="80" w:line="340"/>
        <w:jc w:val="both"/>
      </w:pPr>
      <w:r>
        <w:rPr>
          <w:rFonts w:ascii="Times New Roman" w:cs="Times New Roman" w:eastAsia="Times New Roman" w:hAnsi="Times New Roman"/>
        </w:rPr>
        <w:t xml:space="preserve">Run the monitoring agent to detect faults and stamp the detection time.</w:t>
      </w:r>
    </w:p>
    <w:p>
      <w:pPr>
        <w:pStyle w:val="ListParagraph"/>
        <w:numPr>
          <w:ilvl w:val="0"/>
          <w:numId w:val="8"/>
        </w:numPr>
        <w:spacing w:after="80" w:line="340"/>
        <w:jc w:val="both"/>
      </w:pPr>
      <w:r>
        <w:rPr>
          <w:rFonts w:ascii="Times New Roman" w:cs="Times New Roman" w:eastAsia="Times New Roman" w:hAnsi="Times New Roman"/>
        </w:rPr>
        <w:t xml:space="preserve">If an unresolved fault exists, let each enabled reactive agent (schema, recovery, optimization) observe and reason; invalid output becomes no_action.</w:t>
      </w:r>
    </w:p>
    <w:p>
      <w:pPr>
        <w:pStyle w:val="ListParagraph"/>
        <w:numPr>
          <w:ilvl w:val="0"/>
          <w:numId w:val="8"/>
        </w:numPr>
        <w:spacing w:after="80" w:line="340"/>
        <w:jc w:val="both"/>
      </w:pPr>
      <w:r>
        <w:rPr>
          <w:rFonts w:ascii="Times New Roman" w:cs="Times New Roman" w:eastAsia="Times New Roman" w:hAnsi="Times New Roman"/>
        </w:rPr>
        <w:t xml:space="preserve">For each contested target, keep the proposal with the highest (agent priority, confidence); priority ranks recovery above schema above optimization.</w:t>
      </w:r>
    </w:p>
    <w:p>
      <w:pPr>
        <w:pStyle w:val="ListParagraph"/>
        <w:numPr>
          <w:ilvl w:val="0"/>
          <w:numId w:val="8"/>
        </w:numPr>
        <w:spacing w:after="80" w:line="340"/>
        <w:jc w:val="both"/>
      </w:pPr>
      <w:r>
        <w:rPr>
          <w:rFonts w:ascii="Times New Roman" w:cs="Times New Roman" w:eastAsia="Times New Roman" w:hAnsi="Times New Roman"/>
        </w:rPr>
        <w:t xml:space="preserve">For each winning proposal, skip it if the target lock is held or the blast-radius cap is reached.</w:t>
      </w:r>
    </w:p>
    <w:p>
      <w:pPr>
        <w:pStyle w:val="ListParagraph"/>
        <w:numPr>
          <w:ilvl w:val="0"/>
          <w:numId w:val="8"/>
        </w:numPr>
        <w:spacing w:after="80" w:line="340"/>
        <w:jc w:val="both"/>
      </w:pPr>
      <w:r>
        <w:rPr>
          <w:rFonts w:ascii="Times New Roman" w:cs="Times New Roman" w:eastAsia="Times New Roman" w:hAnsi="Times New Roman"/>
        </w:rPr>
        <w:t xml:space="preserve">Evaluate the policy decision, commit an intent row, execute the action if allowed or escalate it, and update the audit row with the outcome.</w:t>
      </w:r>
    </w:p>
    <w:p>
      <w:pPr>
        <w:pStyle w:val="Heading2"/>
        <w:keepNext/>
      </w:pPr>
      <w:r>
        <w:rPr>
          <w:rFonts w:ascii="Calibri" w:cs="Calibri" w:eastAsia="Calibri" w:hAnsi="Calibri"/>
        </w:rPr>
        <w:t xml:space="preserve">4.5  Database Design</w:t>
      </w:r>
    </w:p>
    <w:p>
      <w:pPr>
        <w:spacing w:after="160" w:before="0" w:line="360"/>
        <w:jc w:val="both"/>
      </w:pPr>
      <w:r>
        <w:rPr>
          <w:rFonts w:ascii="Times New Roman" w:cs="Times New Roman" w:eastAsia="Times New Roman" w:hAnsi="Times New Roman"/>
        </w:rPr>
        <w:t xml:space="preserve">All state is held in PostgreSQL in three schemas created by idempotent migrations.</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5</w:t>
      </w:r>
      <w:r>
        <w:fldChar w:fldCharType="end"/>
      </w:r>
      <w:r>
        <w:rPr>
          <w:rFonts w:ascii="Calibri" w:cs="Calibri" w:eastAsia="Calibri" w:hAnsi="Calibri"/>
          <w:color w:val="404040"/>
          <w:sz w:val="20"/>
          <w:szCs w:val="20"/>
        </w:rPr>
        <w:t xml:space="preserve">:  Database schemas and tables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11"/>
        <w:gridCol w:w="4371"/>
        <w:gridCol w:w="2624"/>
      </w:tblGrid>
      <w:tr>
        <w:trPr>
          <w:cantSplit/>
          <w:tblHeader/>
        </w:trPr>
        <w:tc>
          <w:tcPr>
            <w:tcW w:type="dxa" w:w="131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Schema</w:t>
            </w:r>
          </w:p>
        </w:tc>
        <w:tc>
          <w:tcPr>
            <w:tcW w:type="dxa" w:w="437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Tables</w:t>
            </w:r>
          </w:p>
        </w:tc>
        <w:tc>
          <w:tcPr>
            <w:tcW w:type="dxa" w:w="2624"/>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Purpose</w:t>
            </w:r>
          </w:p>
        </w:tc>
      </w:tr>
      <w:tr>
        <w:trPr>
          <w:cantSplit/>
          <w:tblHeader w:val="false"/>
        </w:trPr>
        <w:tc>
          <w:tcPr>
            <w:tcW w:type="dxa" w:w="131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telemetry</w:t>
            </w:r>
          </w:p>
        </w:tc>
        <w:tc>
          <w:tcPr>
            <w:tcW w:type="dxa" w:w="437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task_runs, pipeline_metrics, schema_versions, resource_usage, failure_events, agent_actions, manual_interventions, cost_ledger, action_approvals</w:t>
            </w:r>
          </w:p>
        </w:tc>
        <w:tc>
          <w:tcPr>
            <w:tcW w:type="dxa" w:w="262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Observability, audit trail, and every experimental metric</w:t>
            </w:r>
          </w:p>
        </w:tc>
      </w:tr>
      <w:tr>
        <w:trPr>
          <w:cantSplit/>
          <w:tblHeader w:val="false"/>
        </w:trPr>
        <w:tc>
          <w:tcPr>
            <w:tcW w:type="dxa" w:w="131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warehouse</w:t>
            </w:r>
          </w:p>
        </w:tc>
        <w:tc>
          <w:tcPr>
            <w:tcW w:type="dxa" w:w="437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partition_versions, stream_aggregates, quarantine_events</w:t>
            </w:r>
          </w:p>
        </w:tc>
        <w:tc>
          <w:tcPr>
            <w:tcW w:type="dxa" w:w="262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Versioned batch partitions and streaming aggregates</w:t>
            </w:r>
          </w:p>
        </w:tc>
      </w:tr>
      <w:tr>
        <w:trPr>
          <w:cantSplit/>
          <w:tblHeader w:val="false"/>
        </w:trPr>
        <w:tc>
          <w:tcPr>
            <w:tcW w:type="dxa" w:w="131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control</w:t>
            </w:r>
          </w:p>
        </w:tc>
        <w:tc>
          <w:tcPr>
            <w:tcW w:type="dxa" w:w="437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desired_state</w:t>
            </w:r>
          </w:p>
        </w:tc>
        <w:tc>
          <w:tcPr>
            <w:tcW w:type="dxa" w:w="262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Desired worker counts, schema mappings, and other control settings</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4.6  Data Flow</w:t>
      </w:r>
    </w:p>
    <w:p>
      <w:pPr>
        <w:spacing w:after="160" w:before="0" w:line="360"/>
        <w:jc w:val="both"/>
      </w:pPr>
      <w:r>
        <w:rPr>
          <w:rFonts w:ascii="Times New Roman" w:cs="Times New Roman" w:eastAsia="Times New Roman" w:hAnsi="Times New Roman"/>
        </w:rPr>
        <w:t xml:space="preserve">Raw metrics, task runs, and failure events flow from the data plane into the telemetry store. A snapshot s_k feeds the agents, which call the LLM client and pass their proposals through the contract check. The context builder reads cost, budget, and action counts from telemetry and passes the context c to OPA, whose decision d goes to the write-ahead audit log. The dispatcher then routes allowed actions to the Airflow and PostgreSQL handlers, whose mitigation actions act back on the data plane, while escalations go to the on-call engineer.</w:t>
      </w:r>
    </w:p>
    <w:p>
      <w:pPr>
        <w:pageBreakBefore/>
        <w:spacing w:after="0" w:before="720" w:line="240"/>
        <w:jc w:val="left"/>
      </w:pPr>
      <w:r>
        <w:rPr>
          <w:rFonts w:ascii="Calibri" w:cs="Calibri" w:eastAsia="Calibri" w:hAnsi="Calibri"/>
          <w:b/>
          <w:bCs/>
          <w:color w:val="9DC3E6"/>
          <w:sz w:val="120"/>
          <w:szCs w:val="120"/>
        </w:rPr>
        <w:t xml:space="preserve">05</w:t>
      </w:r>
    </w:p>
    <w:p>
      <w:pPr>
        <w:spacing w:after="60"/>
        <w:jc w:val="left"/>
      </w:pPr>
      <w:r>
        <w:rPr>
          <w:rFonts w:ascii="Calibri" w:cs="Calibri" w:eastAsia="Calibri" w:hAnsi="Calibri"/>
          <w:b/>
          <w:bCs/>
          <w:color w:val="C9A227"/>
          <w:spacing w:val="120"/>
          <w:sz w:val="22"/>
          <w:szCs w:val="22"/>
        </w:rPr>
        <w:t xml:space="preserve">CHAPTER FIVE</w:t>
      </w:r>
    </w:p>
    <w:p>
      <w:pPr>
        <w:pStyle w:val="Heading1"/>
        <w:pBdr>
          <w:bottom w:val="single" w:color="C9A227" w:sz="12" w:space="8"/>
        </w:pBdr>
        <w:jc w:val="left"/>
      </w:pPr>
      <w:r>
        <w:rPr>
          <w:rFonts w:ascii="Calibri" w:cs="Calibri" w:eastAsia="Calibri" w:hAnsi="Calibri"/>
        </w:rPr>
        <w:t xml:space="preserve">5. IMPLEMENTATION</w:t>
      </w:r>
    </w:p>
    <w:p>
      <w:pPr>
        <w:pStyle w:val="Heading2"/>
        <w:keepNext/>
      </w:pPr>
      <w:r>
        <w:rPr>
          <w:rFonts w:ascii="Calibri" w:cs="Calibri" w:eastAsia="Calibri" w:hAnsi="Calibri"/>
        </w:rPr>
        <w:t xml:space="preserve">5.1  Technology Stack</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6</w:t>
      </w:r>
      <w:r>
        <w:fldChar w:fldCharType="end"/>
      </w:r>
      <w:r>
        <w:rPr>
          <w:rFonts w:ascii="Calibri" w:cs="Calibri" w:eastAsia="Calibri" w:hAnsi="Calibri"/>
          <w:color w:val="404040"/>
          <w:sz w:val="20"/>
          <w:szCs w:val="20"/>
        </w:rPr>
        <w:t xml:space="preserve">:  Technology stack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249"/>
        <w:gridCol w:w="6057"/>
      </w:tblGrid>
      <w:tr>
        <w:trPr>
          <w:cantSplit/>
          <w:tblHeader/>
        </w:trPr>
        <w:tc>
          <w:tcPr>
            <w:tcW w:type="dxa" w:w="224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Concern</w:t>
            </w:r>
          </w:p>
        </w:tc>
        <w:tc>
          <w:tcPr>
            <w:tcW w:type="dxa" w:w="605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Technology</w:t>
            </w:r>
          </w:p>
        </w:tc>
      </w:tr>
      <w:tr>
        <w:trPr>
          <w:cantSplit/>
          <w:tblHeader w:val="false"/>
        </w:trPr>
        <w:tc>
          <w:tcPr>
            <w:tcW w:type="dxa" w:w="2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Language and contracts</w:t>
            </w:r>
          </w:p>
        </w:tc>
        <w:tc>
          <w:tcPr>
            <w:tcW w:type="dxa" w:w="60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Python 3.11, pydantic v2 (typed, validated data at every boundary)</w:t>
            </w:r>
          </w:p>
        </w:tc>
      </w:tr>
      <w:tr>
        <w:trPr>
          <w:cantSplit/>
          <w:tblHeader w:val="false"/>
        </w:trPr>
        <w:tc>
          <w:tcPr>
            <w:tcW w:type="dxa" w:w="224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Data plane</w:t>
            </w:r>
          </w:p>
        </w:tc>
        <w:tc>
          <w:tcPr>
            <w:tcW w:type="dxa" w:w="605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Apache Airflow 2.10.5 (batch), Redpanda v24.2.18 (streaming), PostgreSQL 16.6</w:t>
            </w:r>
          </w:p>
        </w:tc>
      </w:tr>
      <w:tr>
        <w:trPr>
          <w:cantSplit/>
          <w:tblHeader w:val="false"/>
        </w:trPr>
        <w:tc>
          <w:tcPr>
            <w:tcW w:type="dxa" w:w="2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Policy engine</w:t>
            </w:r>
          </w:p>
        </w:tc>
        <w:tc>
          <w:tcPr>
            <w:tcW w:type="dxa" w:w="60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Open Policy Agent 0.68.0 with Rego policies and policy unit tests</w:t>
            </w:r>
          </w:p>
        </w:tc>
      </w:tr>
      <w:tr>
        <w:trPr>
          <w:cantSplit/>
          <w:tblHeader w:val="false"/>
        </w:trPr>
        <w:tc>
          <w:tcPr>
            <w:tcW w:type="dxa" w:w="224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LLM access</w:t>
            </w:r>
          </w:p>
        </w:tc>
        <w:tc>
          <w:tcPr>
            <w:tcW w:type="dxa" w:w="605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OpenAI-compatible, Anthropic, and Gemini clients; deterministic mock client</w:t>
            </w:r>
          </w:p>
        </w:tc>
      </w:tr>
      <w:tr>
        <w:trPr>
          <w:cantSplit/>
          <w:tblHeader w:val="false"/>
        </w:trPr>
        <w:tc>
          <w:tcPr>
            <w:tcW w:type="dxa" w:w="2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Operator surface</w:t>
            </w:r>
          </w:p>
        </w:tc>
        <w:tc>
          <w:tcPr>
            <w:tcW w:type="dxa" w:w="60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FastAPI, Uvicorn, Jinja2 dashboard</w:t>
            </w:r>
          </w:p>
        </w:tc>
      </w:tr>
      <w:tr>
        <w:trPr>
          <w:cantSplit/>
          <w:tblHeader w:val="false"/>
        </w:trPr>
        <w:tc>
          <w:tcPr>
            <w:tcW w:type="dxa" w:w="224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Analysis</w:t>
            </w:r>
          </w:p>
        </w:tc>
        <w:tc>
          <w:tcPr>
            <w:tcW w:type="dxa" w:w="605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pandas, SciPy, matplotlib</w:t>
            </w:r>
          </w:p>
        </w:tc>
      </w:tr>
      <w:tr>
        <w:trPr>
          <w:cantSplit/>
          <w:tblHeader w:val="false"/>
        </w:trPr>
        <w:tc>
          <w:tcPr>
            <w:tcW w:type="dxa" w:w="2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Quality and packaging</w:t>
            </w:r>
          </w:p>
        </w:tc>
        <w:tc>
          <w:tcPr>
            <w:tcW w:type="dxa" w:w="60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ruff, mypy, pytest, uv, Docker Compose, Helm</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5.2  Project Structure</w:t>
      </w:r>
    </w:p>
    <w:p>
      <w:pPr>
        <w:spacing w:after="160" w:before="0" w:line="360"/>
        <w:jc w:val="both"/>
      </w:pPr>
      <w:r>
        <w:rPr>
          <w:rFonts w:ascii="Times New Roman" w:cs="Times New Roman" w:eastAsia="Times New Roman" w:hAnsi="Times New Roman"/>
        </w:rPr>
        <w:t xml:space="preserve">The control plane is a Python package of 104 modules (about 11,700 lines) organized by responsibility.</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7</w:t>
      </w:r>
      <w:r>
        <w:fldChar w:fldCharType="end"/>
      </w:r>
      <w:r>
        <w:rPr>
          <w:rFonts w:ascii="Calibri" w:cs="Calibri" w:eastAsia="Calibri" w:hAnsi="Calibri"/>
          <w:color w:val="404040"/>
          <w:sz w:val="20"/>
          <w:szCs w:val="20"/>
        </w:rPr>
        <w:t xml:space="preserve">:  Main modules of the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20"/>
        <w:gridCol w:w="6186"/>
      </w:tblGrid>
      <w:tr>
        <w:trPr>
          <w:cantSplit/>
          <w:tblHeader/>
        </w:trPr>
        <w:tc>
          <w:tcPr>
            <w:tcW w:type="dxa" w:w="2120"/>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Module</w:t>
            </w:r>
          </w:p>
        </w:tc>
        <w:tc>
          <w:tcPr>
            <w:tcW w:type="dxa" w:w="6186"/>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Responsibility</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contracts</w:t>
            </w:r>
          </w:p>
        </w:tc>
        <w:tc>
          <w:tcPr>
            <w:tcW w:type="dxa" w:w="6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ProposedAction and telemetry data contracts</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agents</w:t>
            </w:r>
          </w:p>
        </w:tc>
        <w:tc>
          <w:tcPr>
            <w:tcW w:type="dxa" w:w="6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Monitoring, optimization, schema, and recovery agents; anomaly detection</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llm</w:t>
            </w:r>
          </w:p>
        </w:tc>
        <w:tc>
          <w:tcPr>
            <w:tcW w:type="dxa" w:w="6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Live and mock model clients, prompts, budget and accounting</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policy</w:t>
            </w:r>
          </w:p>
        </w:tc>
        <w:tc>
          <w:tcPr>
            <w:tcW w:type="dxa" w:w="6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Context builder, policy gate, executor and handlers</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orchestrator</w:t>
            </w:r>
          </w:p>
        </w:tc>
        <w:tc>
          <w:tcPr>
            <w:tcW w:type="dxa" w:w="6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Control loop, arbitration, advisory locks, soak runs</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dataplane / telemetry</w:t>
            </w:r>
          </w:p>
        </w:tc>
        <w:tc>
          <w:tcPr>
            <w:tcW w:type="dxa" w:w="6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Batch and streaming pipelines; collector, freshness, cost ledger</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chaos</w:t>
            </w:r>
          </w:p>
        </w:tc>
        <w:tc>
          <w:tcPr>
            <w:tcW w:type="dxa" w:w="6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Seeded fault scenarios, injector, CPU stressor</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experiments</w:t>
            </w:r>
          </w:p>
        </w:tc>
        <w:tc>
          <w:tcPr>
            <w:tcW w:type="dxa" w:w="6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Configurations, baselines, run harness, campaign supervisor, decision quality</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eval</w:t>
            </w:r>
          </w:p>
        </w:tc>
        <w:tc>
          <w:tcPr>
            <w:tcW w:type="dxa" w:w="6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Adversarial corpus, independent oracle, cross-model harness</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analysis</w:t>
            </w:r>
          </w:p>
        </w:tc>
        <w:tc>
          <w:tcPr>
            <w:tcW w:type="dxa" w:w="6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Statistics, sensitivity analysis, paper tables and figures</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server / ops</w:t>
            </w:r>
          </w:p>
        </w:tc>
        <w:tc>
          <w:tcPr>
            <w:tcW w:type="dxa" w:w="6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Operator API, dashboard, metrics, health, compliance, backup</w:t>
            </w:r>
          </w:p>
        </w:tc>
      </w:tr>
    </w:tbl>
    <w:p>
      <w:pPr>
        <w:spacing w:after="160"/>
      </w:pPr>
      <w:r>
        <w:rPr>
          <w:rFonts w:ascii="Times New Roman" w:cs="Times New Roman" w:eastAsia="Times New Roman" w:hAnsi="Times New Roman"/>
        </w:rPr>
        <w:t xml:space="preserve"/>
      </w:r>
    </w:p>
    <w:p>
      <w:pPr>
        <w:pStyle w:val="Heading2"/>
        <w:keepNext/>
      </w:pPr>
      <w:r>
        <w:rPr>
          <w:rFonts w:ascii="Calibri" w:cs="Calibri" w:eastAsia="Calibri" w:hAnsi="Calibri"/>
        </w:rPr>
        <w:t xml:space="preserve">5.3  Data Plane and Telemetry</w:t>
      </w:r>
    </w:p>
    <w:p>
      <w:pPr>
        <w:spacing w:after="160" w:before="0" w:line="360"/>
        <w:jc w:val="both"/>
      </w:pPr>
      <w:r>
        <w:rPr>
          <w:rFonts w:ascii="Times New Roman" w:cs="Times New Roman" w:eastAsia="Times New Roman" w:hAnsi="Times New Roman"/>
        </w:rPr>
        <w:t xml:space="preserve">A batch DAG in Apache Airflow ingests a downscaled TPC-DS-derived table into versioned warehouse partitions; a streaming consumer reads a Redpanda topic with a resizable worker pool. A telemetry collector polls Airflow and the container runtime and writes task runs, resource usage, and pipeline metrics; a cost module integrates worker and slot counts into a per-run cost ledger.</w:t>
      </w:r>
    </w:p>
    <w:p>
      <w:pPr>
        <w:pStyle w:val="Heading2"/>
        <w:keepNext/>
      </w:pPr>
      <w:r>
        <w:rPr>
          <w:rFonts w:ascii="Calibri" w:cs="Calibri" w:eastAsia="Calibri" w:hAnsi="Calibri"/>
        </w:rPr>
        <w:t xml:space="preserve">5.4  Agents and the LLM Client</w:t>
      </w:r>
    </w:p>
    <w:p>
      <w:pPr>
        <w:spacing w:after="160" w:before="0" w:line="360"/>
        <w:jc w:val="both"/>
      </w:pPr>
      <w:r>
        <w:rPr>
          <w:rFonts w:ascii="Times New Roman" w:cs="Times New Roman" w:eastAsia="Times New Roman" w:hAnsi="Times New Roman"/>
        </w:rPr>
        <w:t xml:space="preserve">Each agent turns a telemetry snapshot into a prompt, calls the model client, and parses the reply into a ProposedAction. The live client calls a remote model at temperature zero; the mock client returns deterministic, rule-based proposals so that all tests run with zero API calls. Identical snapshots within a run are served from a cache, and the accounting counts real calls, cache hits, degraded proposals, invalid outputs, tokens, and latency at the moment a call is or is not made.</w:t>
      </w:r>
    </w:p>
    <w:p>
      <w:pPr>
        <w:pStyle w:val="Heading2"/>
        <w:keepNext/>
      </w:pPr>
      <w:r>
        <w:rPr>
          <w:rFonts w:ascii="Calibri" w:cs="Calibri" w:eastAsia="Calibri" w:hAnsi="Calibri"/>
        </w:rPr>
        <w:t xml:space="preserve">5.5  Action Contract</w:t>
      </w:r>
    </w:p>
    <w:p>
      <w:pPr>
        <w:spacing w:after="160" w:before="0" w:line="360"/>
        <w:jc w:val="both"/>
      </w:pPr>
      <w:r>
        <w:rPr>
          <w:rFonts w:ascii="Times New Roman" w:cs="Times New Roman" w:eastAsia="Times New Roman" w:hAnsi="Times New Roman"/>
        </w:rPr>
        <w:t xml:space="preserve">The contract is a pydantic model with validators for the per-agent allowlist and for positive integer scaling targets:</w:t>
      </w:r>
    </w:p>
    <w:p>
      <w:pPr>
        <w:shd w:fill="F3F7FC" w:val="clear"/>
        <w:spacing w:after="0" w:line="240"/>
        <w:ind w:left="240"/>
      </w:pPr>
      <w:r>
        <w:rPr>
          <w:rFonts w:ascii="Courier New" w:cs="Courier New" w:eastAsia="Courier New" w:hAnsi="Courier New"/>
          <w:sz w:val="18"/>
          <w:szCs w:val="18"/>
        </w:rPr>
        <w:t xml:space="preserve">class ProposedAction(BaseModel):</w:t>
      </w:r>
    </w:p>
    <w:p>
      <w:pPr>
        <w:shd w:fill="F3F7FC" w:val="clear"/>
        <w:spacing w:after="0" w:line="240"/>
        <w:ind w:left="240"/>
      </w:pPr>
      <w:r>
        <w:rPr>
          <w:rFonts w:ascii="Courier New" w:cs="Courier New" w:eastAsia="Courier New" w:hAnsi="Courier New"/>
          <w:sz w:val="18"/>
          <w:szCs w:val="18"/>
        </w:rPr>
        <w:t xml:space="preserve">    action_id: UUID = Field(default_factory=uuid4)</w:t>
      </w:r>
    </w:p>
    <w:p>
      <w:pPr>
        <w:shd w:fill="F3F7FC" w:val="clear"/>
        <w:spacing w:after="0" w:line="240"/>
        <w:ind w:left="240"/>
      </w:pPr>
      <w:r>
        <w:rPr>
          <w:rFonts w:ascii="Courier New" w:cs="Courier New" w:eastAsia="Courier New" w:hAnsi="Courier New"/>
          <w:sz w:val="18"/>
          <w:szCs w:val="18"/>
        </w:rPr>
        <w:t xml:space="preserve">    agent: AgentName</w:t>
      </w:r>
    </w:p>
    <w:p>
      <w:pPr>
        <w:shd w:fill="F3F7FC" w:val="clear"/>
        <w:spacing w:after="0" w:line="240"/>
        <w:ind w:left="240"/>
      </w:pPr>
      <w:r>
        <w:rPr>
          <w:rFonts w:ascii="Courier New" w:cs="Courier New" w:eastAsia="Courier New" w:hAnsi="Courier New"/>
          <w:sz w:val="18"/>
          <w:szCs w:val="18"/>
        </w:rPr>
        <w:t xml:space="preserve">    action_type: str</w:t>
      </w:r>
    </w:p>
    <w:p>
      <w:pPr>
        <w:shd w:fill="F3F7FC" w:val="clear"/>
        <w:spacing w:after="0" w:line="240"/>
        <w:ind w:left="240"/>
      </w:pPr>
      <w:r>
        <w:rPr>
          <w:rFonts w:ascii="Courier New" w:cs="Courier New" w:eastAsia="Courier New" w:hAnsi="Courier New"/>
          <w:sz w:val="18"/>
          <w:szCs w:val="18"/>
        </w:rPr>
        <w:t xml:space="preserve">    target: str</w:t>
      </w:r>
    </w:p>
    <w:p>
      <w:pPr>
        <w:shd w:fill="F3F7FC" w:val="clear"/>
        <w:spacing w:after="0" w:line="240"/>
        <w:ind w:left="240"/>
      </w:pPr>
      <w:r>
        <w:rPr>
          <w:rFonts w:ascii="Courier New" w:cs="Courier New" w:eastAsia="Courier New" w:hAnsi="Courier New"/>
          <w:sz w:val="18"/>
          <w:szCs w:val="18"/>
        </w:rPr>
        <w:t xml:space="preserve">    params: dict[str, Any] = Field(default_factory=dict)</w:t>
      </w:r>
    </w:p>
    <w:p>
      <w:pPr>
        <w:shd w:fill="F3F7FC" w:val="clear"/>
        <w:spacing w:after="0" w:line="240"/>
        <w:ind w:left="240"/>
      </w:pPr>
      <w:r>
        <w:rPr>
          <w:rFonts w:ascii="Courier New" w:cs="Courier New" w:eastAsia="Courier New" w:hAnsi="Courier New"/>
          <w:sz w:val="18"/>
          <w:szCs w:val="18"/>
        </w:rPr>
        <w:t xml:space="preserve">    justification: str = Field(max_length=1200)</w:t>
      </w:r>
    </w:p>
    <w:p>
      <w:pPr>
        <w:shd w:fill="F3F7FC" w:val="clear"/>
        <w:spacing w:after="0" w:line="240"/>
        <w:ind w:left="240"/>
      </w:pPr>
      <w:r>
        <w:rPr>
          <w:rFonts w:ascii="Courier New" w:cs="Courier New" w:eastAsia="Courier New" w:hAnsi="Courier New"/>
          <w:sz w:val="18"/>
          <w:szCs w:val="18"/>
        </w:rPr>
        <w:t xml:space="preserve">    confidence: float = Field(ge=0, le=1)</w:t>
      </w:r>
    </w:p>
    <w:p>
      <w:pPr>
        <w:shd w:fill="F3F7FC" w:val="clear"/>
        <w:spacing w:after="0" w:line="240"/>
        <w:ind w:left="240"/>
      </w:pPr>
      <w:r>
        <w:rPr>
          <w:rFonts w:ascii="Courier New" w:cs="Courier New" w:eastAsia="Courier New" w:hAnsi="Courier New"/>
          <w:sz w:val="18"/>
          <w:szCs w:val="18"/>
        </w:rPr>
        <w:t xml:space="preserve"> </w:t>
      </w:r>
    </w:p>
    <w:p>
      <w:pPr>
        <w:shd w:fill="F3F7FC" w:val="clear"/>
        <w:spacing w:after="0" w:line="240"/>
        <w:ind w:left="240"/>
      </w:pPr>
      <w:r>
        <w:rPr>
          <w:rFonts w:ascii="Courier New" w:cs="Courier New" w:eastAsia="Courier New" w:hAnsi="Courier New"/>
          <w:sz w:val="18"/>
          <w:szCs w:val="18"/>
        </w:rPr>
        <w:t xml:space="preserve">    @model_validator(mode="after")</w:t>
      </w:r>
    </w:p>
    <w:p>
      <w:pPr>
        <w:shd w:fill="F3F7FC" w:val="clear"/>
        <w:spacing w:after="0" w:line="240"/>
        <w:ind w:left="240"/>
      </w:pPr>
      <w:r>
        <w:rPr>
          <w:rFonts w:ascii="Courier New" w:cs="Courier New" w:eastAsia="Courier New" w:hAnsi="Courier New"/>
          <w:sz w:val="18"/>
          <w:szCs w:val="18"/>
        </w:rPr>
        <w:t xml:space="preserve">    def _action_type_allowed_for_agent(self):</w:t>
      </w:r>
    </w:p>
    <w:p>
      <w:pPr>
        <w:shd w:fill="F3F7FC" w:val="clear"/>
        <w:spacing w:after="0" w:line="240"/>
        <w:ind w:left="240"/>
      </w:pPr>
      <w:r>
        <w:rPr>
          <w:rFonts w:ascii="Courier New" w:cs="Courier New" w:eastAsia="Courier New" w:hAnsi="Courier New"/>
          <w:sz w:val="18"/>
          <w:szCs w:val="18"/>
        </w:rPr>
        <w:t xml:space="preserve">        if self.action_type not in ACTION_TYPES[self.agent]:</w:t>
      </w:r>
    </w:p>
    <w:p>
      <w:pPr>
        <w:shd w:fill="F3F7FC" w:val="clear"/>
        <w:spacing w:after="0" w:line="240"/>
        <w:ind w:left="240"/>
      </w:pPr>
      <w:r>
        <w:rPr>
          <w:rFonts w:ascii="Courier New" w:cs="Courier New" w:eastAsia="Courier New" w:hAnsi="Courier New"/>
          <w:sz w:val="18"/>
          <w:szCs w:val="18"/>
        </w:rPr>
        <w:t xml:space="preserve">            raise ValueError("action type not allowed for agent")</w:t>
      </w:r>
    </w:p>
    <w:p>
      <w:pPr>
        <w:shd w:fill="F3F7FC" w:val="clear"/>
        <w:spacing w:after="200" w:line="240"/>
        <w:ind w:left="240"/>
      </w:pPr>
      <w:r>
        <w:rPr>
          <w:rFonts w:ascii="Courier New" w:cs="Courier New" w:eastAsia="Courier New" w:hAnsi="Courier New"/>
          <w:sz w:val="18"/>
          <w:szCs w:val="18"/>
        </w:rPr>
        <w:t xml:space="preserve">        return self</w:t>
      </w:r>
    </w:p>
    <w:p>
      <w:pPr>
        <w:pStyle w:val="Heading2"/>
        <w:keepNext/>
      </w:pPr>
      <w:r>
        <w:rPr>
          <w:rFonts w:ascii="Calibri" w:cs="Calibri" w:eastAsia="Calibri" w:hAnsi="Calibri"/>
        </w:rPr>
        <w:t xml:space="preserve">5.6  Policy Engine</w:t>
      </w:r>
    </w:p>
    <w:p>
      <w:pPr>
        <w:spacing w:after="160" w:before="0" w:line="360"/>
        <w:jc w:val="both"/>
      </w:pPr>
      <w:r>
        <w:rPr>
          <w:rFonts w:ascii="Times New Roman" w:cs="Times New Roman" w:eastAsia="Times New Roman" w:hAnsi="Times New Roman"/>
        </w:rPr>
        <w:t xml:space="preserve">Four Rego policy packs implement the gate, and a main policy defaults to escalation when no pack matches. The rate-limit pack is shown below:</w:t>
      </w:r>
    </w:p>
    <w:p>
      <w:pPr>
        <w:shd w:fill="F3F7FC" w:val="clear"/>
        <w:spacing w:after="0" w:line="240"/>
        <w:ind w:left="240"/>
      </w:pPr>
      <w:r>
        <w:rPr>
          <w:rFonts w:ascii="Courier New" w:cs="Courier New" w:eastAsia="Courier New" w:hAnsi="Courier New"/>
          <w:sz w:val="18"/>
          <w:szCs w:val="18"/>
        </w:rPr>
        <w:t xml:space="preserve">package acde.rate_limit</w:t>
      </w:r>
    </w:p>
    <w:p>
      <w:pPr>
        <w:shd w:fill="F3F7FC" w:val="clear"/>
        <w:spacing w:after="0" w:line="240"/>
        <w:ind w:left="240"/>
      </w:pPr>
      <w:r>
        <w:rPr>
          <w:rFonts w:ascii="Courier New" w:cs="Courier New" w:eastAsia="Courier New" w:hAnsi="Courier New"/>
          <w:sz w:val="18"/>
          <w:szCs w:val="18"/>
        </w:rPr>
        <w:t xml:space="preserve">import rego.v1</w:t>
      </w:r>
    </w:p>
    <w:p>
      <w:pPr>
        <w:shd w:fill="F3F7FC" w:val="clear"/>
        <w:spacing w:after="0" w:line="240"/>
        <w:ind w:left="240"/>
      </w:pPr>
      <w:r>
        <w:rPr>
          <w:rFonts w:ascii="Courier New" w:cs="Courier New" w:eastAsia="Courier New" w:hAnsi="Courier New"/>
          <w:sz w:val="18"/>
          <w:szCs w:val="18"/>
        </w:rPr>
        <w:t xml:space="preserve"> </w:t>
      </w:r>
    </w:p>
    <w:p>
      <w:pPr>
        <w:shd w:fill="F3F7FC" w:val="clear"/>
        <w:spacing w:after="0" w:line="240"/>
        <w:ind w:left="240"/>
      </w:pPr>
      <w:r>
        <w:rPr>
          <w:rFonts w:ascii="Courier New" w:cs="Courier New" w:eastAsia="Courier New" w:hAnsi="Courier New"/>
          <w:sz w:val="18"/>
          <w:szCs w:val="18"/>
        </w:rPr>
        <w:t xml:space="preserve">limit := 5</w:t>
      </w:r>
    </w:p>
    <w:p>
      <w:pPr>
        <w:shd w:fill="F3F7FC" w:val="clear"/>
        <w:spacing w:after="0" w:line="240"/>
        <w:ind w:left="240"/>
      </w:pPr>
      <w:r>
        <w:rPr>
          <w:rFonts w:ascii="Courier New" w:cs="Courier New" w:eastAsia="Courier New" w:hAnsi="Courier New"/>
          <w:sz w:val="18"/>
          <w:szCs w:val="18"/>
        </w:rPr>
        <w:t xml:space="preserve">exceeded if input.context.actions_last_10min &gt;= limit</w:t>
      </w:r>
    </w:p>
    <w:p>
      <w:pPr>
        <w:shd w:fill="F3F7FC" w:val="clear"/>
        <w:spacing w:after="0" w:line="240"/>
        <w:ind w:left="240"/>
      </w:pPr>
      <w:r>
        <w:rPr>
          <w:rFonts w:ascii="Courier New" w:cs="Courier New" w:eastAsia="Courier New" w:hAnsi="Courier New"/>
          <w:sz w:val="18"/>
          <w:szCs w:val="18"/>
        </w:rPr>
        <w:t xml:space="preserve"> </w:t>
      </w:r>
    </w:p>
    <w:p>
      <w:pPr>
        <w:shd w:fill="F3F7FC" w:val="clear"/>
        <w:spacing w:after="0" w:line="240"/>
        <w:ind w:left="240"/>
      </w:pPr>
      <w:r>
        <w:rPr>
          <w:rFonts w:ascii="Courier New" w:cs="Courier New" w:eastAsia="Courier New" w:hAnsi="Courier New"/>
          <w:sz w:val="18"/>
          <w:szCs w:val="18"/>
        </w:rPr>
        <w:t xml:space="preserve">result := {</w:t>
      </w:r>
    </w:p>
    <w:p>
      <w:pPr>
        <w:shd w:fill="F3F7FC" w:val="clear"/>
        <w:spacing w:after="0" w:line="240"/>
        <w:ind w:left="240"/>
      </w:pPr>
      <w:r>
        <w:rPr>
          <w:rFonts w:ascii="Courier New" w:cs="Courier New" w:eastAsia="Courier New" w:hAnsi="Courier New"/>
          <w:sz w:val="18"/>
          <w:szCs w:val="18"/>
        </w:rPr>
        <w:t xml:space="preserve">  "allowed": false, "escalate": false,</w:t>
      </w:r>
    </w:p>
    <w:p>
      <w:pPr>
        <w:shd w:fill="F3F7FC" w:val="clear"/>
        <w:spacing w:after="0" w:line="240"/>
        <w:ind w:left="240"/>
      </w:pPr>
      <w:r>
        <w:rPr>
          <w:rFonts w:ascii="Courier New" w:cs="Courier New" w:eastAsia="Courier New" w:hAnsi="Courier New"/>
          <w:sz w:val="18"/>
          <w:szCs w:val="18"/>
        </w:rPr>
        <w:t xml:space="preserve">  "reason": sprintf("rate limit: %v actions in the last 10 minutes",</w:t>
      </w:r>
    </w:p>
    <w:p>
      <w:pPr>
        <w:shd w:fill="F3F7FC" w:val="clear"/>
        <w:spacing w:after="0" w:line="240"/>
        <w:ind w:left="240"/>
      </w:pPr>
      <w:r>
        <w:rPr>
          <w:rFonts w:ascii="Courier New" w:cs="Courier New" w:eastAsia="Courier New" w:hAnsi="Courier New"/>
          <w:sz w:val="18"/>
          <w:szCs w:val="18"/>
        </w:rPr>
        <w:t xml:space="preserve">                   [input.context.actions_last_10min]),</w:t>
      </w:r>
    </w:p>
    <w:p>
      <w:pPr>
        <w:shd w:fill="F3F7FC" w:val="clear"/>
        <w:spacing w:after="0" w:line="240"/>
        <w:ind w:left="240"/>
      </w:pPr>
      <w:r>
        <w:rPr>
          <w:rFonts w:ascii="Courier New" w:cs="Courier New" w:eastAsia="Courier New" w:hAnsi="Courier New"/>
          <w:sz w:val="18"/>
          <w:szCs w:val="18"/>
        </w:rPr>
        <w:t xml:space="preserve">  "policy_id": "rate_limit",</w:t>
      </w:r>
    </w:p>
    <w:p>
      <w:pPr>
        <w:shd w:fill="F3F7FC" w:val="clear"/>
        <w:spacing w:after="200" w:line="240"/>
        <w:ind w:left="240"/>
      </w:pPr>
      <w:r>
        <w:rPr>
          <w:rFonts w:ascii="Courier New" w:cs="Courier New" w:eastAsia="Courier New" w:hAnsi="Courier New"/>
          <w:sz w:val="18"/>
          <w:szCs w:val="18"/>
        </w:rPr>
        <w:t xml:space="preserve">} if { exceeded }</w:t>
      </w:r>
    </w:p>
    <w:p>
      <w:pPr>
        <w:pStyle w:val="Heading2"/>
        <w:keepNext/>
      </w:pPr>
      <w:r>
        <w:rPr>
          <w:rFonts w:ascii="Calibri" w:cs="Calibri" w:eastAsia="Calibri" w:hAnsi="Calibri"/>
        </w:rPr>
        <w:t xml:space="preserve">5.7  Execution and Write-Ahead Audit</w:t>
      </w:r>
    </w:p>
    <w:p>
      <w:pPr>
        <w:spacing w:after="160" w:before="0" w:line="360"/>
        <w:jc w:val="both"/>
      </w:pPr>
      <w:r>
        <w:rPr>
          <w:rFonts w:ascii="Times New Roman" w:cs="Times New Roman" w:eastAsia="Times New Roman" w:hAnsi="Times New Roman"/>
        </w:rPr>
        <w:t xml:space="preserve">The executor commits an intent row carrying the policy verdict before it runs any side effect and updates the row with the outcome afterward, so a crash mid-action leaves a durable record. A dispatcher routes each allowed action type to a handler that triggers DAG runs, clears tasks, or patches pool slots on Airflow, or performs rollback, quarantine, schema mapping, and desired-state updates on PostgreSQL. Escalations are resolved by a seeded log-normal simulator that stands in for the on-call engineer.</w:t>
      </w:r>
    </w:p>
    <w:p>
      <w:pPr>
        <w:pStyle w:val="Heading2"/>
        <w:keepNext/>
      </w:pPr>
      <w:r>
        <w:rPr>
          <w:rFonts w:ascii="Calibri" w:cs="Calibri" w:eastAsia="Calibri" w:hAnsi="Calibri"/>
        </w:rPr>
        <w:t xml:space="preserve">5.8  Fault Injection and Experiment Harness</w:t>
      </w:r>
    </w:p>
    <w:p>
      <w:pPr>
        <w:spacing w:after="160" w:before="0" w:line="360"/>
        <w:jc w:val="both"/>
      </w:pPr>
      <w:r>
        <w:rPr>
          <w:rFonts w:ascii="Times New Roman" w:cs="Times New Roman" w:eastAsia="Times New Roman" w:hAnsi="Times New Roman"/>
        </w:rPr>
        <w:t xml:space="preserve">The injector reproduces four scenarios from a seed: schema drift, upstream delay, resource contention (real CPU stress), and ingress burst. The run harness resets run-scoped telemetry, warms up for 120 s, injects the fault, drives the configuration's response, settles, harvests the metrics, and appends a provenance record to the run manifest. A campaign supervisor runs the three arms sequentially, resumes after interruption, and enforces token ceilings.</w:t>
      </w:r>
    </w:p>
    <w:p>
      <w:pPr>
        <w:pStyle w:val="Heading2"/>
        <w:keepNext/>
      </w:pPr>
      <w:r>
        <w:rPr>
          <w:rFonts w:ascii="Calibri" w:cs="Calibri" w:eastAsia="Calibri" w:hAnsi="Calibri"/>
        </w:rPr>
        <w:t xml:space="preserve">5.9  Analysis and Artifact Generation</w:t>
      </w:r>
    </w:p>
    <w:p>
      <w:pPr>
        <w:spacing w:after="160" w:before="0" w:line="360"/>
        <w:jc w:val="both"/>
      </w:pPr>
      <w:r>
        <w:rPr>
          <w:rFonts w:ascii="Times New Roman" w:cs="Times New Roman" w:eastAsia="Times New Roman" w:hAnsi="Times New Roman"/>
        </w:rPr>
        <w:t xml:space="preserve">The analysis package computes medians, bootstrap intervals, Cliff's δ, Holm-corrected Mann–Whitney tests, Wilson intervals, and closed-form sensitivities, and writes every table, figure, and reported number of the paper and this report from the committed per-run data. It refuses to merge runs whose provenance differs.</w:t>
      </w:r>
    </w:p>
    <w:p>
      <w:pPr>
        <w:pStyle w:val="Heading2"/>
        <w:keepNext/>
      </w:pPr>
      <w:r>
        <w:rPr>
          <w:rFonts w:ascii="Calibri" w:cs="Calibri" w:eastAsia="Calibri" w:hAnsi="Calibri"/>
        </w:rPr>
        <w:t xml:space="preserve">5.10  Operator API and Dashboard</w:t>
      </w:r>
    </w:p>
    <w:p>
      <w:pPr>
        <w:spacing w:after="160" w:before="0" w:line="360"/>
        <w:jc w:val="both"/>
      </w:pPr>
      <w:r>
        <w:rPr>
          <w:rFonts w:ascii="Times New Roman" w:cs="Times New Roman" w:eastAsia="Times New Roman" w:hAnsi="Times New Roman"/>
        </w:rPr>
        <w:t xml:space="preserve">A FastAPI service exposes proposals, the audit trail, costs, and compliance evidence with role-based access control, tenant isolation, rate limiting, and a keyset-paginated audit export, together with an HTML dashboard.</w:t>
      </w:r>
    </w:p>
    <w:p>
      <w:pPr>
        <w:pageBreakBefore/>
        <w:spacing w:after="0" w:before="720" w:line="240"/>
        <w:jc w:val="left"/>
      </w:pPr>
      <w:r>
        <w:rPr>
          <w:rFonts w:ascii="Calibri" w:cs="Calibri" w:eastAsia="Calibri" w:hAnsi="Calibri"/>
          <w:b/>
          <w:bCs/>
          <w:color w:val="9DC3E6"/>
          <w:sz w:val="120"/>
          <w:szCs w:val="120"/>
        </w:rPr>
        <w:t xml:space="preserve">06</w:t>
      </w:r>
    </w:p>
    <w:p>
      <w:pPr>
        <w:spacing w:after="60"/>
        <w:jc w:val="left"/>
      </w:pPr>
      <w:r>
        <w:rPr>
          <w:rFonts w:ascii="Calibri" w:cs="Calibri" w:eastAsia="Calibri" w:hAnsi="Calibri"/>
          <w:b/>
          <w:bCs/>
          <w:color w:val="C9A227"/>
          <w:spacing w:val="120"/>
          <w:sz w:val="22"/>
          <w:szCs w:val="22"/>
        </w:rPr>
        <w:t xml:space="preserve">CHAPTER SIX</w:t>
      </w:r>
    </w:p>
    <w:p>
      <w:pPr>
        <w:pStyle w:val="Heading1"/>
        <w:pBdr>
          <w:bottom w:val="single" w:color="C9A227" w:sz="12" w:space="8"/>
        </w:pBdr>
        <w:jc w:val="left"/>
      </w:pPr>
      <w:r>
        <w:rPr>
          <w:rFonts w:ascii="Calibri" w:cs="Calibri" w:eastAsia="Calibri" w:hAnsi="Calibri"/>
        </w:rPr>
        <w:t xml:space="preserve">6. TESTING AND VALIDATION</w:t>
      </w:r>
    </w:p>
    <w:p>
      <w:pPr>
        <w:pStyle w:val="Heading2"/>
        <w:keepNext/>
      </w:pPr>
      <w:r>
        <w:rPr>
          <w:rFonts w:ascii="Calibri" w:cs="Calibri" w:eastAsia="Calibri" w:hAnsi="Calibri"/>
        </w:rPr>
        <w:t xml:space="preserve">6.1  Testing Strategy</w:t>
      </w:r>
    </w:p>
    <w:p>
      <w:pPr>
        <w:spacing w:after="160" w:before="0" w:line="360"/>
        <w:jc w:val="both"/>
      </w:pPr>
      <w:r>
        <w:rPr>
          <w:rFonts w:ascii="Times New Roman" w:cs="Times New Roman" w:eastAsia="Times New Roman" w:hAnsi="Times New Roman"/>
        </w:rPr>
        <w:t xml:space="preserve">Testing combines fast hermetic unit tests, policy unit tests, integration tests against the running stack, static analysis, an adversarial corpus graded by an independent oracle, and paid pilot runs at the real campaign settings. Every unit test runs with the mock model, so the full suite makes no API calls.</w:t>
      </w:r>
    </w:p>
    <w:p>
      <w:pPr>
        <w:pStyle w:val="Heading2"/>
        <w:keepNext/>
      </w:pPr>
      <w:r>
        <w:rPr>
          <w:rFonts w:ascii="Calibri" w:cs="Calibri" w:eastAsia="Calibri" w:hAnsi="Calibri"/>
        </w:rPr>
        <w:t xml:space="preserve">6.2  Unit Testing</w:t>
      </w:r>
    </w:p>
    <w:p>
      <w:pPr>
        <w:spacing w:after="160" w:before="0" w:line="360"/>
        <w:jc w:val="both"/>
      </w:pPr>
      <w:r>
        <w:rPr>
          <w:rFonts w:ascii="Times New Roman" w:cs="Times New Roman" w:eastAsia="Times New Roman" w:hAnsi="Times New Roman"/>
        </w:rPr>
        <w:t xml:space="preserve">The unit suite contains 752 tests in 68 test files and covers 95.38% of the package, above the enforced 80% threshold. A single guard makes any unmocked database access fail immediately instead of waiting for a connection timeout.</w:t>
      </w:r>
    </w:p>
    <w:p>
      <w:pPr>
        <w:pStyle w:val="Heading2"/>
        <w:keepNext/>
      </w:pPr>
      <w:r>
        <w:rPr>
          <w:rFonts w:ascii="Calibri" w:cs="Calibri" w:eastAsia="Calibri" w:hAnsi="Calibri"/>
        </w:rPr>
        <w:t xml:space="preserve">6.3  Policy Testing</w:t>
      </w:r>
    </w:p>
    <w:p>
      <w:pPr>
        <w:spacing w:after="160" w:before="0" w:line="360"/>
        <w:jc w:val="both"/>
      </w:pPr>
      <w:r>
        <w:rPr>
          <w:rFonts w:ascii="Times New Roman" w:cs="Times New Roman" w:eastAsia="Times New Roman" w:hAnsi="Times New Roman"/>
        </w:rPr>
        <w:t xml:space="preserve">Each Rego policy has a companion test file; 24 policy unit tests cover the rate limit, cost budget, recovery approval, schema compatibility, the default escalation, and policy coverage.</w:t>
      </w:r>
    </w:p>
    <w:p>
      <w:pPr>
        <w:pStyle w:val="Heading2"/>
        <w:keepNext/>
      </w:pPr>
      <w:r>
        <w:rPr>
          <w:rFonts w:ascii="Calibri" w:cs="Calibri" w:eastAsia="Calibri" w:hAnsi="Calibri"/>
        </w:rPr>
        <w:t xml:space="preserve">6.4  Integration Testing</w:t>
      </w:r>
    </w:p>
    <w:p>
      <w:pPr>
        <w:spacing w:after="160" w:before="0" w:line="360"/>
        <w:jc w:val="both"/>
      </w:pPr>
      <w:r>
        <w:rPr>
          <w:rFonts w:ascii="Times New Roman" w:cs="Times New Roman" w:eastAsia="Times New Roman" w:hAnsi="Times New Roman"/>
        </w:rPr>
        <w:t xml:space="preserve">Integration tests run against the containerized stack and exercise the data plane, telemetry, the policy engine, the executor, and the chaos scenarios end to end.</w:t>
      </w:r>
    </w:p>
    <w:p>
      <w:pPr>
        <w:pStyle w:val="Heading2"/>
        <w:keepNext/>
      </w:pPr>
      <w:r>
        <w:rPr>
          <w:rFonts w:ascii="Calibri" w:cs="Calibri" w:eastAsia="Calibri" w:hAnsi="Calibri"/>
        </w:rPr>
        <w:t xml:space="preserve">6.5  Static Analysis</w:t>
      </w:r>
    </w:p>
    <w:p>
      <w:pPr>
        <w:spacing w:after="160" w:before="0" w:line="360"/>
        <w:jc w:val="both"/>
      </w:pPr>
      <w:r>
        <w:rPr>
          <w:rFonts w:ascii="Times New Roman" w:cs="Times New Roman" w:eastAsia="Times New Roman" w:hAnsi="Times New Roman"/>
        </w:rPr>
        <w:t xml:space="preserve">ruff enforces linting and formatting with a line length of 100, and mypy checks the full type annotations of all 104 source modules.</w:t>
      </w:r>
    </w:p>
    <w:p>
      <w:pPr>
        <w:pStyle w:val="Heading2"/>
        <w:keepNext/>
      </w:pPr>
      <w:r>
        <w:rPr>
          <w:rFonts w:ascii="Calibri" w:cs="Calibri" w:eastAsia="Calibri" w:hAnsi="Calibri"/>
        </w:rPr>
        <w:t xml:space="preserve">6.6  Adversarial Validation</w:t>
      </w:r>
    </w:p>
    <w:p>
      <w:pPr>
        <w:spacing w:after="160" w:before="0" w:line="360"/>
        <w:jc w:val="both"/>
      </w:pPr>
      <w:r>
        <w:rPr>
          <w:rFonts w:ascii="Times New Roman" w:cs="Times New Roman" w:eastAsia="Times New Roman" w:hAnsi="Times New Roman"/>
        </w:rPr>
        <w:t xml:space="preserve">The generated corpus of 5547 cases probes the policy layer with an exhaustive boundary grid, attacker-controlled parameter extremes, hostile strings, illegal proposals sent directly to the policy engine, and a seeded fuzz. Its first pass exposed two contract-layer gaps (budget-legal zero or negative scaling targets, and non-numeric targets that raised inside the gate), both fixed before the final measurement in Chapter 7.</w:t>
      </w:r>
    </w:p>
    <w:p>
      <w:pPr>
        <w:pStyle w:val="Heading2"/>
        <w:keepNext/>
      </w:pPr>
      <w:r>
        <w:rPr>
          <w:rFonts w:ascii="Calibri" w:cs="Calibri" w:eastAsia="Calibri" w:hAnsi="Calibri"/>
        </w:rPr>
        <w:t xml:space="preserve">6.7  Pilot Runs</w:t>
      </w:r>
    </w:p>
    <w:p>
      <w:pPr>
        <w:spacing w:after="160" w:before="0" w:line="360"/>
        <w:jc w:val="both"/>
      </w:pPr>
      <w:r>
        <w:rPr>
          <w:rFonts w:ascii="Times New Roman" w:cs="Times New Roman" w:eastAsia="Times New Roman" w:hAnsi="Times New Roman"/>
        </w:rPr>
        <w:t xml:space="preserve">An eight-run pilot at the real timings found that the provider had retired the configured monitoring model (HTTP 410) and exposed a cache-poisoning defect in the accounting; both were fixed before the campaign.</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8</w:t>
      </w:r>
      <w:r>
        <w:fldChar w:fldCharType="end"/>
      </w:r>
      <w:r>
        <w:rPr>
          <w:rFonts w:ascii="Calibri" w:cs="Calibri" w:eastAsia="Calibri" w:hAnsi="Calibri"/>
          <w:color w:val="404040"/>
          <w:sz w:val="20"/>
          <w:szCs w:val="20"/>
        </w:rPr>
        <w:t xml:space="preserve">:  Summary of testing activities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66"/>
        <w:gridCol w:w="2889"/>
        <w:gridCol w:w="3251"/>
      </w:tblGrid>
      <w:tr>
        <w:trPr>
          <w:cantSplit/>
          <w:tblHeader/>
        </w:trPr>
        <w:tc>
          <w:tcPr>
            <w:tcW w:type="dxa" w:w="2166"/>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20"/>
                <w:szCs w:val="20"/>
              </w:rPr>
              <w:t xml:space="preserve">Activity</w:t>
            </w:r>
          </w:p>
        </w:tc>
        <w:tc>
          <w:tcPr>
            <w:tcW w:type="dxa" w:w="288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20"/>
                <w:szCs w:val="20"/>
              </w:rPr>
              <w:t xml:space="preserve">Scope</w:t>
            </w:r>
          </w:p>
        </w:tc>
        <w:tc>
          <w:tcPr>
            <w:tcW w:type="dxa" w:w="325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20"/>
                <w:szCs w:val="20"/>
              </w:rPr>
              <w:t xml:space="preserve">Result</w:t>
            </w:r>
          </w:p>
        </w:tc>
      </w:tr>
      <w:tr>
        <w:trPr>
          <w:cantSplit/>
          <w:tblHeader w:val="false"/>
        </w:trPr>
        <w:tc>
          <w:tcPr>
            <w:tcW w:type="dxa" w:w="216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Unit tests</w:t>
            </w:r>
          </w:p>
        </w:tc>
        <w:tc>
          <w:tcPr>
            <w:tcW w:type="dxa" w:w="288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752 tests, 68 files</w:t>
            </w:r>
          </w:p>
        </w:tc>
        <w:tc>
          <w:tcPr>
            <w:tcW w:type="dxa" w:w="325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All pass; 95.38% coverage</w:t>
            </w:r>
          </w:p>
        </w:tc>
      </w:tr>
      <w:tr>
        <w:trPr>
          <w:cantSplit/>
          <w:tblHeader w:val="false"/>
        </w:trPr>
        <w:tc>
          <w:tcPr>
            <w:tcW w:type="dxa" w:w="216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Policy tests</w:t>
            </w:r>
          </w:p>
        </w:tc>
        <w:tc>
          <w:tcPr>
            <w:tcW w:type="dxa" w:w="288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24 Rego tests</w:t>
            </w:r>
          </w:p>
        </w:tc>
        <w:tc>
          <w:tcPr>
            <w:tcW w:type="dxa" w:w="325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All pass</w:t>
            </w:r>
          </w:p>
        </w:tc>
      </w:tr>
      <w:tr>
        <w:trPr>
          <w:cantSplit/>
          <w:tblHeader w:val="false"/>
        </w:trPr>
        <w:tc>
          <w:tcPr>
            <w:tcW w:type="dxa" w:w="216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Static analysis</w:t>
            </w:r>
          </w:p>
        </w:tc>
        <w:tc>
          <w:tcPr>
            <w:tcW w:type="dxa" w:w="288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ruff and mypy, 104 modules</w:t>
            </w:r>
          </w:p>
        </w:tc>
        <w:tc>
          <w:tcPr>
            <w:tcW w:type="dxa" w:w="325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No issues</w:t>
            </w:r>
          </w:p>
        </w:tc>
      </w:tr>
      <w:tr>
        <w:trPr>
          <w:cantSplit/>
          <w:tblHeader w:val="false"/>
        </w:trPr>
        <w:tc>
          <w:tcPr>
            <w:tcW w:type="dxa" w:w="216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Adversarial corpus</w:t>
            </w:r>
          </w:p>
        </w:tc>
        <w:tc>
          <w:tcPr>
            <w:tcW w:type="dxa" w:w="288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5547 cases</w:t>
            </w:r>
          </w:p>
        </w:tc>
        <w:tc>
          <w:tcPr>
            <w:tcW w:type="dxa" w:w="325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Agreement 5547/5547 after fixes</w:t>
            </w:r>
          </w:p>
        </w:tc>
      </w:tr>
      <w:tr>
        <w:trPr>
          <w:cantSplit/>
          <w:tblHeader w:val="false"/>
        </w:trPr>
        <w:tc>
          <w:tcPr>
            <w:tcW w:type="dxa" w:w="216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Live campaign</w:t>
            </w:r>
          </w:p>
        </w:tc>
        <w:tc>
          <w:tcPr>
            <w:tcW w:type="dxa" w:w="288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560 runs, three arms</w:t>
            </w:r>
          </w:p>
        </w:tc>
        <w:tc>
          <w:tcPr>
            <w:tcW w:type="dxa" w:w="325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No aborts, no token-ceiling breaches</w:t>
            </w:r>
          </w:p>
        </w:tc>
      </w:tr>
    </w:tbl>
    <w:p>
      <w:pPr>
        <w:spacing w:after="160"/>
      </w:pPr>
      <w:r>
        <w:rPr>
          <w:rFonts w:ascii="Times New Roman" w:cs="Times New Roman" w:eastAsia="Times New Roman" w:hAnsi="Times New Roman"/>
        </w:rPr>
        <w:t xml:space="preserve"/>
      </w:r>
    </w:p>
    <w:p>
      <w:pPr>
        <w:pageBreakBefore/>
        <w:spacing w:after="0" w:before="720" w:line="240"/>
        <w:jc w:val="left"/>
      </w:pPr>
      <w:r>
        <w:rPr>
          <w:rFonts w:ascii="Calibri" w:cs="Calibri" w:eastAsia="Calibri" w:hAnsi="Calibri"/>
          <w:b/>
          <w:bCs/>
          <w:color w:val="9DC3E6"/>
          <w:sz w:val="120"/>
          <w:szCs w:val="120"/>
        </w:rPr>
        <w:t xml:space="preserve">07</w:t>
      </w:r>
    </w:p>
    <w:p>
      <w:pPr>
        <w:spacing w:after="60"/>
        <w:jc w:val="left"/>
      </w:pPr>
      <w:r>
        <w:rPr>
          <w:rFonts w:ascii="Calibri" w:cs="Calibri" w:eastAsia="Calibri" w:hAnsi="Calibri"/>
          <w:b/>
          <w:bCs/>
          <w:color w:val="C9A227"/>
          <w:spacing w:val="120"/>
          <w:sz w:val="22"/>
          <w:szCs w:val="22"/>
        </w:rPr>
        <w:t xml:space="preserve">CHAPTER SEVEN</w:t>
      </w:r>
    </w:p>
    <w:p>
      <w:pPr>
        <w:pStyle w:val="Heading1"/>
        <w:pBdr>
          <w:bottom w:val="single" w:color="C9A227" w:sz="12" w:space="8"/>
        </w:pBdr>
        <w:jc w:val="left"/>
      </w:pPr>
      <w:r>
        <w:rPr>
          <w:rFonts w:ascii="Calibri" w:cs="Calibri" w:eastAsia="Calibri" w:hAnsi="Calibri"/>
        </w:rPr>
        <w:t xml:space="preserve">7. RESULTS AND DISCUSSION</w:t>
      </w:r>
    </w:p>
    <w:p>
      <w:pPr>
        <w:pStyle w:val="Heading2"/>
        <w:keepNext/>
      </w:pPr>
      <w:r>
        <w:rPr>
          <w:rFonts w:ascii="Calibri" w:cs="Calibri" w:eastAsia="Calibri" w:hAnsi="Calibri"/>
        </w:rPr>
        <w:t xml:space="preserve">7.1  Experimental Setup</w:t>
      </w:r>
    </w:p>
    <w:p>
      <w:pPr>
        <w:spacing w:after="160" w:before="0" w:line="360"/>
        <w:jc w:val="both"/>
      </w:pPr>
      <w:r>
        <w:rPr>
          <w:rFonts w:ascii="Times New Roman" w:cs="Times New Roman" w:eastAsia="Times New Roman" w:hAnsi="Times New Roman"/>
        </w:rPr>
        <w:t xml:space="preserve">The campaign comprises 560 runs in three arms: arm A with the live-model agent configurations (240 runs), arm B with the non-agent configurations (240 runs), and arm C with the full configuration under a deterministic mock (80 runs). The baselines and the full system have 80 runs each across the four scenarios, and the ablations have half as many. The testbed and the fixed parameters are listed in Section 3.4. All comparisons are exploratory; the campaign was not pre-registered.</w:t>
      </w:r>
    </w:p>
    <w:p>
      <w:pPr>
        <w:pStyle w:val="Heading2"/>
        <w:keepNext/>
      </w:pPr>
      <w:r>
        <w:rPr>
          <w:rFonts w:ascii="Calibri" w:cs="Calibri" w:eastAsia="Calibri" w:hAnsi="Calibri"/>
        </w:rPr>
        <w:t xml:space="preserve">7.2  RQ1: Comparison with Static Orchestration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Pr>
        <w:tc>
          <w:tcPr>
            <w:tcW w:type="dxa" w:w="8306"/>
            <w:tcBorders>
              <w:top w:val="single" w:color="1F3864" w:sz="18"/>
              <w:left w:val="single" w:color="9DC3E6" w:sz="6"/>
              <w:bottom w:val="single" w:color="9DC3E6" w:sz="6"/>
              <w:right w:val="single" w:color="9DC3E6" w:sz="6"/>
            </w:tcBorders>
            <w:shd w:fill="F3F7FC" w:val="clear"/>
            <w:tcMar>
              <w:top w:type="dxa" w:w="120"/>
              <w:left w:type="dxa" w:w="200"/>
              <w:bottom w:type="dxa" w:w="120"/>
              <w:right w:type="dxa" w:w="200"/>
            </w:tcMar>
          </w:tcPr>
          <w:p>
            <w:pPr>
              <w:spacing w:after="60"/>
            </w:pPr>
            <w:r>
              <w:rPr>
                <w:rFonts w:ascii="Calibri" w:cs="Calibri" w:eastAsia="Calibri" w:hAnsi="Calibri"/>
                <w:b/>
                <w:bCs/>
                <w:color w:val="1F3864"/>
                <w:spacing w:val="40"/>
                <w:sz w:val="20"/>
                <w:szCs w:val="20"/>
              </w:rPr>
              <w:t xml:space="preserve">KEY FINDING: RQ1</w:t>
            </w:r>
          </w:p>
          <w:p>
            <w:pPr>
              <w:spacing w:line="300"/>
              <w:jc w:val="both"/>
            </w:pPr>
            <w:r>
              <w:rPr>
                <w:rFonts w:ascii="Times New Roman" w:cs="Times New Roman" w:eastAsia="Times New Roman" w:hAnsi="Times New Roman"/>
                <w:sz w:val="22"/>
                <w:szCs w:val="22"/>
              </w:rPr>
              <w:t xml:space="preserve">Mixed. With a live model, full reduces MTTR by 38% and cost by 56% against static orchestration, but it increases manual interventions by 500%.</w:t>
            </w:r>
          </w:p>
        </w:tc>
      </w:tr>
    </w:tbl>
    <w:p>
      <w:pPr>
        <w:spacing w:after="160"/>
      </w:pPr>
      <w:r>
        <w:rPr>
          <w:rFonts w:ascii="Times New Roman" w:cs="Times New Roman" w:eastAsia="Times New Roman" w:hAnsi="Times New Roman"/>
        </w:rPr>
        <w:t xml:space="preserve"/>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9</w:t>
      </w:r>
      <w:r>
        <w:fldChar w:fldCharType="end"/>
      </w:r>
      <w:r>
        <w:rPr>
          <w:rFonts w:ascii="Calibri" w:cs="Calibri" w:eastAsia="Calibri" w:hAnsi="Calibri"/>
          <w:color w:val="404040"/>
          <w:sz w:val="20"/>
          <w:szCs w:val="20"/>
        </w:rPr>
        <w:t xml:space="preserve">:  Medians [IQR] per configuration, pooled across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91"/>
        <w:gridCol w:w="822"/>
        <w:gridCol w:w="575"/>
        <w:gridCol w:w="1233"/>
        <w:gridCol w:w="1233"/>
        <w:gridCol w:w="1233"/>
        <w:gridCol w:w="1319"/>
      </w:tblGrid>
      <w:tr>
        <w:trPr>
          <w:cantSplit/>
          <w:tblHeader/>
        </w:trPr>
        <w:tc>
          <w:tcPr>
            <w:tcW w:type="dxa" w:w="189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Config</w:t>
            </w:r>
          </w:p>
        </w:tc>
        <w:tc>
          <w:tcPr>
            <w:tcW w:type="dxa" w:w="822"/>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LLM</w:t>
            </w:r>
          </w:p>
        </w:tc>
        <w:tc>
          <w:tcPr>
            <w:tcW w:type="dxa" w:w="575"/>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n</w:t>
            </w:r>
          </w:p>
        </w:tc>
        <w:tc>
          <w:tcPr>
            <w:tcW w:type="dxa" w:w="123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MTTR (s)</w:t>
            </w:r>
          </w:p>
        </w:tc>
        <w:tc>
          <w:tcPr>
            <w:tcW w:type="dxa" w:w="123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Cost</w:t>
            </w:r>
          </w:p>
        </w:tc>
        <w:tc>
          <w:tcPr>
            <w:tcW w:type="dxa" w:w="123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Manual interv.</w:t>
            </w:r>
          </w:p>
        </w:tc>
        <w:tc>
          <w:tcPr>
            <w:tcW w:type="dxa" w:w="131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Decision correct</w:t>
            </w:r>
          </w:p>
        </w:tc>
      </w:tr>
      <w:tr>
        <w:trPr>
          <w:cantSplit/>
          <w:tblHeader w:val="false"/>
        </w:trPr>
        <w:tc>
          <w:tcPr>
            <w:tcW w:type="dxa" w:w="18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baseline</w:t>
            </w:r>
          </w:p>
        </w:tc>
        <w:tc>
          <w:tcPr>
            <w:tcW w:type="dxa" w:w="8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none</w:t>
            </w:r>
          </w:p>
        </w:tc>
        <w:tc>
          <w:tcPr>
            <w:tcW w:type="dxa" w:w="57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80</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378 [244]</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158 [113]</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1.00 [0]</w:t>
            </w:r>
          </w:p>
        </w:tc>
        <w:tc>
          <w:tcPr>
            <w:tcW w:type="dxa" w:w="131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w:t>
            </w:r>
          </w:p>
        </w:tc>
      </w:tr>
      <w:tr>
        <w:trPr>
          <w:cantSplit/>
          <w:tblHeader w:val="false"/>
        </w:trPr>
        <w:tc>
          <w:tcPr>
            <w:tcW w:type="dxa" w:w="189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rule_based</w:t>
            </w:r>
          </w:p>
        </w:tc>
        <w:tc>
          <w:tcPr>
            <w:tcW w:type="dxa" w:w="8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none</w:t>
            </w:r>
          </w:p>
        </w:tc>
        <w:tc>
          <w:tcPr>
            <w:tcW w:type="dxa" w:w="57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80</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 [15.9]</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158 [113]</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[0.250]</w:t>
            </w:r>
          </w:p>
        </w:tc>
        <w:tc>
          <w:tcPr>
            <w:tcW w:type="dxa" w:w="131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w:t>
            </w:r>
          </w:p>
        </w:tc>
      </w:tr>
      <w:tr>
        <w:trPr>
          <w:cantSplit/>
          <w:tblHeader w:val="false"/>
        </w:trPr>
        <w:tc>
          <w:tcPr>
            <w:tcW w:type="dxa" w:w="18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autoscale</w:t>
            </w:r>
          </w:p>
        </w:tc>
        <w:tc>
          <w:tcPr>
            <w:tcW w:type="dxa" w:w="8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none</w:t>
            </w:r>
          </w:p>
        </w:tc>
        <w:tc>
          <w:tcPr>
            <w:tcW w:type="dxa" w:w="57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80</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52.4 [359]</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82.5 [122]</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0.500 [1.00]</w:t>
            </w:r>
          </w:p>
        </w:tc>
        <w:tc>
          <w:tcPr>
            <w:tcW w:type="dxa" w:w="131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w:t>
            </w:r>
          </w:p>
        </w:tc>
      </w:tr>
      <w:tr>
        <w:trPr>
          <w:cantSplit/>
          <w:tblHeader w:val="false"/>
        </w:trPr>
        <w:tc>
          <w:tcPr>
            <w:tcW w:type="dxa" w:w="189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monitor_only</w:t>
            </w:r>
          </w:p>
        </w:tc>
        <w:tc>
          <w:tcPr>
            <w:tcW w:type="dxa" w:w="8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live</w:t>
            </w:r>
          </w:p>
        </w:tc>
        <w:tc>
          <w:tcPr>
            <w:tcW w:type="dxa" w:w="57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40</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359 [210]</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1,223 [525]</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1.00 [1.00]</w:t>
            </w:r>
          </w:p>
        </w:tc>
        <w:tc>
          <w:tcPr>
            <w:tcW w:type="dxa" w:w="131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w:t>
            </w:r>
          </w:p>
        </w:tc>
      </w:tr>
      <w:tr>
        <w:trPr>
          <w:cantSplit/>
          <w:tblHeader w:val="false"/>
        </w:trPr>
        <w:tc>
          <w:tcPr>
            <w:tcW w:type="dxa" w:w="18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recovery_only</w:t>
            </w:r>
          </w:p>
        </w:tc>
        <w:tc>
          <w:tcPr>
            <w:tcW w:type="dxa" w:w="8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live</w:t>
            </w:r>
          </w:p>
        </w:tc>
        <w:tc>
          <w:tcPr>
            <w:tcW w:type="dxa" w:w="57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40</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220 [75.0]</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1,223 [630]</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6.00 [1.00]</w:t>
            </w:r>
          </w:p>
        </w:tc>
        <w:tc>
          <w:tcPr>
            <w:tcW w:type="dxa" w:w="131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w:t>
            </w:r>
          </w:p>
        </w:tc>
      </w:tr>
      <w:tr>
        <w:trPr>
          <w:cantSplit/>
          <w:tblHeader w:val="false"/>
        </w:trPr>
        <w:tc>
          <w:tcPr>
            <w:tcW w:type="dxa" w:w="189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optimization_only</w:t>
            </w:r>
          </w:p>
        </w:tc>
        <w:tc>
          <w:tcPr>
            <w:tcW w:type="dxa" w:w="8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live</w:t>
            </w:r>
          </w:p>
        </w:tc>
        <w:tc>
          <w:tcPr>
            <w:tcW w:type="dxa" w:w="57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40</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267 [360]</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76.5 [128]</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1.00 [1.00]</w:t>
            </w:r>
          </w:p>
        </w:tc>
        <w:tc>
          <w:tcPr>
            <w:tcW w:type="dxa" w:w="131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[0.250]</w:t>
            </w:r>
          </w:p>
        </w:tc>
      </w:tr>
      <w:tr>
        <w:trPr>
          <w:cantSplit/>
          <w:tblHeader w:val="false"/>
        </w:trPr>
        <w:tc>
          <w:tcPr>
            <w:tcW w:type="dxa" w:w="18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schema_only</w:t>
            </w:r>
          </w:p>
        </w:tc>
        <w:tc>
          <w:tcPr>
            <w:tcW w:type="dxa" w:w="822"/>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live</w:t>
            </w:r>
          </w:p>
        </w:tc>
        <w:tc>
          <w:tcPr>
            <w:tcW w:type="dxa" w:w="57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40</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315 [353]</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920 [122]</w:t>
            </w:r>
          </w:p>
        </w:tc>
        <w:tc>
          <w:tcPr>
            <w:tcW w:type="dxa" w:w="123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1.00 [1.25]</w:t>
            </w:r>
          </w:p>
        </w:tc>
        <w:tc>
          <w:tcPr>
            <w:tcW w:type="dxa" w:w="131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[0.250]</w:t>
            </w:r>
          </w:p>
        </w:tc>
      </w:tr>
      <w:tr>
        <w:trPr>
          <w:cantSplit/>
          <w:tblHeader w:val="false"/>
        </w:trPr>
        <w:tc>
          <w:tcPr>
            <w:tcW w:type="dxa" w:w="189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full</w:t>
            </w:r>
          </w:p>
        </w:tc>
        <w:tc>
          <w:tcPr>
            <w:tcW w:type="dxa" w:w="822"/>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live</w:t>
            </w:r>
          </w:p>
        </w:tc>
        <w:tc>
          <w:tcPr>
            <w:tcW w:type="dxa" w:w="57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80</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235 [143]</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69.8 [35.1]</w:t>
            </w:r>
          </w:p>
        </w:tc>
        <w:tc>
          <w:tcPr>
            <w:tcW w:type="dxa" w:w="123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6.00 [8.00]</w:t>
            </w:r>
          </w:p>
        </w:tc>
        <w:tc>
          <w:tcPr>
            <w:tcW w:type="dxa" w:w="131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 [1.00]</w:t>
            </w:r>
          </w:p>
        </w:tc>
      </w:tr>
    </w:tbl>
    <w:p>
      <w:pPr>
        <w:spacing w:after="160"/>
      </w:pPr>
      <w:r>
        <w:rPr>
          <w:rFonts w:ascii="Times New Roman" w:cs="Times New Roman" w:eastAsia="Times New Roman" w:hAnsi="Times New Roman"/>
        </w:rPr>
        <w:t xml:space="preserve"/>
      </w:r>
    </w:p>
    <w:p>
      <w:pPr>
        <w:spacing w:after="160" w:before="0" w:line="360"/>
        <w:jc w:val="both"/>
      </w:pPr>
      <w:r>
        <w:rPr>
          <w:rFonts w:ascii="Times New Roman" w:cs="Times New Roman" w:eastAsia="Times New Roman" w:hAnsi="Times New Roman"/>
        </w:rPr>
        <w:t xml:space="preserve">With a live model, full changes MTTR from 378 s to 235 s (−38%, Cliff's δ = −0.56) and cost from 158 to 69.8 units (−56%). Both effects are significant after Holm correction. Most of the cost reduction, however, comes from the assumed provisioning term of Eq. (4.4) rather than from metered compute. Manual interventions move the other way: the median rises from 1.00 to 6.00 (500%), the reverse of the base proposal's claimed reduction. The answer to RQ1 is therefore mixed.</w:t>
      </w:r>
    </w:p>
    <w:p>
      <w:pPr>
        <w:keepNext/>
        <w:spacing w:before="120"/>
        <w:jc w:val="center"/>
      </w:pPr>
      <w:r>
        <w:drawing>
          <wp:inline distT="0" distB="0" distL="0" distR="0">
            <wp:extent cx="5486400" cy="2743200"/>
            <wp:effectExtent t="0" r="0" b="0" l="0"/>
            <wp:docPr id="1" name="fig_mttr.png" descr="Recovery-time distribution by configuration (log scale)" title="Recovery-time distribution by configuration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743200"/>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2</w:t>
      </w:r>
      <w:r>
        <w:fldChar w:fldCharType="end"/>
      </w:r>
      <w:r>
        <w:rPr>
          <w:rFonts w:ascii="Calibri" w:cs="Calibri" w:eastAsia="Calibri" w:hAnsi="Calibri"/>
          <w:color w:val="404040"/>
          <w:sz w:val="20"/>
          <w:szCs w:val="20"/>
        </w:rPr>
        <w:t xml:space="preserve">:  Recovery-time distribution by configuration (log scale)</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10</w:t>
      </w:r>
      <w:r>
        <w:fldChar w:fldCharType="end"/>
      </w:r>
      <w:r>
        <w:rPr>
          <w:rFonts w:ascii="Calibri" w:cs="Calibri" w:eastAsia="Calibri" w:hAnsi="Calibri"/>
          <w:color w:val="404040"/>
          <w:sz w:val="20"/>
          <w:szCs w:val="20"/>
        </w:rPr>
        <w:t xml:space="preserve">:  Effect of each configuration against baseline (bootstrap 95% CI, Cliff's δ, Holm-corrected p)</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27"/>
        <w:gridCol w:w="1495"/>
        <w:gridCol w:w="1993"/>
        <w:gridCol w:w="1993"/>
        <w:gridCol w:w="998"/>
      </w:tblGrid>
      <w:tr>
        <w:trPr>
          <w:cantSplit/>
          <w:tblHeader/>
        </w:trPr>
        <w:tc>
          <w:tcPr>
            <w:tcW w:type="dxa" w:w="182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6"/>
                <w:szCs w:val="16"/>
              </w:rPr>
              <w:t xml:space="preserve">Config</w:t>
            </w:r>
          </w:p>
        </w:tc>
        <w:tc>
          <w:tcPr>
            <w:tcW w:type="dxa" w:w="1495"/>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Metric</w:t>
            </w:r>
          </w:p>
        </w:tc>
        <w:tc>
          <w:tcPr>
            <w:tcW w:type="dxa" w:w="199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Δ median [95% CI]</w:t>
            </w:r>
          </w:p>
        </w:tc>
        <w:tc>
          <w:tcPr>
            <w:tcW w:type="dxa" w:w="199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Cliff's δ [95% CI]</w:t>
            </w:r>
          </w:p>
        </w:tc>
        <w:tc>
          <w:tcPr>
            <w:tcW w:type="dxa" w:w="99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p (Holm)</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rule_based</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−348 [−419, −303]</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−0.73 [−0.85, −0.60]</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autoscale</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−326 [−406, −82.7]</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−0.49 [−0.63, −0.32]</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monitor_only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−19.2 [−99.6, 59.8]</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−0.09 [−0.32, 0.13]</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1.000</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recovery_only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−159 [−229, −105]</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−0.70 [−0.83, −0.55]</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optimization_only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−111 [−188, 15.9]</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−0.27 [−0.50, −0.025]</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0.134</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schema_only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−63.1 [−182, 87.4]</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−0.19 [−0.42, 0.056]</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0.638</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full</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MTTR (s)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−143 [−212, −94.7]</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−0.56 [−0.70, −0.42]</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rule_based</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0.00 [−0.14, 0.14]</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1.000</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autoscale</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−75.0 [−75.0, −75.0]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−0.62 [−0.76, −0.45]</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monitor_only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1,065 [1,065, 1,074]</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 [1.0, 1.0]</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recovery_only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1,065 [1,065, 1,389]</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 [1.0, 1.0]</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optimization_only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−81.0 [−81.0, −48.3]</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−0.47 [−0.72, −0.20]</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schema_only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763 [750, 763]</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 [1.0, 1.0]</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full</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Cost (units)</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−87.7 [−96.2, −87.7]</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−0.66 [−0.81, −0.51]</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rule_based</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 [−1.00, −1.00]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−0.75 [−0.85, −0.65]</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autoscale</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−0.500 [−1.00, 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−0.50 [−0.61, −0.39]</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monitor_only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0.28 [0.15, 0.42]</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recovery_only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5.00 [5.00, 5.50]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0.97 [0.93, 1.0]</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optimization_only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1.00]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0.20 [−0.050, 0.42]</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0.121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schema_only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0.25 [0.12, 0.38]</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full</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Manual interv.</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5.00 [5.00, 8.00]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0.79 [0.70, 0.88]</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rule_based</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0.00 [0, 0]</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1.000</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autoscale</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0.00 [0, 0]</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1.000</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monitor_only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0.00 [0, 0]</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1.000</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recovery_only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0.00 [0, 0]</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1.000</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optimization_only</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0.25 [0.12, 0.38]</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schema_only</w:t>
            </w:r>
          </w:p>
        </w:tc>
        <w:tc>
          <w:tcPr>
            <w:tcW w:type="dxa" w:w="14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0]</w:t>
            </w:r>
          </w:p>
        </w:tc>
        <w:tc>
          <w:tcPr>
            <w:tcW w:type="dxa" w:w="19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0.25 [0.12, 0.38]</w:t>
            </w:r>
          </w:p>
        </w:tc>
        <w:tc>
          <w:tcPr>
            <w:tcW w:type="dxa" w:w="9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r>
        <w:trPr>
          <w:cantSplit/>
          <w:tblHeader w:val="false"/>
        </w:trPr>
        <w:tc>
          <w:tcPr>
            <w:tcW w:type="dxa" w:w="18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full</w:t>
            </w:r>
          </w:p>
        </w:tc>
        <w:tc>
          <w:tcPr>
            <w:tcW w:type="dxa" w:w="14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Decision correct</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 [0, 1.00]</w:t>
            </w:r>
          </w:p>
        </w:tc>
        <w:tc>
          <w:tcPr>
            <w:tcW w:type="dxa" w:w="19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0.42 [0.31, 0.54]</w:t>
            </w:r>
          </w:p>
        </w:tc>
        <w:tc>
          <w:tcPr>
            <w:tcW w:type="dxa" w:w="9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&lt;0.001*</w:t>
            </w:r>
          </w:p>
        </w:tc>
      </w:tr>
    </w:tbl>
    <w:p>
      <w:pPr>
        <w:spacing w:after="160"/>
      </w:pPr>
      <w:r>
        <w:rPr>
          <w:rFonts w:ascii="Times New Roman" w:cs="Times New Roman" w:eastAsia="Times New Roman" w:hAnsi="Times New Roman"/>
        </w:rPr>
        <w:t xml:space="preserve"/>
      </w:r>
    </w:p>
    <w:p>
      <w:pPr>
        <w:keepNext/>
        <w:spacing w:before="120"/>
        <w:jc w:val="center"/>
      </w:pPr>
      <w:r>
        <w:drawing>
          <wp:inline distT="0" distB="0" distL="0" distR="0">
            <wp:extent cx="5486400" cy="2400300"/>
            <wp:effectExtent t="0" r="0" b="0" l="0"/>
            <wp:docPr id="1" name="fig_effects.png" descr="Cliff's δ against baseline by configuration and metric" title="Cliff's δ against baseline by configuration and 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400300"/>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3</w:t>
      </w:r>
      <w:r>
        <w:fldChar w:fldCharType="end"/>
      </w:r>
      <w:r>
        <w:rPr>
          <w:rFonts w:ascii="Calibri" w:cs="Calibri" w:eastAsia="Calibri" w:hAnsi="Calibri"/>
          <w:color w:val="404040"/>
          <w:sz w:val="20"/>
          <w:szCs w:val="20"/>
        </w:rPr>
        <w:t xml:space="preserve">:  Cliff's δ against baseline by configuration and metric</w:t>
      </w:r>
    </w:p>
    <w:p>
      <w:pPr>
        <w:pStyle w:val="Heading2"/>
        <w:keepNext/>
      </w:pPr>
      <w:r>
        <w:rPr>
          <w:rFonts w:ascii="Calibri" w:cs="Calibri" w:eastAsia="Calibri" w:hAnsi="Calibri"/>
        </w:rPr>
        <w:t xml:space="preserve">7.3  RQ2: Comparison with Non-LLM Automation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Pr>
        <w:tc>
          <w:tcPr>
            <w:tcW w:type="dxa" w:w="8306"/>
            <w:tcBorders>
              <w:top w:val="single" w:color="1F3864" w:sz="18"/>
              <w:left w:val="single" w:color="9DC3E6" w:sz="6"/>
              <w:bottom w:val="single" w:color="9DC3E6" w:sz="6"/>
              <w:right w:val="single" w:color="9DC3E6" w:sz="6"/>
            </w:tcBorders>
            <w:shd w:fill="F3F7FC" w:val="clear"/>
            <w:tcMar>
              <w:top w:type="dxa" w:w="120"/>
              <w:left w:type="dxa" w:w="200"/>
              <w:bottom w:type="dxa" w:w="120"/>
              <w:right w:type="dxa" w:w="200"/>
            </w:tcMar>
          </w:tcPr>
          <w:p>
            <w:pPr>
              <w:spacing w:after="60"/>
            </w:pPr>
            <w:r>
              <w:rPr>
                <w:rFonts w:ascii="Calibri" w:cs="Calibri" w:eastAsia="Calibri" w:hAnsi="Calibri"/>
                <w:b/>
                <w:bCs/>
                <w:color w:val="1F3864"/>
                <w:spacing w:val="40"/>
                <w:sz w:val="20"/>
                <w:szCs w:val="20"/>
              </w:rPr>
              <w:t xml:space="preserve">KEY FINDING: RQ2</w:t>
            </w:r>
          </w:p>
          <w:p>
            <w:pPr>
              <w:spacing w:line="300"/>
              <w:jc w:val="both"/>
            </w:pPr>
            <w:r>
              <w:rPr>
                <w:rFonts w:ascii="Times New Roman" w:cs="Times New Roman" w:eastAsia="Times New Roman" w:hAnsi="Times New Roman"/>
                <w:sz w:val="22"/>
                <w:szCs w:val="22"/>
              </w:rPr>
              <w:t xml:space="preserve">No. Two idealized non-LLM baselines recover faster than every agent configuration and keep manual interventions flat or lower.</w:t>
            </w:r>
          </w:p>
        </w:tc>
      </w:tr>
    </w:tbl>
    <w:p>
      <w:pPr>
        <w:spacing w:after="160"/>
      </w:pPr>
      <w:r>
        <w:rPr>
          <w:rFonts w:ascii="Times New Roman" w:cs="Times New Roman" w:eastAsia="Times New Roman" w:hAnsi="Times New Roman"/>
        </w:rPr>
        <w:t xml:space="preserve"/>
      </w:r>
    </w:p>
    <w:p>
      <w:pPr>
        <w:spacing w:after="160" w:before="0" w:line="360"/>
        <w:jc w:val="both"/>
      </w:pPr>
      <w:r>
        <w:rPr>
          <w:rFonts w:ascii="Times New Roman" w:cs="Times New Roman" w:eastAsia="Times New Roman" w:hAnsi="Times New Roman"/>
        </w:rPr>
        <w:t xml:space="preserve">The two non-LLM comparators call no model, yet both beat every agent configuration on MTTR: rule_based reaches 30.0 s (−92%) and autoscale 52.4 s (−86%), against −38% for full. Both keep manual interventions flat or reduce them. Because their latencies are modelled (30 s and 20 s), they represent idealized automation; still, for these scenarios cheap automation beats the LLM-driven system on speed and on manual interventions.</w:t>
      </w:r>
    </w:p>
    <w:p>
      <w:pPr>
        <w:pStyle w:val="Heading2"/>
        <w:keepNext/>
      </w:pPr>
      <w:r>
        <w:rPr>
          <w:rFonts w:ascii="Calibri" w:cs="Calibri" w:eastAsia="Calibri" w:hAnsi="Calibri"/>
        </w:rPr>
        <w:t xml:space="preserve">7.4  RQ3: Decision Quality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Pr>
        <w:tc>
          <w:tcPr>
            <w:tcW w:type="dxa" w:w="8306"/>
            <w:tcBorders>
              <w:top w:val="single" w:color="1F3864" w:sz="18"/>
              <w:left w:val="single" w:color="9DC3E6" w:sz="6"/>
              <w:bottom w:val="single" w:color="9DC3E6" w:sz="6"/>
              <w:right w:val="single" w:color="9DC3E6" w:sz="6"/>
            </w:tcBorders>
            <w:shd w:fill="F3F7FC" w:val="clear"/>
            <w:tcMar>
              <w:top w:type="dxa" w:w="120"/>
              <w:left w:type="dxa" w:w="200"/>
              <w:bottom w:type="dxa" w:w="120"/>
              <w:right w:type="dxa" w:w="200"/>
            </w:tcMar>
          </w:tcPr>
          <w:p>
            <w:pPr>
              <w:spacing w:after="60"/>
            </w:pPr>
            <w:r>
              <w:rPr>
                <w:rFonts w:ascii="Calibri" w:cs="Calibri" w:eastAsia="Calibri" w:hAnsi="Calibri"/>
                <w:b/>
                <w:bCs/>
                <w:color w:val="1F3864"/>
                <w:spacing w:val="40"/>
                <w:sz w:val="20"/>
                <w:szCs w:val="20"/>
              </w:rPr>
              <w:t xml:space="preserve">KEY FINDING: RQ3</w:t>
            </w:r>
          </w:p>
          <w:p>
            <w:pPr>
              <w:spacing w:line="300"/>
              <w:jc w:val="both"/>
            </w:pPr>
            <w:r>
              <w:rPr>
                <w:rFonts w:ascii="Times New Roman" w:cs="Times New Roman" w:eastAsia="Times New Roman" w:hAnsi="Times New Roman"/>
                <w:sz w:val="22"/>
                <w:szCs w:val="22"/>
              </w:rPr>
              <w:t xml:space="preserve">Partly. full executes an accepted mitigation in 0.42 of its runs, which no non-agent configuration can do, but fewer than half of its runs act correctly.</w:t>
            </w:r>
          </w:p>
        </w:tc>
      </w:tr>
    </w:tbl>
    <w:p>
      <w:pPr>
        <w:spacing w:after="160"/>
      </w:pPr>
      <w:r>
        <w:rPr>
          <w:rFonts w:ascii="Times New Roman" w:cs="Times New Roman" w:eastAsia="Times New Roman" w:hAnsi="Times New Roman"/>
        </w:rPr>
        <w:t xml:space="preserve"/>
      </w:r>
    </w:p>
    <w:p>
      <w:pPr>
        <w:spacing w:after="160" w:before="0" w:line="360"/>
        <w:jc w:val="both"/>
      </w:pPr>
      <w:r>
        <w:rPr>
          <w:rFonts w:ascii="Times New Roman" w:cs="Times New Roman" w:eastAsia="Times New Roman" w:hAnsi="Times New Roman"/>
        </w:rPr>
        <w:t xml:space="preserve">Against an all-zero comparator, Cliff's δ equals the success rate, so full executes an accepted mitigation in 0.42 of its runs. This is the one metric on which the live system achieves something the non-agent configurations cannot, but fewer than half of its runs act correctly.</w:t>
      </w:r>
    </w:p>
    <w:p>
      <w:pPr>
        <w:pStyle w:val="Heading2"/>
        <w:keepNext/>
      </w:pPr>
      <w:r>
        <w:rPr>
          <w:rFonts w:ascii="Calibri" w:cs="Calibri" w:eastAsia="Calibri" w:hAnsi="Calibri"/>
        </w:rPr>
        <w:t xml:space="preserve">7.5  Per-Scenario Behaviour</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11</w:t>
      </w:r>
      <w:r>
        <w:fldChar w:fldCharType="end"/>
      </w:r>
      <w:r>
        <w:rPr>
          <w:rFonts w:ascii="Calibri" w:cs="Calibri" w:eastAsia="Calibri" w:hAnsi="Calibri"/>
          <w:color w:val="404040"/>
          <w:sz w:val="20"/>
          <w:szCs w:val="20"/>
        </w:rPr>
        <w:t xml:space="preserve">:  Median MTTR (s) by configuration and scenario</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20"/>
        <w:gridCol w:w="1413"/>
        <w:gridCol w:w="1767"/>
        <w:gridCol w:w="1413"/>
        <w:gridCol w:w="1593"/>
      </w:tblGrid>
      <w:tr>
        <w:trPr>
          <w:cantSplit/>
          <w:tblHeader/>
        </w:trPr>
        <w:tc>
          <w:tcPr>
            <w:tcW w:type="dxa" w:w="2120"/>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Config</w:t>
            </w:r>
          </w:p>
        </w:tc>
        <w:tc>
          <w:tcPr>
            <w:tcW w:type="dxa" w:w="141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ingress_burst</w:t>
            </w:r>
          </w:p>
        </w:tc>
        <w:tc>
          <w:tcPr>
            <w:tcW w:type="dxa" w:w="176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resource_contention</w:t>
            </w:r>
          </w:p>
        </w:tc>
        <w:tc>
          <w:tcPr>
            <w:tcW w:type="dxa" w:w="141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schema_drift</w:t>
            </w:r>
          </w:p>
        </w:tc>
        <w:tc>
          <w:tcPr>
            <w:tcW w:type="dxa" w:w="159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upstream_delay</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baseline</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352</w:t>
            </w:r>
          </w:p>
        </w:tc>
        <w:tc>
          <w:tcPr>
            <w:tcW w:type="dxa" w:w="17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386</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424</w:t>
            </w:r>
          </w:p>
        </w:tc>
        <w:tc>
          <w:tcPr>
            <w:tcW w:type="dxa" w:w="15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353</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rule_based</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w:t>
            </w:r>
          </w:p>
        </w:tc>
        <w:tc>
          <w:tcPr>
            <w:tcW w:type="dxa" w:w="17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433</w:t>
            </w:r>
          </w:p>
        </w:tc>
        <w:tc>
          <w:tcPr>
            <w:tcW w:type="dxa" w:w="15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autoscale</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20.0</w:t>
            </w:r>
          </w:p>
        </w:tc>
        <w:tc>
          <w:tcPr>
            <w:tcW w:type="dxa" w:w="17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20.0</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363</w:t>
            </w:r>
          </w:p>
        </w:tc>
        <w:tc>
          <w:tcPr>
            <w:tcW w:type="dxa" w:w="15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393</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monitor_only</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366</w:t>
            </w:r>
          </w:p>
        </w:tc>
        <w:tc>
          <w:tcPr>
            <w:tcW w:type="dxa" w:w="17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412</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320</w:t>
            </w:r>
          </w:p>
        </w:tc>
        <w:tc>
          <w:tcPr>
            <w:tcW w:type="dxa" w:w="15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275</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recovery_only</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223</w:t>
            </w:r>
          </w:p>
        </w:tc>
        <w:tc>
          <w:tcPr>
            <w:tcW w:type="dxa" w:w="17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183</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224</w:t>
            </w:r>
          </w:p>
        </w:tc>
        <w:tc>
          <w:tcPr>
            <w:tcW w:type="dxa" w:w="15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248</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optimization_only</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10.5</w:t>
            </w:r>
          </w:p>
        </w:tc>
        <w:tc>
          <w:tcPr>
            <w:tcW w:type="dxa" w:w="17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267</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502</w:t>
            </w:r>
          </w:p>
        </w:tc>
        <w:tc>
          <w:tcPr>
            <w:tcW w:type="dxa" w:w="15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281</w:t>
            </w:r>
          </w:p>
        </w:tc>
      </w:tr>
      <w:tr>
        <w:trPr>
          <w:cantSplit/>
          <w:tblHeader w:val="false"/>
        </w:trPr>
        <w:tc>
          <w:tcPr>
            <w:tcW w:type="dxa" w:w="2120"/>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schema_only</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453</w:t>
            </w:r>
          </w:p>
        </w:tc>
        <w:tc>
          <w:tcPr>
            <w:tcW w:type="dxa" w:w="17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343</w:t>
            </w:r>
          </w:p>
        </w:tc>
        <w:tc>
          <w:tcPr>
            <w:tcW w:type="dxa" w:w="141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120</w:t>
            </w:r>
          </w:p>
        </w:tc>
        <w:tc>
          <w:tcPr>
            <w:tcW w:type="dxa" w:w="159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553</w:t>
            </w:r>
          </w:p>
        </w:tc>
      </w:tr>
      <w:tr>
        <w:trPr>
          <w:cantSplit/>
          <w:tblHeader w:val="false"/>
        </w:trPr>
        <w:tc>
          <w:tcPr>
            <w:tcW w:type="dxa" w:w="2120"/>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full</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148</w:t>
            </w:r>
          </w:p>
        </w:tc>
        <w:tc>
          <w:tcPr>
            <w:tcW w:type="dxa" w:w="17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318</w:t>
            </w:r>
          </w:p>
        </w:tc>
        <w:tc>
          <w:tcPr>
            <w:tcW w:type="dxa" w:w="141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214</w:t>
            </w:r>
          </w:p>
        </w:tc>
        <w:tc>
          <w:tcPr>
            <w:tcW w:type="dxa" w:w="159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237</w:t>
            </w:r>
          </w:p>
        </w:tc>
      </w:tr>
    </w:tbl>
    <w:p>
      <w:pPr>
        <w:spacing w:after="160"/>
      </w:pPr>
      <w:r>
        <w:rPr>
          <w:rFonts w:ascii="Times New Roman" w:cs="Times New Roman" w:eastAsia="Times New Roman" w:hAnsi="Times New Roman"/>
        </w:rPr>
        <w:t xml:space="preserve"/>
      </w:r>
    </w:p>
    <w:p>
      <w:pPr>
        <w:keepNext/>
        <w:spacing w:before="120"/>
        <w:jc w:val="center"/>
      </w:pPr>
      <w:r>
        <w:drawing>
          <wp:inline distT="0" distB="0" distL="0" distR="0">
            <wp:extent cx="4752975" cy="3095625"/>
            <wp:effectExtent t="0" r="0" b="0" l="0"/>
            <wp:docPr id="1" name="fig_scenarios.png" descr="MTTR by configuration and scenario" title="MTTR by configuration and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3095625"/>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4</w:t>
      </w:r>
      <w:r>
        <w:fldChar w:fldCharType="end"/>
      </w:r>
      <w:r>
        <w:rPr>
          <w:rFonts w:ascii="Calibri" w:cs="Calibri" w:eastAsia="Calibri" w:hAnsi="Calibri"/>
          <w:color w:val="404040"/>
          <w:sz w:val="20"/>
          <w:szCs w:val="20"/>
        </w:rPr>
        <w:t xml:space="preserve">:  MTTR by configuration and scenario</w:t>
      </w:r>
    </w:p>
    <w:p>
      <w:pPr>
        <w:spacing w:after="160" w:before="0" w:line="360"/>
        <w:jc w:val="both"/>
      </w:pPr>
      <w:r>
        <w:rPr>
          <w:rFonts w:ascii="Times New Roman" w:cs="Times New Roman" w:eastAsia="Times New Roman" w:hAnsi="Times New Roman"/>
        </w:rPr>
        <w:t xml:space="preserve">No single configuration dominates every fault type. optimization_only is the fastest configuration on ingress_burst but slower than baseline on schema_drift, while schema_only shows the mirror-image pattern: a single agent helps where it owns the fault and adds overhead elsewhere.</w:t>
      </w:r>
    </w:p>
    <w:p>
      <w:pPr>
        <w:pStyle w:val="Heading2"/>
        <w:keepNext/>
      </w:pPr>
      <w:r>
        <w:rPr>
          <w:rFonts w:ascii="Calibri" w:cs="Calibri" w:eastAsia="Calibri" w:hAnsi="Calibri"/>
        </w:rPr>
        <w:t xml:space="preserve">7.6  RQ4: Mock Versus Live Evaluation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Pr>
        <w:tc>
          <w:tcPr>
            <w:tcW w:type="dxa" w:w="8306"/>
            <w:tcBorders>
              <w:top w:val="single" w:color="1F3864" w:sz="18"/>
              <w:left w:val="single" w:color="9DC3E6" w:sz="6"/>
              <w:bottom w:val="single" w:color="9DC3E6" w:sz="6"/>
              <w:right w:val="single" w:color="9DC3E6" w:sz="6"/>
            </w:tcBorders>
            <w:shd w:fill="F3F7FC" w:val="clear"/>
            <w:tcMar>
              <w:top w:type="dxa" w:w="120"/>
              <w:left w:type="dxa" w:w="200"/>
              <w:bottom w:type="dxa" w:w="120"/>
              <w:right w:type="dxa" w:w="200"/>
            </w:tcMar>
          </w:tcPr>
          <w:p>
            <w:pPr>
              <w:spacing w:after="60"/>
            </w:pPr>
            <w:r>
              <w:rPr>
                <w:rFonts w:ascii="Calibri" w:cs="Calibri" w:eastAsia="Calibri" w:hAnsi="Calibri"/>
                <w:b/>
                <w:bCs/>
                <w:color w:val="1F3864"/>
                <w:spacing w:val="40"/>
                <w:sz w:val="20"/>
                <w:szCs w:val="20"/>
              </w:rPr>
              <w:t xml:space="preserve">KEY FINDING: RQ4</w:t>
            </w:r>
          </w:p>
          <w:p>
            <w:pPr>
              <w:spacing w:line="300"/>
              <w:jc w:val="both"/>
            </w:pPr>
            <w:r>
              <w:rPr>
                <w:rFonts w:ascii="Times New Roman" w:cs="Times New Roman" w:eastAsia="Times New Roman" w:hAnsi="Times New Roman"/>
                <w:sz w:val="22"/>
                <w:szCs w:val="22"/>
              </w:rPr>
              <w:t xml:space="preserve">Yes, decisively. Under a deterministic mock, MTTR falls by a factor of 1219 and the correct-mitigation score rises to 1.00. A mock evaluation is a different and far more flattering experiment.</w:t>
            </w:r>
          </w:p>
        </w:tc>
      </w:tr>
    </w:tbl>
    <w:p>
      <w:pPr>
        <w:spacing w:after="160"/>
      </w:pPr>
      <w:r>
        <w:rPr>
          <w:rFonts w:ascii="Times New Roman" w:cs="Times New Roman" w:eastAsia="Times New Roman" w:hAnsi="Times New Roman"/>
        </w:rPr>
        <w:t xml:space="preserve"/>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12</w:t>
      </w:r>
      <w:r>
        <w:fldChar w:fldCharType="end"/>
      </w:r>
      <w:r>
        <w:rPr>
          <w:rFonts w:ascii="Calibri" w:cs="Calibri" w:eastAsia="Calibri" w:hAnsi="Calibri"/>
          <w:color w:val="404040"/>
          <w:sz w:val="20"/>
          <w:szCs w:val="20"/>
        </w:rPr>
        <w:t xml:space="preserve">:  Live model versus deterministic mock for the full configuration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1245"/>
        <w:gridCol w:w="1245"/>
        <w:gridCol w:w="2491"/>
        <w:gridCol w:w="1249"/>
      </w:tblGrid>
      <w:tr>
        <w:trPr>
          <w:cantSplit/>
          <w:tblHeader/>
        </w:trPr>
        <w:tc>
          <w:tcPr>
            <w:tcW w:type="dxa" w:w="2076"/>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Metric</w:t>
            </w:r>
          </w:p>
        </w:tc>
        <w:tc>
          <w:tcPr>
            <w:tcW w:type="dxa" w:w="1245"/>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Live</w:t>
            </w:r>
          </w:p>
        </w:tc>
        <w:tc>
          <w:tcPr>
            <w:tcW w:type="dxa" w:w="1245"/>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Mock</w:t>
            </w:r>
          </w:p>
        </w:tc>
        <w:tc>
          <w:tcPr>
            <w:tcW w:type="dxa" w:w="249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Cliff's δ [95% CI]</w:t>
            </w:r>
          </w:p>
        </w:tc>
        <w:tc>
          <w:tcPr>
            <w:tcW w:type="dxa" w:w="124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p (Holm)</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MTTR (s)</w:t>
            </w:r>
          </w:p>
        </w:tc>
        <w:tc>
          <w:tcPr>
            <w:tcW w:type="dxa" w:w="12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235</w:t>
            </w:r>
          </w:p>
        </w:tc>
        <w:tc>
          <w:tcPr>
            <w:tcW w:type="dxa" w:w="12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0.193</w:t>
            </w:r>
          </w:p>
        </w:tc>
        <w:tc>
          <w:tcPr>
            <w:tcW w:type="dxa" w:w="24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0.81 [0.72, 0.90]</w:t>
            </w:r>
          </w:p>
        </w:tc>
        <w:tc>
          <w:tcPr>
            <w:tcW w:type="dxa" w:w="1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&lt;0.001</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Cost (units)</w:t>
            </w:r>
          </w:p>
        </w:tc>
        <w:tc>
          <w:tcPr>
            <w:tcW w:type="dxa" w:w="124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69.8</w:t>
            </w:r>
          </w:p>
        </w:tc>
        <w:tc>
          <w:tcPr>
            <w:tcW w:type="dxa" w:w="124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833</w:t>
            </w:r>
          </w:p>
        </w:tc>
        <w:tc>
          <w:tcPr>
            <w:tcW w:type="dxa" w:w="249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−0.82 [−0.92, −0.71]</w:t>
            </w:r>
          </w:p>
        </w:tc>
        <w:tc>
          <w:tcPr>
            <w:tcW w:type="dxa" w:w="124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&lt;0.001</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Manual interv.</w:t>
            </w:r>
          </w:p>
        </w:tc>
        <w:tc>
          <w:tcPr>
            <w:tcW w:type="dxa" w:w="12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6.00</w:t>
            </w:r>
          </w:p>
        </w:tc>
        <w:tc>
          <w:tcPr>
            <w:tcW w:type="dxa" w:w="12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w:t>
            </w:r>
          </w:p>
        </w:tc>
        <w:tc>
          <w:tcPr>
            <w:tcW w:type="dxa" w:w="24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0.87 [0.79, 0.93]</w:t>
            </w:r>
          </w:p>
        </w:tc>
        <w:tc>
          <w:tcPr>
            <w:tcW w:type="dxa" w:w="1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&lt;0.001</w:t>
            </w:r>
          </w:p>
        </w:tc>
      </w:tr>
      <w:tr>
        <w:trPr>
          <w:cantSplit/>
          <w:tblHeader w:val="false"/>
        </w:trPr>
        <w:tc>
          <w:tcPr>
            <w:tcW w:type="dxa" w:w="207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Decision correct</w:t>
            </w:r>
          </w:p>
        </w:tc>
        <w:tc>
          <w:tcPr>
            <w:tcW w:type="dxa" w:w="124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w:t>
            </w:r>
          </w:p>
        </w:tc>
        <w:tc>
          <w:tcPr>
            <w:tcW w:type="dxa" w:w="124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1.00</w:t>
            </w:r>
          </w:p>
        </w:tc>
        <w:tc>
          <w:tcPr>
            <w:tcW w:type="dxa" w:w="249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−0.57 [−0.69, −0.46]</w:t>
            </w:r>
          </w:p>
        </w:tc>
        <w:tc>
          <w:tcPr>
            <w:tcW w:type="dxa" w:w="124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&lt;0.001</w:t>
            </w:r>
          </w:p>
        </w:tc>
      </w:tr>
      <w:tr>
        <w:trPr>
          <w:cantSplit/>
          <w:tblHeader w:val="false"/>
        </w:trPr>
        <w:tc>
          <w:tcPr>
            <w:tcW w:type="dxa" w:w="207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Freshness (s)</w:t>
            </w:r>
          </w:p>
        </w:tc>
        <w:tc>
          <w:tcPr>
            <w:tcW w:type="dxa" w:w="12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14.0</w:t>
            </w:r>
          </w:p>
        </w:tc>
        <w:tc>
          <w:tcPr>
            <w:tcW w:type="dxa" w:w="124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0.0801</w:t>
            </w:r>
          </w:p>
        </w:tc>
        <w:tc>
          <w:tcPr>
            <w:tcW w:type="dxa" w:w="249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0.25 [0.074, 0.42]</w:t>
            </w:r>
          </w:p>
        </w:tc>
        <w:tc>
          <w:tcPr>
            <w:tcW w:type="dxa" w:w="124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0.004</w:t>
            </w:r>
          </w:p>
        </w:tc>
      </w:tr>
    </w:tbl>
    <w:p>
      <w:pPr>
        <w:spacing w:after="160"/>
      </w:pPr>
      <w:r>
        <w:rPr>
          <w:rFonts w:ascii="Times New Roman" w:cs="Times New Roman" w:eastAsia="Times New Roman" w:hAnsi="Times New Roman"/>
        </w:rPr>
        <w:t xml:space="preserve"/>
      </w:r>
    </w:p>
    <w:p>
      <w:pPr>
        <w:keepNext/>
        <w:spacing w:before="120"/>
        <w:jc w:val="center"/>
      </w:pPr>
      <w:r>
        <w:drawing>
          <wp:inline distT="0" distB="0" distL="0" distR="0">
            <wp:extent cx="5486400" cy="1714500"/>
            <wp:effectExtent t="0" r="0" b="0" l="0"/>
            <wp:docPr id="1" name="fig_live_mock.png" descr="Live versus mock medians for the full configuration, per metric" title="Live versus mock medians for the full configuration, per 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1714500"/>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5</w:t>
      </w:r>
      <w:r>
        <w:fldChar w:fldCharType="end"/>
      </w:r>
      <w:r>
        <w:rPr>
          <w:rFonts w:ascii="Calibri" w:cs="Calibri" w:eastAsia="Calibri" w:hAnsi="Calibri"/>
          <w:color w:val="404040"/>
          <w:sz w:val="20"/>
          <w:szCs w:val="20"/>
        </w:rPr>
        <w:t xml:space="preserve">:  Live versus mock medians for the full configuration, per metric</w:t>
      </w:r>
    </w:p>
    <w:p>
      <w:pPr>
        <w:spacing w:after="160" w:before="0" w:line="360"/>
        <w:jc w:val="both"/>
      </w:pPr>
      <w:r>
        <w:rPr>
          <w:rFonts w:ascii="Times New Roman" w:cs="Times New Roman" w:eastAsia="Times New Roman" w:hAnsi="Times New Roman"/>
        </w:rPr>
        <w:t xml:space="preserve">Under the mock, MTTR falls from 235 s to 0.193 s, a divergence ratio of 1219, and the median correct-mitigation score rises to 1.00, whereas the live rate is 0.42. The mock is therefore not a noisier stand-in for the live system but a far more flattering experiment. Cost moves the other way (69.8 live against 833 mock units); much of that gap reflects harness state carried between runs rather than the model, so it is not interpreted as a model effect.</w:t>
      </w:r>
    </w:p>
    <w:p>
      <w:pPr>
        <w:pStyle w:val="Heading2"/>
        <w:keepNext/>
      </w:pPr>
      <w:r>
        <w:rPr>
          <w:rFonts w:ascii="Calibri" w:cs="Calibri" w:eastAsia="Calibri" w:hAnsi="Calibri"/>
        </w:rPr>
        <w:t xml:space="preserve">7.7  LLM Accounting</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13</w:t>
      </w:r>
      <w:r>
        <w:fldChar w:fldCharType="end"/>
      </w:r>
      <w:r>
        <w:rPr>
          <w:rFonts w:ascii="Calibri" w:cs="Calibri" w:eastAsia="Calibri" w:hAnsi="Calibri"/>
          <w:color w:val="404040"/>
          <w:sz w:val="20"/>
          <w:szCs w:val="20"/>
        </w:rPr>
        <w:t xml:space="preserve">:  LLM accounting per agent configuration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57"/>
        <w:gridCol w:w="718"/>
        <w:gridCol w:w="958"/>
        <w:gridCol w:w="878"/>
        <w:gridCol w:w="798"/>
        <w:gridCol w:w="1118"/>
        <w:gridCol w:w="1038"/>
        <w:gridCol w:w="1041"/>
      </w:tblGrid>
      <w:tr>
        <w:trPr>
          <w:cantSplit/>
          <w:tblHeader/>
        </w:trPr>
        <w:tc>
          <w:tcPr>
            <w:tcW w:type="dxa" w:w="175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6"/>
                <w:szCs w:val="16"/>
              </w:rPr>
              <w:t xml:space="preserve">Config</w:t>
            </w:r>
          </w:p>
        </w:tc>
        <w:tc>
          <w:tcPr>
            <w:tcW w:type="dxa" w:w="71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Calls</w:t>
            </w:r>
          </w:p>
        </w:tc>
        <w:tc>
          <w:tcPr>
            <w:tcW w:type="dxa" w:w="95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Cache hits</w:t>
            </w:r>
          </w:p>
        </w:tc>
        <w:tc>
          <w:tcPr>
            <w:tcW w:type="dxa" w:w="87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Degraded</w:t>
            </w:r>
          </w:p>
        </w:tc>
        <w:tc>
          <w:tcPr>
            <w:tcW w:type="dxa" w:w="79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Invalid</w:t>
            </w:r>
          </w:p>
        </w:tc>
        <w:tc>
          <w:tcPr>
            <w:tcW w:type="dxa" w:w="111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API tokens</w:t>
            </w:r>
          </w:p>
        </w:tc>
        <w:tc>
          <w:tcPr>
            <w:tcW w:type="dxa" w:w="103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Latency (s)</w:t>
            </w:r>
          </w:p>
        </w:tc>
        <w:tc>
          <w:tcPr>
            <w:tcW w:type="dxa" w:w="104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6"/>
                <w:szCs w:val="16"/>
              </w:rPr>
              <w:t xml:space="preserve">Degraded %</w:t>
            </w:r>
          </w:p>
        </w:tc>
      </w:tr>
      <w:tr>
        <w:trPr>
          <w:cantSplit/>
          <w:tblHeader w:val="false"/>
        </w:trPr>
        <w:tc>
          <w:tcPr>
            <w:tcW w:type="dxa" w:w="17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monitor_only</w:t>
            </w:r>
          </w:p>
        </w:tc>
        <w:tc>
          <w:tcPr>
            <w:tcW w:type="dxa" w:w="71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1.00</w:t>
            </w:r>
          </w:p>
        </w:tc>
        <w:tc>
          <w:tcPr>
            <w:tcW w:type="dxa" w:w="95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143</w:t>
            </w:r>
          </w:p>
        </w:tc>
        <w:tc>
          <w:tcPr>
            <w:tcW w:type="dxa" w:w="87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7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111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1,244</w:t>
            </w:r>
          </w:p>
        </w:tc>
        <w:tc>
          <w:tcPr>
            <w:tcW w:type="dxa" w:w="103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4.37</w:t>
            </w:r>
          </w:p>
        </w:tc>
        <w:tc>
          <w:tcPr>
            <w:tcW w:type="dxa" w:w="104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r>
      <w:tr>
        <w:trPr>
          <w:cantSplit/>
          <w:tblHeader w:val="false"/>
        </w:trPr>
        <w:tc>
          <w:tcPr>
            <w:tcW w:type="dxa" w:w="175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recovery_only</w:t>
            </w:r>
          </w:p>
        </w:tc>
        <w:tc>
          <w:tcPr>
            <w:tcW w:type="dxa" w:w="71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2.00</w:t>
            </w:r>
          </w:p>
        </w:tc>
        <w:tc>
          <w:tcPr>
            <w:tcW w:type="dxa" w:w="95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262</w:t>
            </w:r>
          </w:p>
        </w:tc>
        <w:tc>
          <w:tcPr>
            <w:tcW w:type="dxa" w:w="87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7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111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2,737</w:t>
            </w:r>
          </w:p>
        </w:tc>
        <w:tc>
          <w:tcPr>
            <w:tcW w:type="dxa" w:w="103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10.5</w:t>
            </w:r>
          </w:p>
        </w:tc>
        <w:tc>
          <w:tcPr>
            <w:tcW w:type="dxa" w:w="104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r>
      <w:tr>
        <w:trPr>
          <w:cantSplit/>
          <w:tblHeader w:val="false"/>
        </w:trPr>
        <w:tc>
          <w:tcPr>
            <w:tcW w:type="dxa" w:w="17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optimization_only</w:t>
            </w:r>
          </w:p>
        </w:tc>
        <w:tc>
          <w:tcPr>
            <w:tcW w:type="dxa" w:w="71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2.00</w:t>
            </w:r>
          </w:p>
        </w:tc>
        <w:tc>
          <w:tcPr>
            <w:tcW w:type="dxa" w:w="95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258</w:t>
            </w:r>
          </w:p>
        </w:tc>
        <w:tc>
          <w:tcPr>
            <w:tcW w:type="dxa" w:w="87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7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111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2,998</w:t>
            </w:r>
          </w:p>
        </w:tc>
        <w:tc>
          <w:tcPr>
            <w:tcW w:type="dxa" w:w="103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9.22</w:t>
            </w:r>
          </w:p>
        </w:tc>
        <w:tc>
          <w:tcPr>
            <w:tcW w:type="dxa" w:w="104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r>
      <w:tr>
        <w:trPr>
          <w:cantSplit/>
          <w:tblHeader w:val="false"/>
        </w:trPr>
        <w:tc>
          <w:tcPr>
            <w:tcW w:type="dxa" w:w="175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schema_only</w:t>
            </w:r>
          </w:p>
        </w:tc>
        <w:tc>
          <w:tcPr>
            <w:tcW w:type="dxa" w:w="71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2.00</w:t>
            </w:r>
          </w:p>
        </w:tc>
        <w:tc>
          <w:tcPr>
            <w:tcW w:type="dxa" w:w="95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274</w:t>
            </w:r>
          </w:p>
        </w:tc>
        <w:tc>
          <w:tcPr>
            <w:tcW w:type="dxa" w:w="87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79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111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2,550</w:t>
            </w:r>
          </w:p>
        </w:tc>
        <w:tc>
          <w:tcPr>
            <w:tcW w:type="dxa" w:w="103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5.73</w:t>
            </w:r>
          </w:p>
        </w:tc>
        <w:tc>
          <w:tcPr>
            <w:tcW w:type="dxa" w:w="104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r>
      <w:tr>
        <w:trPr>
          <w:cantSplit/>
          <w:tblHeader w:val="false"/>
        </w:trPr>
        <w:tc>
          <w:tcPr>
            <w:tcW w:type="dxa" w:w="175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6"/>
                <w:szCs w:val="16"/>
              </w:rPr>
              <w:t xml:space="preserve">full</w:t>
            </w:r>
          </w:p>
        </w:tc>
        <w:tc>
          <w:tcPr>
            <w:tcW w:type="dxa" w:w="71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4.00</w:t>
            </w:r>
          </w:p>
        </w:tc>
        <w:tc>
          <w:tcPr>
            <w:tcW w:type="dxa" w:w="95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214</w:t>
            </w:r>
          </w:p>
        </w:tc>
        <w:tc>
          <w:tcPr>
            <w:tcW w:type="dxa" w:w="87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79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c>
          <w:tcPr>
            <w:tcW w:type="dxa" w:w="111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5,946</w:t>
            </w:r>
          </w:p>
        </w:tc>
        <w:tc>
          <w:tcPr>
            <w:tcW w:type="dxa" w:w="103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15.0</w:t>
            </w:r>
          </w:p>
        </w:tc>
        <w:tc>
          <w:tcPr>
            <w:tcW w:type="dxa" w:w="104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6"/>
                <w:szCs w:val="16"/>
              </w:rPr>
              <w:t xml:space="preserve">0%</w:t>
            </w:r>
          </w:p>
        </w:tc>
      </w:tr>
    </w:tbl>
    <w:p>
      <w:pPr>
        <w:spacing w:after="160"/>
      </w:pPr>
      <w:r>
        <w:rPr>
          <w:rFonts w:ascii="Times New Roman" w:cs="Times New Roman" w:eastAsia="Times New Roman" w:hAnsi="Times New Roman"/>
        </w:rPr>
        <w:t xml:space="preserve"/>
      </w:r>
    </w:p>
    <w:p>
      <w:pPr>
        <w:spacing w:after="160" w:before="0" w:line="360"/>
        <w:jc w:val="both"/>
      </w:pPr>
      <w:r>
        <w:rPr>
          <w:rFonts w:ascii="Times New Roman" w:cs="Times New Roman" w:eastAsia="Times New Roman" w:hAnsi="Times New Roman"/>
        </w:rPr>
        <w:t xml:space="preserve">Across the 240 live runs the agents made 703 real calls and used 975,570 tokens; the largest run used 16,042 tokens and 11 calls, far below the caps. Degraded and invalid outputs were zero throughout the campaign.</w:t>
      </w:r>
    </w:p>
    <w:p>
      <w:pPr>
        <w:pStyle w:val="Heading2"/>
        <w:keepNext/>
      </w:pPr>
      <w:r>
        <w:rPr>
          <w:rFonts w:ascii="Calibri" w:cs="Calibri" w:eastAsia="Calibri" w:hAnsi="Calibri"/>
        </w:rPr>
        <w:t xml:space="preserve">7.8  Sensitivity Analysis</w:t>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14</w:t>
      </w:r>
      <w:r>
        <w:fldChar w:fldCharType="end"/>
      </w:r>
      <w:r>
        <w:rPr>
          <w:rFonts w:ascii="Calibri" w:cs="Calibri" w:eastAsia="Calibri" w:hAnsi="Calibri"/>
          <w:color w:val="404040"/>
          <w:sz w:val="20"/>
          <w:szCs w:val="20"/>
        </w:rPr>
        <w:t xml:space="preserve">:  Closed-form break-even points for human latency and static provisioning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34"/>
        <w:gridCol w:w="1186"/>
        <w:gridCol w:w="1864"/>
        <w:gridCol w:w="1695"/>
        <w:gridCol w:w="1527"/>
      </w:tblGrid>
      <w:tr>
        <w:trPr>
          <w:cantSplit/>
          <w:tblHeader/>
        </w:trPr>
        <w:tc>
          <w:tcPr>
            <w:tcW w:type="dxa" w:w="2034"/>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8"/>
                <w:szCs w:val="18"/>
              </w:rPr>
              <w:t xml:space="preserve">Config</w:t>
            </w:r>
          </w:p>
        </w:tc>
        <w:tc>
          <w:tcPr>
            <w:tcW w:type="dxa" w:w="1186"/>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MTTR (s)</w:t>
            </w:r>
          </w:p>
        </w:tc>
        <w:tc>
          <w:tcPr>
            <w:tcW w:type="dxa" w:w="1864"/>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Human break-even (s)</w:t>
            </w:r>
          </w:p>
        </w:tc>
        <w:tc>
          <w:tcPr>
            <w:tcW w:type="dxa" w:w="1695"/>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Cost reduction (%)</w:t>
            </w:r>
          </w:p>
        </w:tc>
        <w:tc>
          <w:tcPr>
            <w:tcW w:type="dxa" w:w="152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8"/>
                <w:szCs w:val="18"/>
              </w:rPr>
              <w:t xml:space="preserve">Static break-even</w:t>
            </w:r>
          </w:p>
        </w:tc>
      </w:tr>
      <w:tr>
        <w:trPr>
          <w:cantSplit/>
          <w:tblHeader w:val="false"/>
        </w:trPr>
        <w:tc>
          <w:tcPr>
            <w:tcW w:type="dxa" w:w="203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autoscale</w:t>
            </w:r>
          </w:p>
        </w:tc>
        <w:tc>
          <w:tcPr>
            <w:tcW w:type="dxa" w:w="1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52.4</w:t>
            </w:r>
          </w:p>
        </w:tc>
        <w:tc>
          <w:tcPr>
            <w:tcW w:type="dxa" w:w="186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49.9</w:t>
            </w:r>
          </w:p>
        </w:tc>
        <w:tc>
          <w:tcPr>
            <w:tcW w:type="dxa" w:w="16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47.6</w:t>
            </w:r>
          </w:p>
        </w:tc>
        <w:tc>
          <w:tcPr>
            <w:tcW w:type="dxa" w:w="15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w:t>
            </w:r>
          </w:p>
        </w:tc>
      </w:tr>
      <w:tr>
        <w:trPr>
          <w:cantSplit/>
          <w:tblHeader w:val="false"/>
        </w:trPr>
        <w:tc>
          <w:tcPr>
            <w:tcW w:type="dxa" w:w="203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full</w:t>
            </w:r>
          </w:p>
        </w:tc>
        <w:tc>
          <w:tcPr>
            <w:tcW w:type="dxa" w:w="1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235</w:t>
            </w:r>
          </w:p>
        </w:tc>
        <w:tc>
          <w:tcPr>
            <w:tcW w:type="dxa" w:w="186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224</w:t>
            </w:r>
          </w:p>
        </w:tc>
        <w:tc>
          <w:tcPr>
            <w:tcW w:type="dxa" w:w="16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55.7</w:t>
            </w:r>
          </w:p>
        </w:tc>
        <w:tc>
          <w:tcPr>
            <w:tcW w:type="dxa" w:w="15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2.15</w:t>
            </w:r>
          </w:p>
        </w:tc>
      </w:tr>
      <w:tr>
        <w:trPr>
          <w:cantSplit/>
          <w:tblHeader w:val="false"/>
        </w:trPr>
        <w:tc>
          <w:tcPr>
            <w:tcW w:type="dxa" w:w="203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monitor_only</w:t>
            </w:r>
          </w:p>
        </w:tc>
        <w:tc>
          <w:tcPr>
            <w:tcW w:type="dxa" w:w="1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359</w:t>
            </w:r>
          </w:p>
        </w:tc>
        <w:tc>
          <w:tcPr>
            <w:tcW w:type="dxa" w:w="186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342</w:t>
            </w:r>
          </w:p>
        </w:tc>
        <w:tc>
          <w:tcPr>
            <w:tcW w:type="dxa" w:w="16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−676</w:t>
            </w:r>
          </w:p>
        </w:tc>
        <w:tc>
          <w:tcPr>
            <w:tcW w:type="dxa" w:w="15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w:t>
            </w:r>
          </w:p>
        </w:tc>
      </w:tr>
      <w:tr>
        <w:trPr>
          <w:cantSplit/>
          <w:tblHeader w:val="false"/>
        </w:trPr>
        <w:tc>
          <w:tcPr>
            <w:tcW w:type="dxa" w:w="203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optimization_only</w:t>
            </w:r>
          </w:p>
        </w:tc>
        <w:tc>
          <w:tcPr>
            <w:tcW w:type="dxa" w:w="1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267</w:t>
            </w:r>
          </w:p>
        </w:tc>
        <w:tc>
          <w:tcPr>
            <w:tcW w:type="dxa" w:w="186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254</w:t>
            </w:r>
          </w:p>
        </w:tc>
        <w:tc>
          <w:tcPr>
            <w:tcW w:type="dxa" w:w="16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51.4</w:t>
            </w:r>
          </w:p>
        </w:tc>
        <w:tc>
          <w:tcPr>
            <w:tcW w:type="dxa" w:w="15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2.60</w:t>
            </w:r>
          </w:p>
        </w:tc>
      </w:tr>
      <w:tr>
        <w:trPr>
          <w:cantSplit/>
          <w:tblHeader w:val="false"/>
        </w:trPr>
        <w:tc>
          <w:tcPr>
            <w:tcW w:type="dxa" w:w="203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recovery_only</w:t>
            </w:r>
          </w:p>
        </w:tc>
        <w:tc>
          <w:tcPr>
            <w:tcW w:type="dxa" w:w="1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220</w:t>
            </w:r>
          </w:p>
        </w:tc>
        <w:tc>
          <w:tcPr>
            <w:tcW w:type="dxa" w:w="186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209</w:t>
            </w:r>
          </w:p>
        </w:tc>
        <w:tc>
          <w:tcPr>
            <w:tcW w:type="dxa" w:w="16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−676</w:t>
            </w:r>
          </w:p>
        </w:tc>
        <w:tc>
          <w:tcPr>
            <w:tcW w:type="dxa" w:w="15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w:t>
            </w:r>
          </w:p>
        </w:tc>
      </w:tr>
      <w:tr>
        <w:trPr>
          <w:cantSplit/>
          <w:tblHeader w:val="false"/>
        </w:trPr>
        <w:tc>
          <w:tcPr>
            <w:tcW w:type="dxa" w:w="203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rule_based</w:t>
            </w:r>
          </w:p>
        </w:tc>
        <w:tc>
          <w:tcPr>
            <w:tcW w:type="dxa" w:w="1186"/>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w:t>
            </w:r>
          </w:p>
        </w:tc>
        <w:tc>
          <w:tcPr>
            <w:tcW w:type="dxa" w:w="1864"/>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28.5</w:t>
            </w:r>
          </w:p>
        </w:tc>
        <w:tc>
          <w:tcPr>
            <w:tcW w:type="dxa" w:w="1695"/>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0</w:t>
            </w:r>
          </w:p>
        </w:tc>
        <w:tc>
          <w:tcPr>
            <w:tcW w:type="dxa" w:w="152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w:t>
            </w:r>
          </w:p>
        </w:tc>
      </w:tr>
      <w:tr>
        <w:trPr>
          <w:cantSplit/>
          <w:tblHeader w:val="false"/>
        </w:trPr>
        <w:tc>
          <w:tcPr>
            <w:tcW w:type="dxa" w:w="203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8"/>
                <w:szCs w:val="18"/>
              </w:rPr>
              <w:t xml:space="preserve">schema_only</w:t>
            </w:r>
          </w:p>
        </w:tc>
        <w:tc>
          <w:tcPr>
            <w:tcW w:type="dxa" w:w="1186"/>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315</w:t>
            </w:r>
          </w:p>
        </w:tc>
        <w:tc>
          <w:tcPr>
            <w:tcW w:type="dxa" w:w="1864"/>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300</w:t>
            </w:r>
          </w:p>
        </w:tc>
        <w:tc>
          <w:tcPr>
            <w:tcW w:type="dxa" w:w="1695"/>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−484</w:t>
            </w:r>
          </w:p>
        </w:tc>
        <w:tc>
          <w:tcPr>
            <w:tcW w:type="dxa" w:w="152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8"/>
                <w:szCs w:val="18"/>
              </w:rPr>
              <w:t xml:space="preserve">–</w:t>
            </w:r>
          </w:p>
        </w:tc>
      </w:tr>
    </w:tbl>
    <w:p>
      <w:pPr>
        <w:spacing w:after="160"/>
      </w:pPr>
      <w:r>
        <w:rPr>
          <w:rFonts w:ascii="Times New Roman" w:cs="Times New Roman" w:eastAsia="Times New Roman" w:hAnsi="Times New Roman"/>
        </w:rPr>
        <w:t xml:space="preserve"/>
      </w:r>
    </w:p>
    <w:p>
      <w:pPr>
        <w:keepNext/>
        <w:spacing w:before="120"/>
        <w:jc w:val="center"/>
      </w:pPr>
      <w:r>
        <w:drawing>
          <wp:inline distT="0" distB="0" distL="0" distR="0">
            <wp:extent cx="3838575" cy="3162300"/>
            <wp:effectExtent t="0" r="0" b="0" l="0"/>
            <wp:docPr id="1" name="fig_human_sensitivity.png" descr="Probability that automation recovers faster than the simulated human" title="Probability that automation recovers faster than the simulated hu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38575" cy="3162300"/>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6</w:t>
      </w:r>
      <w:r>
        <w:fldChar w:fldCharType="end"/>
      </w:r>
      <w:r>
        <w:rPr>
          <w:rFonts w:ascii="Calibri" w:cs="Calibri" w:eastAsia="Calibri" w:hAnsi="Calibri"/>
          <w:color w:val="404040"/>
          <w:sz w:val="20"/>
          <w:szCs w:val="20"/>
        </w:rPr>
        <w:t xml:space="preserve">:  Probability that automation recovers faster than the simulated human</w:t>
      </w:r>
    </w:p>
    <w:p>
      <w:pPr>
        <w:keepNext/>
        <w:spacing w:before="120"/>
        <w:jc w:val="center"/>
      </w:pPr>
      <w:r>
        <w:drawing>
          <wp:inline distT="0" distB="0" distL="0" distR="0">
            <wp:extent cx="3838575" cy="3162300"/>
            <wp:effectExtent t="0" r="0" b="0" l="0"/>
            <wp:docPr id="1" name="fig_cost.png" descr="Cost reduction of the full configuration versus static provisioning" title="Cost reduction of the full configuration versus static provisio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38575" cy="3162300"/>
                    </a:xfrm>
                    <a:prstGeom prst="rect">
                      <a:avLst/>
                    </a:prstGeom>
                  </pic:spPr>
                </pic:pic>
              </a:graphicData>
            </a:graphic>
          </wp:inline>
        </w:drawing>
      </w:r>
    </w:p>
    <w:p>
      <w:pPr>
        <w:pStyle w:val="Caption"/>
        <w:keepNext w:val="false"/>
        <w:spacing w:after="240" w:before="80"/>
        <w:jc w:val="center"/>
      </w:pPr>
      <w:r>
        <w:rPr>
          <w:rFonts w:ascii="Calibri" w:cs="Calibri" w:eastAsia="Calibri" w:hAnsi="Calibri"/>
          <w:b/>
          <w:bCs/>
          <w:color w:val="2F5597"/>
          <w:sz w:val="20"/>
          <w:szCs w:val="20"/>
        </w:rPr>
        <w:t xml:space="preserve">Figure </w:t>
      </w:r>
      <w:r>
        <w:fldChar w:fldCharType="begin" w:dirty="true"/>
        <w:instrText xml:space="preserve">SEQ Figure</w:instrText>
        <w:fldChar w:fldCharType="separate"/>
      </w:r>
      <w:r>
        <w:rPr>
          <w:b/>
          <w:color w:val="2F5597"/>
        </w:rPr>
        <w:t>7</w:t>
      </w:r>
      <w:r>
        <w:fldChar w:fldCharType="end"/>
      </w:r>
      <w:r>
        <w:rPr>
          <w:rFonts w:ascii="Calibri" w:cs="Calibri" w:eastAsia="Calibri" w:hAnsi="Calibri"/>
          <w:color w:val="404040"/>
          <w:sz w:val="20"/>
          <w:szCs w:val="20"/>
        </w:rPr>
        <w:t xml:space="preserve">:  Cost reduction of the full configuration versus static provisioning</w:t>
      </w:r>
    </w:p>
    <w:p>
      <w:pPr>
        <w:spacing w:after="160" w:before="0" w:line="360"/>
        <w:jc w:val="both"/>
      </w:pPr>
      <w:r>
        <w:rPr>
          <w:rFonts w:ascii="Times New Roman" w:cs="Times New Roman" w:eastAsia="Times New Roman" w:hAnsi="Times New Roman"/>
        </w:rPr>
        <w:t xml:space="preserve">full continues to beat the simulated human down to a median human latency of 224 s, against 28.5 s for rule_based, and its cost reduction holds down to a static provisioning level of 2.15 units. The headline numbers therefore depend on modelling choices, which are reported with each result.</w:t>
      </w:r>
    </w:p>
    <w:p>
      <w:pPr>
        <w:pStyle w:val="Heading2"/>
        <w:keepNext/>
      </w:pPr>
      <w:r>
        <w:rPr>
          <w:rFonts w:ascii="Calibri" w:cs="Calibri" w:eastAsia="Calibri" w:hAnsi="Calibri"/>
        </w:rPr>
        <w:t xml:space="preserve">7.9  RQ5: Adversarial Containment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Pr>
        <w:tc>
          <w:tcPr>
            <w:tcW w:type="dxa" w:w="8306"/>
            <w:tcBorders>
              <w:top w:val="single" w:color="1F3864" w:sz="18"/>
              <w:left w:val="single" w:color="9DC3E6" w:sz="6"/>
              <w:bottom w:val="single" w:color="9DC3E6" w:sz="6"/>
              <w:right w:val="single" w:color="9DC3E6" w:sz="6"/>
            </w:tcBorders>
            <w:shd w:fill="F3F7FC" w:val="clear"/>
            <w:tcMar>
              <w:top w:type="dxa" w:w="120"/>
              <w:left w:type="dxa" w:w="200"/>
              <w:bottom w:type="dxa" w:w="120"/>
              <w:right w:type="dxa" w:w="200"/>
            </w:tcMar>
          </w:tcPr>
          <w:p>
            <w:pPr>
              <w:spacing w:after="60"/>
            </w:pPr>
            <w:r>
              <w:rPr>
                <w:rFonts w:ascii="Calibri" w:cs="Calibri" w:eastAsia="Calibri" w:hAnsi="Calibri"/>
                <w:b/>
                <w:bCs/>
                <w:color w:val="1F3864"/>
                <w:spacing w:val="40"/>
                <w:sz w:val="20"/>
                <w:szCs w:val="20"/>
              </w:rPr>
              <w:t xml:space="preserve">KEY FINDING: RQ5</w:t>
            </w:r>
          </w:p>
          <w:p>
            <w:pPr>
              <w:spacing w:line="300"/>
              <w:jc w:val="both"/>
            </w:pPr>
            <w:r>
              <w:rPr>
                <w:rFonts w:ascii="Times New Roman" w:cs="Times New Roman" w:eastAsia="Times New Roman" w:hAnsi="Times New Roman"/>
                <w:sz w:val="22"/>
                <w:szCs w:val="22"/>
              </w:rPr>
              <w:t xml:space="preserve">Yes, after two contract fixes. Graded by an independent oracle, the policy contains 3867/3867 unsafe proposals and agrees with the oracle on all 5547 cases.</w:t>
            </w:r>
          </w:p>
        </w:tc>
      </w:tr>
    </w:tbl>
    <w:p>
      <w:pPr>
        <w:spacing w:after="160"/>
      </w:pPr>
      <w:r>
        <w:rPr>
          <w:rFonts w:ascii="Times New Roman" w:cs="Times New Roman" w:eastAsia="Times New Roman" w:hAnsi="Times New Roman"/>
        </w:rPr>
        <w:t xml:space="preserve"/>
      </w:r>
    </w:p>
    <w:p>
      <w:pPr>
        <w:pStyle w:val="Caption"/>
        <w:keepNext/>
        <w:spacing w:after="100" w:before="200"/>
        <w:jc w:val="center"/>
      </w:pPr>
      <w:r>
        <w:rPr>
          <w:rFonts w:ascii="Calibri" w:cs="Calibri" w:eastAsia="Calibri" w:hAnsi="Calibri"/>
          <w:b/>
          <w:bCs/>
          <w:color w:val="2F5597"/>
          <w:sz w:val="20"/>
          <w:szCs w:val="20"/>
        </w:rPr>
        <w:t xml:space="preserve">Table </w:t>
      </w:r>
      <w:r>
        <w:fldChar w:fldCharType="begin" w:dirty="true"/>
        <w:instrText xml:space="preserve">SEQ Table</w:instrText>
        <w:fldChar w:fldCharType="separate"/>
      </w:r>
      <w:r>
        <w:rPr>
          <w:b/>
          <w:color w:val="2F5597"/>
        </w:rPr>
        <w:t>15</w:t>
      </w:r>
      <w:r>
        <w:fldChar w:fldCharType="end"/>
      </w:r>
      <w:r>
        <w:rPr>
          <w:rFonts w:ascii="Calibri" w:cs="Calibri" w:eastAsia="Calibri" w:hAnsi="Calibri"/>
          <w:color w:val="404040"/>
          <w:sz w:val="20"/>
          <w:szCs w:val="20"/>
        </w:rPr>
        <w:t xml:space="preserve">:  Adversarial corpus graded against the independent oracle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31"/>
        <w:gridCol w:w="667"/>
        <w:gridCol w:w="1928"/>
        <w:gridCol w:w="1483"/>
        <w:gridCol w:w="1928"/>
        <w:gridCol w:w="669"/>
      </w:tblGrid>
      <w:tr>
        <w:trPr>
          <w:cantSplit/>
          <w:tblHeader/>
        </w:trPr>
        <w:tc>
          <w:tcPr>
            <w:tcW w:type="dxa" w:w="1631"/>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left"/>
            </w:pPr>
            <w:r>
              <w:rPr>
                <w:rFonts w:ascii="Calibri" w:cs="Calibri" w:eastAsia="Calibri" w:hAnsi="Calibri"/>
                <w:b/>
                <w:bCs/>
                <w:color w:val="FFFFFF"/>
                <w:sz w:val="15"/>
                <w:szCs w:val="15"/>
              </w:rPr>
              <w:t xml:space="preserve">Category</w:t>
            </w:r>
          </w:p>
        </w:tc>
        <w:tc>
          <w:tcPr>
            <w:tcW w:type="dxa" w:w="667"/>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5"/>
                <w:szCs w:val="15"/>
              </w:rPr>
              <w:t xml:space="preserve">Cases</w:t>
            </w:r>
          </w:p>
        </w:tc>
        <w:tc>
          <w:tcPr>
            <w:tcW w:type="dxa" w:w="192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5"/>
                <w:szCs w:val="15"/>
              </w:rPr>
              <w:t xml:space="preserve">Containment [Wilson 95%]</w:t>
            </w:r>
          </w:p>
        </w:tc>
        <w:tc>
          <w:tcPr>
            <w:tcW w:type="dxa" w:w="1483"/>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5"/>
                <w:szCs w:val="15"/>
              </w:rPr>
              <w:t xml:space="preserve">Over-block</w:t>
            </w:r>
          </w:p>
        </w:tc>
        <w:tc>
          <w:tcPr>
            <w:tcW w:type="dxa" w:w="1928"/>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5"/>
                <w:szCs w:val="15"/>
              </w:rPr>
              <w:t xml:space="preserve">Oracle agreement</w:t>
            </w:r>
          </w:p>
        </w:tc>
        <w:tc>
          <w:tcPr>
            <w:tcW w:type="dxa" w:w="669"/>
            <w:tcBorders>
              <w:top w:val="single" w:color="9DB7D9" w:sz="4"/>
              <w:left w:val="single" w:color="9DB7D9" w:sz="4"/>
              <w:bottom w:val="single" w:color="9DB7D9" w:sz="4"/>
              <w:right w:val="single" w:color="9DB7D9" w:sz="4"/>
            </w:tcBorders>
            <w:shd w:fill="1F3864" w:val="clear"/>
            <w:tcMar>
              <w:top w:type="dxa" w:w="50"/>
              <w:left w:type="dxa" w:w="90"/>
              <w:bottom w:type="dxa" w:w="50"/>
              <w:right w:type="dxa" w:w="90"/>
            </w:tcMar>
            <w:vAlign w:val="center"/>
          </w:tcPr>
          <w:p>
            <w:pPr>
              <w:jc w:val="center"/>
            </w:pPr>
            <w:r>
              <w:rPr>
                <w:rFonts w:ascii="Calibri" w:cs="Calibri" w:eastAsia="Calibri" w:hAnsi="Calibri"/>
                <w:b/>
                <w:bCs/>
                <w:color w:val="FFFFFF"/>
                <w:sz w:val="15"/>
                <w:szCs w:val="15"/>
              </w:rPr>
              <w:t xml:space="preserve">Fail-open</w:t>
            </w:r>
          </w:p>
        </w:tc>
      </w:tr>
      <w:tr>
        <w:trPr>
          <w:cantSplit/>
          <w:tblHeader w:val="false"/>
        </w:trPr>
        <w:tc>
          <w:tcPr>
            <w:tcW w:type="dxa" w:w="163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5"/>
                <w:szCs w:val="15"/>
              </w:rPr>
              <w:t xml:space="preserve">boundary_grid</w:t>
            </w:r>
          </w:p>
        </w:tc>
        <w:tc>
          <w:tcPr>
            <w:tcW w:type="dxa" w:w="6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4320</w:t>
            </w:r>
          </w:p>
        </w:tc>
        <w:tc>
          <w:tcPr>
            <w:tcW w:type="dxa" w:w="192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3056/3056 [0.9987, 1.0000]</w:t>
            </w:r>
          </w:p>
        </w:tc>
        <w:tc>
          <w:tcPr>
            <w:tcW w:type="dxa" w:w="148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0/1264 [0.0000, 0.0030]</w:t>
            </w:r>
          </w:p>
        </w:tc>
        <w:tc>
          <w:tcPr>
            <w:tcW w:type="dxa" w:w="192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4320/4320 [0.9991, 1.0000]</w:t>
            </w:r>
          </w:p>
        </w:tc>
        <w:tc>
          <w:tcPr>
            <w:tcW w:type="dxa" w:w="66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w:t>
            </w:r>
          </w:p>
        </w:tc>
      </w:tr>
      <w:tr>
        <w:trPr>
          <w:cantSplit/>
          <w:tblHeader w:val="false"/>
        </w:trPr>
        <w:tc>
          <w:tcPr>
            <w:tcW w:type="dxa" w:w="163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5"/>
                <w:szCs w:val="15"/>
              </w:rPr>
              <w:t xml:space="preserve">defense_in_depth</w:t>
            </w:r>
          </w:p>
        </w:tc>
        <w:tc>
          <w:tcPr>
            <w:tcW w:type="dxa" w:w="6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133</w:t>
            </w:r>
          </w:p>
        </w:tc>
        <w:tc>
          <w:tcPr>
            <w:tcW w:type="dxa" w:w="192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133/133 [0.9719, 1.0000]</w:t>
            </w:r>
          </w:p>
        </w:tc>
        <w:tc>
          <w:tcPr>
            <w:tcW w:type="dxa" w:w="148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w:t>
            </w:r>
          </w:p>
        </w:tc>
        <w:tc>
          <w:tcPr>
            <w:tcW w:type="dxa" w:w="192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133/133 [0.9719, 1.0000]</w:t>
            </w:r>
          </w:p>
        </w:tc>
        <w:tc>
          <w:tcPr>
            <w:tcW w:type="dxa" w:w="66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w:t>
            </w:r>
          </w:p>
        </w:tc>
      </w:tr>
      <w:tr>
        <w:trPr>
          <w:cantSplit/>
          <w:tblHeader w:val="false"/>
        </w:trPr>
        <w:tc>
          <w:tcPr>
            <w:tcW w:type="dxa" w:w="163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5"/>
                <w:szCs w:val="15"/>
              </w:rPr>
              <w:t xml:space="preserve">fuzz</w:t>
            </w:r>
          </w:p>
        </w:tc>
        <w:tc>
          <w:tcPr>
            <w:tcW w:type="dxa" w:w="6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1000</w:t>
            </w:r>
          </w:p>
        </w:tc>
        <w:tc>
          <w:tcPr>
            <w:tcW w:type="dxa" w:w="192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606/606 [0.9937, 1.0000]</w:t>
            </w:r>
          </w:p>
        </w:tc>
        <w:tc>
          <w:tcPr>
            <w:tcW w:type="dxa" w:w="148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0/394 [0.0000, 0.0097]</w:t>
            </w:r>
          </w:p>
        </w:tc>
        <w:tc>
          <w:tcPr>
            <w:tcW w:type="dxa" w:w="192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1000/1000 [0.9962, 1.0000]</w:t>
            </w:r>
          </w:p>
        </w:tc>
        <w:tc>
          <w:tcPr>
            <w:tcW w:type="dxa" w:w="66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w:t>
            </w:r>
          </w:p>
        </w:tc>
      </w:tr>
      <w:tr>
        <w:trPr>
          <w:cantSplit/>
          <w:tblHeader w:val="false"/>
        </w:trPr>
        <w:tc>
          <w:tcPr>
            <w:tcW w:type="dxa" w:w="163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5"/>
                <w:szCs w:val="15"/>
              </w:rPr>
              <w:t xml:space="preserve">injection</w:t>
            </w:r>
          </w:p>
        </w:tc>
        <w:tc>
          <w:tcPr>
            <w:tcW w:type="dxa" w:w="6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28</w:t>
            </w:r>
          </w:p>
        </w:tc>
        <w:tc>
          <w:tcPr>
            <w:tcW w:type="dxa" w:w="192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28/28 [0.8794, 1.0000]</w:t>
            </w:r>
          </w:p>
        </w:tc>
        <w:tc>
          <w:tcPr>
            <w:tcW w:type="dxa" w:w="148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w:t>
            </w:r>
          </w:p>
        </w:tc>
        <w:tc>
          <w:tcPr>
            <w:tcW w:type="dxa" w:w="192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28/28 [0.8794, 1.0000]</w:t>
            </w:r>
          </w:p>
        </w:tc>
        <w:tc>
          <w:tcPr>
            <w:tcW w:type="dxa" w:w="66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w:t>
            </w:r>
          </w:p>
        </w:tc>
      </w:tr>
      <w:tr>
        <w:trPr>
          <w:cantSplit/>
          <w:tblHeader w:val="false"/>
        </w:trPr>
        <w:tc>
          <w:tcPr>
            <w:tcW w:type="dxa" w:w="1631"/>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5"/>
                <w:szCs w:val="15"/>
              </w:rPr>
              <w:t xml:space="preserve">param_extremes</w:t>
            </w:r>
          </w:p>
        </w:tc>
        <w:tc>
          <w:tcPr>
            <w:tcW w:type="dxa" w:w="667"/>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66</w:t>
            </w:r>
          </w:p>
        </w:tc>
        <w:tc>
          <w:tcPr>
            <w:tcW w:type="dxa" w:w="192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44/44 [0.9197, 1.0000]</w:t>
            </w:r>
          </w:p>
        </w:tc>
        <w:tc>
          <w:tcPr>
            <w:tcW w:type="dxa" w:w="1483"/>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0/22 [0.0000, 0.1487]</w:t>
            </w:r>
          </w:p>
        </w:tc>
        <w:tc>
          <w:tcPr>
            <w:tcW w:type="dxa" w:w="1928"/>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66/66 [0.9450, 1.0000]</w:t>
            </w:r>
          </w:p>
        </w:tc>
        <w:tc>
          <w:tcPr>
            <w:tcW w:type="dxa" w:w="669"/>
            <w:tcBorders>
              <w:top w:val="single" w:color="9DB7D9" w:sz="4"/>
              <w:left w:val="single" w:color="9DB7D9" w:sz="4"/>
              <w:bottom w:val="single" w:color="9DB7D9" w:sz="4"/>
              <w:right w:val="single" w:color="9DB7D9"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w:t>
            </w:r>
          </w:p>
        </w:tc>
      </w:tr>
      <w:tr>
        <w:trPr>
          <w:cantSplit/>
          <w:tblHeader w:val="false"/>
        </w:trPr>
        <w:tc>
          <w:tcPr>
            <w:tcW w:type="dxa" w:w="1631"/>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15"/>
                <w:szCs w:val="15"/>
              </w:rPr>
              <w:t xml:space="preserve">Overall</w:t>
            </w:r>
          </w:p>
        </w:tc>
        <w:tc>
          <w:tcPr>
            <w:tcW w:type="dxa" w:w="667"/>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5547</w:t>
            </w:r>
          </w:p>
        </w:tc>
        <w:tc>
          <w:tcPr>
            <w:tcW w:type="dxa" w:w="192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3867/3867 [0.9990, 1.0000]</w:t>
            </w:r>
          </w:p>
        </w:tc>
        <w:tc>
          <w:tcPr>
            <w:tcW w:type="dxa" w:w="1483"/>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0/1680 [0.0000, 0.0023]</w:t>
            </w:r>
          </w:p>
        </w:tc>
        <w:tc>
          <w:tcPr>
            <w:tcW w:type="dxa" w:w="1928"/>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5547/5547 [0.9993, 1.0000]</w:t>
            </w:r>
          </w:p>
        </w:tc>
        <w:tc>
          <w:tcPr>
            <w:tcW w:type="dxa" w:w="669"/>
            <w:tcBorders>
              <w:top w:val="single" w:color="9DB7D9" w:sz="4"/>
              <w:left w:val="single" w:color="9DB7D9" w:sz="4"/>
              <w:bottom w:val="single" w:color="9DB7D9" w:sz="4"/>
              <w:right w:val="single" w:color="9DB7D9" w:sz="4"/>
            </w:tcBorders>
            <w:shd w:fill="F3F7FC" w:val="clear"/>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15"/>
                <w:szCs w:val="15"/>
              </w:rPr>
              <w:t xml:space="preserve">0</w:t>
            </w:r>
          </w:p>
        </w:tc>
      </w:tr>
    </w:tbl>
    <w:p>
      <w:pPr>
        <w:spacing w:after="160"/>
      </w:pPr>
      <w:r>
        <w:rPr>
          <w:rFonts w:ascii="Times New Roman" w:cs="Times New Roman" w:eastAsia="Times New Roman" w:hAnsi="Times New Roman"/>
        </w:rPr>
        <w:t xml:space="preserve"/>
      </w:r>
    </w:p>
    <w:p>
      <w:pPr>
        <w:spacing w:after="160" w:before="0" w:line="360"/>
        <w:jc w:val="both"/>
      </w:pPr>
      <w:r>
        <w:rPr>
          <w:rFonts w:ascii="Times New Roman" w:cs="Times New Roman" w:eastAsia="Times New Roman" w:hAnsi="Times New Roman"/>
        </w:rPr>
        <w:t xml:space="preserve">Overall containment is 3867/3867 (Wilson lower bound 0.9990), the over-block rate on legal proposals is zero, and the policy agrees with the oracle on all 5547 cases. A newer policy-engine release mis-evaluated some floating-point budget comparisons, so the engine version is pinned.</w:t>
      </w:r>
    </w:p>
    <w:p>
      <w:pPr>
        <w:pStyle w:val="Heading2"/>
        <w:keepNext/>
      </w:pPr>
      <w:r>
        <w:rPr>
          <w:rFonts w:ascii="Calibri" w:cs="Calibri" w:eastAsia="Calibri" w:hAnsi="Calibri"/>
        </w:rPr>
        <w:t xml:space="preserve">7.10  Lessons Learned</w:t>
      </w:r>
    </w:p>
    <w:p>
      <w:pPr>
        <w:pStyle w:val="ListParagraph"/>
        <w:numPr>
          <w:ilvl w:val="0"/>
          <w:numId w:val="9"/>
        </w:numPr>
        <w:spacing w:after="80" w:line="340"/>
        <w:jc w:val="both"/>
      </w:pPr>
      <w:r>
        <w:rPr>
          <w:rFonts w:ascii="Times New Roman" w:cs="Times New Roman" w:eastAsia="Times New Roman" w:hAnsi="Times New Roman"/>
        </w:rPr>
        <w:t xml:space="preserve">Concurrency: versioned partition creation raced under concurrent callers until it was serialized behind an advisory lock.</w:t>
      </w:r>
    </w:p>
    <w:p>
      <w:pPr>
        <w:pStyle w:val="ListParagraph"/>
        <w:numPr>
          <w:ilvl w:val="0"/>
          <w:numId w:val="9"/>
        </w:numPr>
        <w:spacing w:after="80" w:line="340"/>
        <w:jc w:val="both"/>
      </w:pPr>
      <w:r>
        <w:rPr>
          <w:rFonts w:ascii="Times New Roman" w:cs="Times New Roman" w:eastAsia="Times New Roman" w:hAnsi="Times New Roman"/>
        </w:rPr>
        <w:t xml:space="preserve">Audit trail: writing the audit row after execution could lose an action; the intent row is now committed first.</w:t>
      </w:r>
    </w:p>
    <w:p>
      <w:pPr>
        <w:pStyle w:val="ListParagraph"/>
        <w:numPr>
          <w:ilvl w:val="0"/>
          <w:numId w:val="9"/>
        </w:numPr>
        <w:spacing w:after="80" w:line="340"/>
        <w:jc w:val="both"/>
      </w:pPr>
      <w:r>
        <w:rPr>
          <w:rFonts w:ascii="Times New Roman" w:cs="Times New Roman" w:eastAsia="Times New Roman" w:hAnsi="Times New Roman"/>
        </w:rPr>
        <w:t xml:space="preserve">Detection: the anomaly detector had no callers in production paths until it was wired into the monitoring agent.</w:t>
      </w:r>
    </w:p>
    <w:p>
      <w:pPr>
        <w:pStyle w:val="ListParagraph"/>
        <w:numPr>
          <w:ilvl w:val="0"/>
          <w:numId w:val="9"/>
        </w:numPr>
        <w:spacing w:after="80" w:line="340"/>
        <w:jc w:val="both"/>
      </w:pPr>
      <w:r>
        <w:rPr>
          <w:rFonts w:ascii="Times New Roman" w:cs="Times New Roman" w:eastAsia="Times New Roman" w:hAnsi="Times New Roman"/>
        </w:rPr>
        <w:t xml:space="preserve">Taxonomies: decision scoring needed an explicit mapping from live fault types to the experiment's scenario names.</w:t>
      </w:r>
    </w:p>
    <w:p>
      <w:pPr>
        <w:pStyle w:val="ListParagraph"/>
        <w:numPr>
          <w:ilvl w:val="0"/>
          <w:numId w:val="9"/>
        </w:numPr>
        <w:spacing w:after="80" w:line="340"/>
        <w:jc w:val="both"/>
      </w:pPr>
      <w:r>
        <w:rPr>
          <w:rFonts w:ascii="Times New Roman" w:cs="Times New Roman" w:eastAsia="Times New Roman" w:hAnsi="Times New Roman"/>
        </w:rPr>
        <w:t xml:space="preserve">Hermetic tests: a recurring unmocked-database failure was fixed once at its mechanism instead of four times by instance.</w:t>
      </w:r>
    </w:p>
    <w:p>
      <w:pPr>
        <w:pStyle w:val="ListParagraph"/>
        <w:numPr>
          <w:ilvl w:val="0"/>
          <w:numId w:val="9"/>
        </w:numPr>
        <w:spacing w:after="80" w:line="340"/>
        <w:jc w:val="both"/>
      </w:pPr>
      <w:r>
        <w:rPr>
          <w:rFonts w:ascii="Times New Roman" w:cs="Times New Roman" w:eastAsia="Times New Roman" w:hAnsi="Times New Roman"/>
        </w:rPr>
        <w:t xml:space="preserve">Adversarial testing: the corpus exposed two contract gaps and an engine-version dependence.</w:t>
      </w:r>
    </w:p>
    <w:p>
      <w:pPr>
        <w:pStyle w:val="ListParagraph"/>
        <w:numPr>
          <w:ilvl w:val="0"/>
          <w:numId w:val="9"/>
        </w:numPr>
        <w:spacing w:after="80" w:line="340"/>
        <w:jc w:val="both"/>
      </w:pPr>
      <w:r>
        <w:rPr>
          <w:rFonts w:ascii="Times New Roman" w:cs="Times New Roman" w:eastAsia="Times New Roman" w:hAnsi="Times New Roman"/>
        </w:rPr>
        <w:t xml:space="preserve">Pilots: a short paid pilot found a retired model on its first call.</w:t>
      </w:r>
    </w:p>
    <w:p>
      <w:pPr>
        <w:pStyle w:val="Heading2"/>
        <w:keepNext/>
      </w:pPr>
      <w:r>
        <w:rPr>
          <w:rFonts w:ascii="Calibri" w:cs="Calibri" w:eastAsia="Calibri" w:hAnsi="Calibri"/>
        </w:rPr>
        <w:t xml:space="preserve">7.11  Limitations</w:t>
      </w:r>
    </w:p>
    <w:p>
      <w:pPr>
        <w:pStyle w:val="ListParagraph"/>
        <w:numPr>
          <w:ilvl w:val="0"/>
          <w:numId w:val="6"/>
        </w:numPr>
        <w:spacing w:after="80" w:line="340"/>
        <w:jc w:val="both"/>
      </w:pPr>
      <w:r>
        <w:rPr>
          <w:rFonts w:ascii="Times New Roman" w:cs="Times New Roman" w:eastAsia="Times New Roman" w:hAnsi="Times New Roman"/>
        </w:rPr>
        <w:t xml:space="preserve">A single host, synthetic data with injected faults, and a simulated on-call engineer.</w:t>
      </w:r>
    </w:p>
    <w:p>
      <w:pPr>
        <w:pStyle w:val="ListParagraph"/>
        <w:numPr>
          <w:ilvl w:val="0"/>
          <w:numId w:val="6"/>
        </w:numPr>
        <w:spacing w:after="80" w:line="340"/>
        <w:jc w:val="both"/>
      </w:pPr>
      <w:r>
        <w:rPr>
          <w:rFonts w:ascii="Times New Roman" w:cs="Times New Roman" w:eastAsia="Times New Roman" w:hAnsi="Times New Roman"/>
        </w:rPr>
        <w:t xml:space="preserve">One live model family; the cross-model sweep was not run.</w:t>
      </w:r>
    </w:p>
    <w:p>
      <w:pPr>
        <w:pStyle w:val="ListParagraph"/>
        <w:numPr>
          <w:ilvl w:val="0"/>
          <w:numId w:val="6"/>
        </w:numPr>
        <w:spacing w:after="80" w:line="340"/>
        <w:jc w:val="both"/>
      </w:pPr>
      <w:r>
        <w:rPr>
          <w:rFonts w:ascii="Times New Roman" w:cs="Times New Roman" w:eastAsia="Times New Roman" w:hAnsi="Times New Roman"/>
        </w:rPr>
        <w:t xml:space="preserve">Non-LLM baselines are modelled with fixed latencies rather than deployed.</w:t>
      </w:r>
    </w:p>
    <w:p>
      <w:pPr>
        <w:pStyle w:val="ListParagraph"/>
        <w:numPr>
          <w:ilvl w:val="0"/>
          <w:numId w:val="6"/>
        </w:numPr>
        <w:spacing w:after="80" w:line="340"/>
        <w:jc w:val="both"/>
      </w:pPr>
      <w:r>
        <w:rPr>
          <w:rFonts w:ascii="Times New Roman" w:cs="Times New Roman" w:eastAsia="Times New Roman" w:hAnsi="Times New Roman"/>
        </w:rPr>
        <w:t xml:space="preserve">Agents start the MTTR clock at detection while non-agent configurations detect at injection, which favours the agents.</w:t>
      </w:r>
    </w:p>
    <w:p>
      <w:pPr>
        <w:pStyle w:val="ListParagraph"/>
        <w:numPr>
          <w:ilvl w:val="0"/>
          <w:numId w:val="6"/>
        </w:numPr>
        <w:spacing w:after="80" w:line="340"/>
        <w:jc w:val="both"/>
      </w:pPr>
      <w:r>
        <w:rPr>
          <w:rFonts w:ascii="Times New Roman" w:cs="Times New Roman" w:eastAsia="Times New Roman" w:hAnsi="Times New Roman"/>
        </w:rPr>
        <w:t xml:space="preserve">The metered cost term is integrated over unequal windows, and pool and worker state were not reset between runs.</w:t>
      </w:r>
    </w:p>
    <w:p>
      <w:pPr>
        <w:pStyle w:val="ListParagraph"/>
        <w:numPr>
          <w:ilvl w:val="0"/>
          <w:numId w:val="6"/>
        </w:numPr>
        <w:spacing w:after="80" w:line="340"/>
        <w:jc w:val="both"/>
      </w:pPr>
      <w:r>
        <w:rPr>
          <w:rFonts w:ascii="Times New Roman" w:cs="Times New Roman" w:eastAsia="Times New Roman" w:hAnsi="Times New Roman"/>
        </w:rPr>
        <w:t xml:space="preserve">The trust core and the enterprise governance layer were not exercised.</w:t>
      </w:r>
    </w:p>
    <w:p>
      <w:pPr>
        <w:pageBreakBefore/>
        <w:spacing w:after="0" w:before="720" w:line="240"/>
        <w:jc w:val="left"/>
      </w:pPr>
      <w:r>
        <w:rPr>
          <w:rFonts w:ascii="Calibri" w:cs="Calibri" w:eastAsia="Calibri" w:hAnsi="Calibri"/>
          <w:b/>
          <w:bCs/>
          <w:color w:val="9DC3E6"/>
          <w:sz w:val="120"/>
          <w:szCs w:val="120"/>
        </w:rPr>
        <w:t xml:space="preserve">08</w:t>
      </w:r>
    </w:p>
    <w:p>
      <w:pPr>
        <w:spacing w:after="60"/>
        <w:jc w:val="left"/>
      </w:pPr>
      <w:r>
        <w:rPr>
          <w:rFonts w:ascii="Calibri" w:cs="Calibri" w:eastAsia="Calibri" w:hAnsi="Calibri"/>
          <w:b/>
          <w:bCs/>
          <w:color w:val="C9A227"/>
          <w:spacing w:val="120"/>
          <w:sz w:val="22"/>
          <w:szCs w:val="22"/>
        </w:rPr>
        <w:t xml:space="preserve">CHAPTER EIGHT</w:t>
      </w:r>
    </w:p>
    <w:p>
      <w:pPr>
        <w:pStyle w:val="Heading1"/>
        <w:pBdr>
          <w:bottom w:val="single" w:color="C9A227" w:sz="12" w:space="8"/>
        </w:pBdr>
        <w:jc w:val="left"/>
      </w:pPr>
      <w:r>
        <w:rPr>
          <w:rFonts w:ascii="Calibri" w:cs="Calibri" w:eastAsia="Calibri" w:hAnsi="Calibri"/>
        </w:rPr>
        <w:t xml:space="preserve">8. CONCLUSION AND FUTURE WORK</w:t>
      </w:r>
    </w:p>
    <w:p>
      <w:pPr>
        <w:pStyle w:val="Heading2"/>
        <w:keepNext/>
      </w:pPr>
      <w:r>
        <w:rPr>
          <w:rFonts w:ascii="Calibri" w:cs="Calibri" w:eastAsia="Calibri" w:hAnsi="Calibri"/>
        </w:rPr>
        <w:t xml:space="preserve">8.1  Conclusion</w:t>
      </w:r>
    </w:p>
    <w:p>
      <w:pPr>
        <w:spacing w:after="160" w:before="0" w:line="360"/>
        <w:jc w:val="both"/>
      </w:pPr>
      <w:r>
        <w:rPr>
          <w:rFonts w:ascii="Times New Roman" w:cs="Times New Roman" w:eastAsia="Times New Roman" w:hAnsi="Times New Roman"/>
        </w:rPr>
        <w:t xml:space="preserve">This project implemented a seven-layer, policy-bounded agentic framework for cloud data pipeline governance and evaluated it with a live model, explicit non-LLM baselines, an adversarial corpus graded by an independent oracle, and closed-form sensitivity analyses. The design holds up only in part: it reduces recovery time by less than the base proposal claimed, it reduces cost mainly through an assumed provisioning gap, it increases manual interventions, and idealized non-LLM automation recovers faster still. The most consequential result concerns evaluation itself: the same configuration supports very different conclusions under a deterministic mock and under a live model. For this class of system, the evaluation path behind a number matters as much as the number, and mock and live results should be reported as separate findings.</w:t>
      </w:r>
    </w:p>
    <w:p>
      <w:pPr>
        <w:pStyle w:val="Heading2"/>
        <w:keepNext/>
      </w:pPr>
      <w:r>
        <w:rPr>
          <w:rFonts w:ascii="Calibri" w:cs="Calibri" w:eastAsia="Calibri" w:hAnsi="Calibri"/>
        </w:rPr>
        <w:t xml:space="preserve">8.2  Future Work</w:t>
      </w:r>
    </w:p>
    <w:p>
      <w:pPr>
        <w:pStyle w:val="ListParagraph"/>
        <w:numPr>
          <w:ilvl w:val="0"/>
          <w:numId w:val="10"/>
        </w:numPr>
        <w:spacing w:after="80" w:line="340"/>
        <w:jc w:val="both"/>
      </w:pPr>
      <w:r>
        <w:rPr>
          <w:rFonts w:ascii="Times New Roman" w:cs="Times New Roman" w:eastAsia="Times New Roman" w:hAnsi="Times New Roman"/>
        </w:rPr>
        <w:t xml:space="preserve">Run the cross-model sweep against at least two live providers to test the claim of model independence.</w:t>
      </w:r>
    </w:p>
    <w:p>
      <w:pPr>
        <w:pStyle w:val="ListParagraph"/>
        <w:numPr>
          <w:ilvl w:val="0"/>
          <w:numId w:val="10"/>
        </w:numPr>
        <w:spacing w:after="80" w:line="340"/>
        <w:jc w:val="both"/>
      </w:pPr>
      <w:r>
        <w:rPr>
          <w:rFonts w:ascii="Times New Roman" w:cs="Times New Roman" w:eastAsia="Times New Roman" w:hAnsi="Times New Roman"/>
        </w:rPr>
        <w:t xml:space="preserve">Exercise the trust core's mode transitions and measure kill-switch latency under load.</w:t>
      </w:r>
    </w:p>
    <w:p>
      <w:pPr>
        <w:pStyle w:val="ListParagraph"/>
        <w:numPr>
          <w:ilvl w:val="0"/>
          <w:numId w:val="10"/>
        </w:numPr>
        <w:spacing w:after="80" w:line="340"/>
        <w:jc w:val="both"/>
      </w:pPr>
      <w:r>
        <w:rPr>
          <w:rFonts w:ascii="Times New Roman" w:cs="Times New Roman" w:eastAsia="Times New Roman" w:hAnsi="Times New Roman"/>
        </w:rPr>
        <w:t xml:space="preserve">Re-run the cost comparison with per-run state reset and a fixed measurement window.</w:t>
      </w:r>
    </w:p>
    <w:p>
      <w:pPr>
        <w:pStyle w:val="ListParagraph"/>
        <w:numPr>
          <w:ilvl w:val="0"/>
          <w:numId w:val="10"/>
        </w:numPr>
        <w:spacing w:after="80" w:line="340"/>
        <w:jc w:val="both"/>
      </w:pPr>
      <w:r>
        <w:rPr>
          <w:rFonts w:ascii="Times New Roman" w:cs="Times New Roman" w:eastAsia="Times New Roman" w:hAnsi="Times New Roman"/>
        </w:rPr>
        <w:t xml:space="preserve">Replace the modelled baselines with deployed controllers and evaluate on real production traces.</w:t>
      </w:r>
    </w:p>
    <w:p>
      <w:pPr>
        <w:pStyle w:val="ListParagraph"/>
        <w:numPr>
          <w:ilvl w:val="0"/>
          <w:numId w:val="10"/>
        </w:numPr>
        <w:spacing w:after="80" w:line="340"/>
        <w:jc w:val="both"/>
      </w:pPr>
      <w:r>
        <w:rPr>
          <w:rFonts w:ascii="Times New Roman" w:cs="Times New Roman" w:eastAsia="Times New Roman" w:hAnsi="Times New Roman"/>
        </w:rPr>
        <w:t xml:space="preserve">Replace the static agent-priority bid with an explicit negotiation protocol and extend the evaluation to multi-cloud deployments and formal verification of the policy layer.</w:t>
      </w:r>
    </w:p>
    <w:p>
      <w:pPr>
        <w:pStyle w:val="Heading1"/>
        <w:pageBreakBefore/>
        <w:pBdr>
          <w:bottom w:val="single" w:color="C9A227" w:sz="12" w:space="8"/>
        </w:pBdr>
        <w:jc w:val="center"/>
      </w:pPr>
      <w:r>
        <w:rPr>
          <w:rFonts w:ascii="Calibri" w:cs="Calibri" w:eastAsia="Calibri" w:hAnsi="Calibri"/>
          <w:spacing w:val="40"/>
        </w:rPr>
        <w:t xml:space="preserve">REFERENCES</w:t>
      </w:r>
    </w:p>
    <w:p>
      <w:pPr>
        <w:tabs>
          <w:tab w:val="left" w:pos="567"/>
        </w:tabs>
        <w:spacing w:after="100" w:line="280"/>
        <w:ind w:left="567" w:hanging="567"/>
        <w:jc w:val="both"/>
      </w:pPr>
      <w:r>
        <w:rPr>
          <w:rFonts w:ascii="Times New Roman" w:cs="Times New Roman" w:eastAsia="Times New Roman" w:hAnsi="Times New Roman"/>
          <w:sz w:val="22"/>
          <w:szCs w:val="22"/>
        </w:rPr>
        <w:t xml:space="preserve">[1]</w:t>
        <w:tab/>
        <w:t xml:space="preserve">H. Foidl, V. Golendukhina, R. Ramler, and M. Felderer, “Data pipeline quality: Influencing factors, root causes of data-related issues, and processing problem areas for developers,” J. Syst. Softw., vol. 207, p. 111855, 2024.</w:t>
      </w:r>
    </w:p>
    <w:p>
      <w:pPr>
        <w:tabs>
          <w:tab w:val="left" w:pos="567"/>
        </w:tabs>
        <w:spacing w:after="100" w:line="280"/>
        <w:ind w:left="567" w:hanging="567"/>
        <w:jc w:val="both"/>
      </w:pPr>
      <w:r>
        <w:rPr>
          <w:rFonts w:ascii="Times New Roman" w:cs="Times New Roman" w:eastAsia="Times New Roman" w:hAnsi="Times New Roman"/>
          <w:sz w:val="22"/>
          <w:szCs w:val="22"/>
        </w:rPr>
        <w:t xml:space="preserve">[2]</w:t>
        <w:tab/>
        <w:t xml:space="preserve">Y. Chen et al., “Automatic root cause analysis via large language models for cloud incidents,” in Proc. 19th Eur. Conf. Comput. Syst. (EuroSys), 2024, pp. 674–688.</w:t>
      </w:r>
    </w:p>
    <w:p>
      <w:pPr>
        <w:tabs>
          <w:tab w:val="left" w:pos="567"/>
        </w:tabs>
        <w:spacing w:after="100" w:line="280"/>
        <w:ind w:left="567" w:hanging="567"/>
        <w:jc w:val="both"/>
      </w:pPr>
      <w:r>
        <w:rPr>
          <w:rFonts w:ascii="Times New Roman" w:cs="Times New Roman" w:eastAsia="Times New Roman" w:hAnsi="Times New Roman"/>
          <w:sz w:val="22"/>
          <w:szCs w:val="22"/>
        </w:rPr>
        <w:t xml:space="preserve">[3]</w:t>
        <w:tab/>
        <w:t xml:space="preserve">Z. Wang et al., “RCAgent: Cloud root cause analysis by autonomous agents with tool-augmented large language models,” in Proc. 33rd ACM Int. Conf. Inf. Knowl. Manage. (CIKM), 2024, pp. 4966–4974.</w:t>
      </w:r>
    </w:p>
    <w:p>
      <w:pPr>
        <w:tabs>
          <w:tab w:val="left" w:pos="567"/>
        </w:tabs>
        <w:spacing w:after="100" w:line="280"/>
        <w:ind w:left="567" w:hanging="567"/>
        <w:jc w:val="both"/>
      </w:pPr>
      <w:r>
        <w:rPr>
          <w:rFonts w:ascii="Times New Roman" w:cs="Times New Roman" w:eastAsia="Times New Roman" w:hAnsi="Times New Roman"/>
          <w:sz w:val="22"/>
          <w:szCs w:val="22"/>
        </w:rPr>
        <w:t xml:space="preserve">[4]</w:t>
        <w:tab/>
        <w:t xml:space="preserve">Y. Luo et al., “OpsAgent: An evolving multi-agent system for incident management in microservices,” arXiv:2510.24145, 2025.</w:t>
      </w:r>
    </w:p>
    <w:p>
      <w:pPr>
        <w:tabs>
          <w:tab w:val="left" w:pos="567"/>
        </w:tabs>
        <w:spacing w:after="100" w:line="280"/>
        <w:ind w:left="567" w:hanging="567"/>
        <w:jc w:val="both"/>
      </w:pPr>
      <w:r>
        <w:rPr>
          <w:rFonts w:ascii="Times New Roman" w:cs="Times New Roman" w:eastAsia="Times New Roman" w:hAnsi="Times New Roman"/>
          <w:sz w:val="22"/>
          <w:szCs w:val="22"/>
        </w:rPr>
        <w:t xml:space="preserve">[5]</w:t>
        <w:tab/>
        <w:t xml:space="preserve">A. M. Kirubakaran et al., “Governing cloud data pipelines with agentic AI,” arXiv:2512.23737, 2025.</w:t>
      </w:r>
    </w:p>
    <w:p>
      <w:pPr>
        <w:tabs>
          <w:tab w:val="left" w:pos="567"/>
        </w:tabs>
        <w:spacing w:after="100" w:line="280"/>
        <w:ind w:left="567" w:hanging="567"/>
        <w:jc w:val="both"/>
      </w:pPr>
      <w:r>
        <w:rPr>
          <w:rFonts w:ascii="Times New Roman" w:cs="Times New Roman" w:eastAsia="Times New Roman" w:hAnsi="Times New Roman"/>
          <w:sz w:val="22"/>
          <w:szCs w:val="22"/>
        </w:rPr>
        <w:t xml:space="preserve">[6]</w:t>
        <w:tab/>
        <w:t xml:space="preserve">X. Liu, T. Chen, W. Li, X. Hu, and H. Wei, “The sim-to-real gap of foundation model agents: A unified MDP perspective,” arXiv:2606.07017, 2026, KDD 2026 Blue Sky Ideas Track.</w:t>
      </w:r>
    </w:p>
    <w:p>
      <w:pPr>
        <w:tabs>
          <w:tab w:val="left" w:pos="567"/>
        </w:tabs>
        <w:spacing w:after="100" w:line="280"/>
        <w:ind w:left="567" w:hanging="567"/>
        <w:jc w:val="both"/>
      </w:pPr>
      <w:r>
        <w:rPr>
          <w:rFonts w:ascii="Times New Roman" w:cs="Times New Roman" w:eastAsia="Times New Roman" w:hAnsi="Times New Roman"/>
          <w:sz w:val="22"/>
          <w:szCs w:val="22"/>
        </w:rPr>
        <w:t xml:space="preserve">[7]</w:t>
        <w:tab/>
        <w:t xml:space="preserve">M. Zhu et al., “RealUserSim: Bridging the reality gap in agent benchmarking via grounded user simulation,” arXiv:2605.20204,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[8]</w:t>
        <w:tab/>
        <w:t xml:space="preserve">A. Gupta, “ReliabilityBench: Evaluating LLM agent reliability under production-like stress conditions,” arXiv:2601.06112,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[9]</w:t>
        <w:tab/>
        <w:t xml:space="preserve">K. Rzadca et al., “Autopilot: Workload autoscaling at Google,” in Proc. 15th Eur. Conf. Comput. Syst. (EuroSys), 2020.</w:t>
      </w:r>
    </w:p>
    <w:p>
      <w:pPr>
        <w:tabs>
          <w:tab w:val="left" w:pos="567"/>
        </w:tabs>
        <w:spacing w:after="100" w:line="280"/>
        <w:ind w:left="567" w:hanging="567"/>
        <w:jc w:val="both"/>
      </w:pPr>
      <w:r>
        <w:rPr>
          <w:rFonts w:ascii="Times New Roman" w:cs="Times New Roman" w:eastAsia="Times New Roman" w:hAnsi="Times New Roman"/>
          <w:sz w:val="22"/>
          <w:szCs w:val="22"/>
        </w:rPr>
        <w:t xml:space="preserve">[10]</w:t>
        <w:tab/>
        <w:t xml:space="preserve">E. Debenedetti, J. Zhang, M. Balunović, L. Beurer-Kellner, M. Fischer, and F. Tramèr, “AgentDojo: A dynamic environment to evaluate prompt injection attacks and defenses for LLM agents,” in Proc. Adv. Neural Inf. Process. Syst. (NeurIPS), Datasets and Benchmarks Track, 2024.</w:t>
      </w:r>
    </w:p>
    <w:p>
      <w:pPr>
        <w:tabs>
          <w:tab w:val="left" w:pos="567"/>
        </w:tabs>
        <w:spacing w:after="100" w:line="280"/>
        <w:ind w:left="567" w:hanging="567"/>
        <w:jc w:val="both"/>
      </w:pPr>
      <w:r>
        <w:rPr>
          <w:rFonts w:ascii="Times New Roman" w:cs="Times New Roman" w:eastAsia="Times New Roman" w:hAnsi="Times New Roman"/>
          <w:sz w:val="22"/>
          <w:szCs w:val="22"/>
        </w:rPr>
        <w:t xml:space="preserve">[11]</w:t>
        <w:tab/>
        <w:t xml:space="preserve">H. Zhang et al., “Agent security bench (ASB): Formalizing and benchmarking attacks and defenses in LLM-based agents,” in Proc. 13th Int. Conf. Learn. Represent. (ICLR), 2025.</w:t>
      </w:r>
    </w:p>
    <w:p>
      <w:pPr>
        <w:tabs>
          <w:tab w:val="left" w:pos="567"/>
        </w:tabs>
        <w:spacing w:after="100" w:line="280"/>
        <w:ind w:left="567" w:hanging="567"/>
        <w:jc w:val="both"/>
      </w:pPr>
      <w:r>
        <w:rPr>
          <w:rFonts w:ascii="Times New Roman" w:cs="Times New Roman" w:eastAsia="Times New Roman" w:hAnsi="Times New Roman"/>
          <w:sz w:val="22"/>
          <w:szCs w:val="22"/>
        </w:rPr>
        <w:t xml:space="preserve">[12]</w:t>
        <w:tab/>
        <w:t xml:space="preserve">A. Joshi, T. Finin, K. P. Joshi, and L. Kagal, “Deontic policies for runtime governance of agentic AI systems,” arXiv:2606.19464,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[13]</w:t>
        <w:tab/>
        <w:t xml:space="preserve">A. C. Sanna, “Cross-LLM generalization of behavioral backdoor detection in AI agent supply chains,” arXiv:2511.19874, 2025.</w:t>
      </w:r>
    </w:p>
    <w:p>
      <w:pPr>
        <w:tabs>
          <w:tab w:val="left" w:pos="567"/>
        </w:tabs>
        <w:spacing w:after="100" w:line="280"/>
        <w:ind w:left="567" w:hanging="567"/>
        <w:jc w:val="both"/>
      </w:pPr>
      <w:r>
        <w:rPr>
          <w:rFonts w:ascii="Times New Roman" w:cs="Times New Roman" w:eastAsia="Times New Roman" w:hAnsi="Times New Roman"/>
          <w:sz w:val="22"/>
          <w:szCs w:val="22"/>
        </w:rPr>
        <w:t xml:space="preserve">[14]</w:t>
        <w:tab/>
        <w:t xml:space="preserve">L. Zhang, Y.-Y. Chu, and R. Krishnan, “Toward agentic governance: What shapes LLM-agent intervention in public forums?” arXiv:2606.00603,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[15]</w:t>
        <w:tab/>
        <w:t xml:space="preserve">S. Yao et al., “ReAct: Synergizing reasoning and acting in language models,” in Proc. 11th Int. Conf. Learn. Represent. (ICLR), 2023.</w:t>
      </w:r>
    </w:p>
    <w:p>
      <w:pPr>
        <w:tabs>
          <w:tab w:val="left" w:pos="567"/>
        </w:tabs>
        <w:spacing w:after="100" w:line="280"/>
        <w:ind w:left="567" w:hanging="567"/>
        <w:jc w:val="both"/>
      </w:pPr>
      <w:r>
        <w:rPr>
          <w:rFonts w:ascii="Times New Roman" w:cs="Times New Roman" w:eastAsia="Times New Roman" w:hAnsi="Times New Roman"/>
          <w:sz w:val="22"/>
          <w:szCs w:val="22"/>
        </w:rPr>
        <w:t xml:space="preserve">[16]</w:t>
        <w:tab/>
        <w:t xml:space="preserve">F. F. Xu et al., “TheAgentCompany: Benchmarking LLM agents on consequential real world tasks,” arXiv:2412.14161, 2024.</w:t>
      </w:r>
    </w:p>
    <w:p>
      <w:pPr>
        <w:tabs>
          <w:tab w:val="left" w:pos="567"/>
        </w:tabs>
        <w:spacing w:after="100" w:line="280"/>
        <w:ind w:left="567" w:hanging="567"/>
        <w:jc w:val="both"/>
      </w:pPr>
      <w:r>
        <w:rPr>
          <w:rFonts w:ascii="Times New Roman" w:cs="Times New Roman" w:eastAsia="Times New Roman" w:hAnsi="Times New Roman"/>
          <w:sz w:val="22"/>
          <w:szCs w:val="22"/>
        </w:rPr>
        <w:t xml:space="preserve">[17]</w:t>
        <w:tab/>
        <w:t xml:space="preserve">J. Rystrøm, C. Schmitz, K. Korgul, J. Batzner, and C. Russell, “Agent benchmarks fail public sector requirements,” arXiv:2601.20617,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[18]</w:t>
        <w:tab/>
        <w:t xml:space="preserve">D. Hadfield-Menell, A. Dragan, P. Abbeel, and S. Russell, “The off-switch game,” in Proc. 26th Int. Joint Conf. Artif. Intell. (IJCAI), 2017, pp. 220–227.</w:t>
      </w:r>
    </w:p>
    <w:p>
      <w:pPr>
        <w:tabs>
          <w:tab w:val="left" w:pos="567"/>
        </w:tabs>
        <w:spacing w:after="100" w:line="280"/>
        <w:ind w:left="567" w:hanging="567"/>
        <w:jc w:val="both"/>
      </w:pPr>
      <w:r>
        <w:rPr>
          <w:rFonts w:ascii="Times New Roman" w:cs="Times New Roman" w:eastAsia="Times New Roman" w:hAnsi="Times New Roman"/>
          <w:sz w:val="22"/>
          <w:szCs w:val="22"/>
        </w:rPr>
        <w:t xml:space="preserve">[19]</w:t>
        <w:tab/>
        <w:t xml:space="preserve">H. Zheng, Q. Dong, R. K. Depena, J. D. Bhatia, F. Xiao, and P. Xu, “Separating capability from permission: A governance framework for agentic AI autonomy levels,” arXiv:2607.23438,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[20]</w:t>
        <w:tab/>
        <w:t xml:space="preserve">Cloud Native Computing Foundation, “Open Policy Agent: policy-based control for cloud native environments,” https://www.openpolicyagent.org, 2016, accessed 2026-09-21.</w:t>
      </w:r>
    </w:p>
    <w:p>
      <w:pPr>
        <w:tabs>
          <w:tab w:val="left" w:pos="567"/>
        </w:tabs>
        <w:spacing w:after="100" w:line="280"/>
        <w:ind w:left="567" w:hanging="567"/>
        <w:jc w:val="both"/>
      </w:pPr>
      <w:r>
        <w:rPr>
          <w:rFonts w:ascii="Times New Roman" w:cs="Times New Roman" w:eastAsia="Times New Roman" w:hAnsi="Times New Roman"/>
          <w:sz w:val="22"/>
          <w:szCs w:val="22"/>
        </w:rPr>
        <w:t xml:space="preserve">[21]</w:t>
        <w:tab/>
        <w:t xml:space="preserve">K. Zhang, Y. Peng, K. Jiang, and Y. Zhang, “ActGov: Governing LLM agent actions via policy-constrained validation,” arXiv:2609.24446,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[22]</w:t>
        <w:tab/>
        <w:t xml:space="preserve">Y. Chen et al., “AIOpsLab: A holistic framework to evaluate AI agents for enabling autonomous clouds,” arXiv:2501.06706, 2025.</w:t>
      </w:r>
    </w:p>
    <w:p>
      <w:pPr>
        <w:tabs>
          <w:tab w:val="left" w:pos="567"/>
        </w:tabs>
        <w:spacing w:after="100" w:line="280"/>
        <w:ind w:left="567" w:hanging="567"/>
        <w:jc w:val="both"/>
      </w:pPr>
      <w:r>
        <w:rPr>
          <w:rFonts w:ascii="Times New Roman" w:cs="Times New Roman" w:eastAsia="Times New Roman" w:hAnsi="Times New Roman"/>
          <w:sz w:val="22"/>
          <w:szCs w:val="22"/>
        </w:rPr>
        <w:t xml:space="preserve">[23]</w:t>
        <w:tab/>
        <w:t xml:space="preserve">J. Barnes, “OpenSec: Measuring incident response agent calibration under adversarial evidence,” arXiv:2601.21083, 2026.</w:t>
      </w:r>
    </w:p>
    <w:p>
      <w:pPr>
        <w:tabs>
          <w:tab w:val="left" w:pos="567"/>
        </w:tabs>
        <w:spacing w:after="100" w:line="280"/>
        <w:ind w:left="567" w:hanging="567"/>
        <w:jc w:val="both"/>
      </w:pPr>
      <w:r>
        <w:rPr>
          <w:rFonts w:ascii="Times New Roman" w:cs="Times New Roman" w:eastAsia="Times New Roman" w:hAnsi="Times New Roman"/>
          <w:sz w:val="22"/>
          <w:szCs w:val="22"/>
        </w:rPr>
        <w:t xml:space="preserve">[24]</w:t>
        <w:tab/>
        <w:t xml:space="preserve">A. Basiri et al., “Chaos engineering,” IEEE Software, vol. 33, no. 3, pp. 35–41, 2016.</w:t>
      </w:r>
    </w:p>
    <w:p>
      <w:pPr>
        <w:tabs>
          <w:tab w:val="left" w:pos="567"/>
        </w:tabs>
        <w:spacing w:after="100" w:line="280"/>
        <w:ind w:left="567" w:hanging="567"/>
        <w:jc w:val="both"/>
      </w:pPr>
      <w:r>
        <w:rPr>
          <w:rFonts w:ascii="Times New Roman" w:cs="Times New Roman" w:eastAsia="Times New Roman" w:hAnsi="Times New Roman"/>
          <w:sz w:val="22"/>
          <w:szCs w:val="22"/>
        </w:rPr>
        <w:t xml:space="preserve">[25]</w:t>
        <w:tab/>
        <w:t xml:space="preserve">B. Efron, “Bootstrap methods: Another look at the jackknife,” Ann. Statist., vol. 7, no. 1, 1979.</w:t>
      </w:r>
    </w:p>
    <w:p>
      <w:pPr>
        <w:tabs>
          <w:tab w:val="left" w:pos="567"/>
        </w:tabs>
        <w:spacing w:after="100" w:line="280"/>
        <w:ind w:left="567" w:hanging="567"/>
        <w:jc w:val="both"/>
      </w:pPr>
      <w:r>
        <w:rPr>
          <w:rFonts w:ascii="Times New Roman" w:cs="Times New Roman" w:eastAsia="Times New Roman" w:hAnsi="Times New Roman"/>
          <w:sz w:val="22"/>
          <w:szCs w:val="22"/>
        </w:rPr>
        <w:t xml:space="preserve">[26]</w:t>
        <w:tab/>
        <w:t xml:space="preserve">H. B. Mann and D. R. Whitney, “On a test of whether one of two random variables is stochastically larger than the other,” Ann. Math. Statist., vol. 18, no. 1, pp. 50–60, 1947.</w:t>
      </w:r>
    </w:p>
    <w:p>
      <w:pPr>
        <w:tabs>
          <w:tab w:val="left" w:pos="567"/>
        </w:tabs>
        <w:spacing w:after="100" w:line="280"/>
        <w:ind w:left="567" w:hanging="567"/>
        <w:jc w:val="both"/>
      </w:pPr>
      <w:r>
        <w:rPr>
          <w:rFonts w:ascii="Times New Roman" w:cs="Times New Roman" w:eastAsia="Times New Roman" w:hAnsi="Times New Roman"/>
          <w:sz w:val="22"/>
          <w:szCs w:val="22"/>
        </w:rPr>
        <w:t xml:space="preserve">[27]</w:t>
        <w:tab/>
        <w:t xml:space="preserve">F. Wilcoxon, “Individual comparisons by ranking methods,” Biometrics Bull., vol. 1, no. 6, p. 80, 1945.</w:t>
      </w:r>
    </w:p>
    <w:p>
      <w:pPr>
        <w:tabs>
          <w:tab w:val="left" w:pos="567"/>
        </w:tabs>
        <w:spacing w:after="100" w:line="280"/>
        <w:ind w:left="567" w:hanging="567"/>
        <w:jc w:val="both"/>
      </w:pPr>
      <w:r>
        <w:rPr>
          <w:rFonts w:ascii="Times New Roman" w:cs="Times New Roman" w:eastAsia="Times New Roman" w:hAnsi="Times New Roman"/>
          <w:sz w:val="22"/>
          <w:szCs w:val="22"/>
        </w:rPr>
        <w:t xml:space="preserve">[28]</w:t>
        <w:tab/>
        <w:t xml:space="preserve">S. Holm, “A simple sequentially rejective multiple test procedure,” Scand. J. Statist., vol. 6, no. 2, pp. 65–70, 1979.</w:t>
      </w:r>
    </w:p>
    <w:p>
      <w:pPr>
        <w:tabs>
          <w:tab w:val="left" w:pos="567"/>
        </w:tabs>
        <w:spacing w:after="100" w:line="280"/>
        <w:ind w:left="567" w:hanging="567"/>
        <w:jc w:val="both"/>
      </w:pPr>
      <w:r>
        <w:rPr>
          <w:rFonts w:ascii="Times New Roman" w:cs="Times New Roman" w:eastAsia="Times New Roman" w:hAnsi="Times New Roman"/>
          <w:sz w:val="22"/>
          <w:szCs w:val="22"/>
        </w:rPr>
        <w:t xml:space="preserve">[29]</w:t>
        <w:tab/>
        <w:t xml:space="preserve">N. Cliff, “Dominance statistics: Ordinal analyses to answer ordinal questions,” Psychol. Bull., vol. 114, no. 3, pp. 494–509, 1993.</w:t>
      </w:r>
    </w:p>
    <w:p>
      <w:pPr>
        <w:tabs>
          <w:tab w:val="left" w:pos="567"/>
        </w:tabs>
        <w:spacing w:after="100" w:line="280"/>
        <w:ind w:left="567" w:hanging="567"/>
        <w:jc w:val="both"/>
      </w:pPr>
      <w:r>
        <w:rPr>
          <w:rFonts w:ascii="Times New Roman" w:cs="Times New Roman" w:eastAsia="Times New Roman" w:hAnsi="Times New Roman"/>
          <w:sz w:val="22"/>
          <w:szCs w:val="22"/>
        </w:rPr>
        <w:t xml:space="preserve">[30]</w:t>
        <w:tab/>
        <w:t xml:space="preserve">E. B. Wilson, “Probable inference, the law of succession, and statistical inference,” J. Amer. Statist. Assoc., vol. 22, no. 158, pp. 209–212, 1927.</w:t>
      </w:r>
    </w:p>
    <w:p>
      <w:pPr>
        <w:pStyle w:val="Heading1"/>
        <w:pageBreakBefore/>
        <w:pBdr>
          <w:bottom w:val="single" w:color="C9A227" w:sz="12" w:space="8"/>
        </w:pBdr>
        <w:jc w:val="center"/>
      </w:pPr>
      <w:r>
        <w:rPr>
          <w:rFonts w:ascii="Calibri" w:cs="Calibri" w:eastAsia="Calibri" w:hAnsi="Calibri"/>
          <w:spacing w:val="40"/>
        </w:rPr>
        <w:t xml:space="preserve">APPENDIX A: REPRODUCTION GUIDE</w:t>
      </w:r>
    </w:p>
    <w:p>
      <w:pPr>
        <w:spacing w:after="160" w:before="0" w:line="360"/>
        <w:jc w:val="left"/>
      </w:pPr>
      <w:r>
        <w:rPr>
          <w:rFonts w:ascii="Times New Roman" w:cs="Times New Roman" w:eastAsia="Times New Roman" w:hAnsi="Times New Roman"/>
        </w:rPr>
        <w:t xml:space="preserve">The complete source code, policies, per-run campaign data, and artifact generators are available at https://github.com/bodapatisaikrishna/agentic-cloud-pipeline-governance. The following commands reproduce the environment and the paper artifacts:</w:t>
      </w:r>
    </w:p>
    <w:p>
      <w:pPr>
        <w:shd w:fill="F3F7FC" w:val="clear"/>
        <w:spacing w:after="0" w:line="240"/>
        <w:ind w:left="240"/>
      </w:pPr>
      <w:r>
        <w:rPr>
          <w:rFonts w:ascii="Courier New" w:cs="Courier New" w:eastAsia="Courier New" w:hAnsi="Courier New"/>
          <w:sz w:val="18"/>
          <w:szCs w:val="18"/>
        </w:rPr>
        <w:t xml:space="preserve">git clone https://github.com/bodapatisaikrishna/agentic-cloud-pipeline-governance.git</w:t>
      </w:r>
    </w:p>
    <w:p>
      <w:pPr>
        <w:shd w:fill="F3F7FC" w:val="clear"/>
        <w:spacing w:after="0" w:line="240"/>
        <w:ind w:left="240"/>
      </w:pPr>
      <w:r>
        <w:rPr>
          <w:rFonts w:ascii="Courier New" w:cs="Courier New" w:eastAsia="Courier New" w:hAnsi="Courier New"/>
          <w:sz w:val="18"/>
          <w:szCs w:val="18"/>
        </w:rPr>
        <w:t xml:space="preserve">cd agentic-cloud-pipeline-governance</w:t>
      </w:r>
    </w:p>
    <w:p>
      <w:pPr>
        <w:shd w:fill="F3F7FC" w:val="clear"/>
        <w:spacing w:after="0" w:line="240"/>
        <w:ind w:left="240"/>
      </w:pPr>
      <w:r>
        <w:rPr>
          <w:rFonts w:ascii="Courier New" w:cs="Courier New" w:eastAsia="Courier New" w:hAnsi="Courier New"/>
          <w:sz w:val="18"/>
          <w:szCs w:val="18"/>
        </w:rPr>
        <w:t xml:space="preserve">uv sync                      # install dependencies</w:t>
      </w:r>
    </w:p>
    <w:p>
      <w:pPr>
        <w:shd w:fill="F3F7FC" w:val="clear"/>
        <w:spacing w:after="0" w:line="240"/>
        <w:ind w:left="240"/>
      </w:pPr>
      <w:r>
        <w:rPr>
          <w:rFonts w:ascii="Courier New" w:cs="Courier New" w:eastAsia="Courier New" w:hAnsi="Courier New"/>
          <w:sz w:val="18"/>
          <w:szCs w:val="18"/>
        </w:rPr>
        <w:t xml:space="preserve">cp .env.example .env         # configure (mock LLM by default)</w:t>
      </w:r>
    </w:p>
    <w:p>
      <w:pPr>
        <w:shd w:fill="F3F7FC" w:val="clear"/>
        <w:spacing w:after="0" w:line="240"/>
        <w:ind w:left="240"/>
      </w:pPr>
      <w:r>
        <w:rPr>
          <w:rFonts w:ascii="Courier New" w:cs="Courier New" w:eastAsia="Courier New" w:hAnsi="Courier New"/>
          <w:sz w:val="18"/>
          <w:szCs w:val="18"/>
        </w:rPr>
        <w:t xml:space="preserve">make lint &amp;&amp; make test-unit  # static analysis and 752 unit tests</w:t>
      </w:r>
    </w:p>
    <w:p>
      <w:pPr>
        <w:shd w:fill="F3F7FC" w:val="clear"/>
        <w:spacing w:after="0" w:line="240"/>
        <w:ind w:left="240"/>
      </w:pPr>
      <w:r>
        <w:rPr>
          <w:rFonts w:ascii="Courier New" w:cs="Courier New" w:eastAsia="Courier New" w:hAnsi="Courier New"/>
          <w:sz w:val="18"/>
          <w:szCs w:val="18"/>
        </w:rPr>
        <w:t xml:space="preserve">make opa-test                # policy unit tests</w:t>
      </w:r>
    </w:p>
    <w:p>
      <w:pPr>
        <w:shd w:fill="F3F7FC" w:val="clear"/>
        <w:spacing w:after="0" w:line="240"/>
        <w:ind w:left="240"/>
      </w:pPr>
      <w:r>
        <w:rPr>
          <w:rFonts w:ascii="Courier New" w:cs="Courier New" w:eastAsia="Courier New" w:hAnsi="Courier New"/>
          <w:sz w:val="18"/>
          <w:szCs w:val="18"/>
        </w:rPr>
        <w:t xml:space="preserve">make up                      # start PostgreSQL, Redpanda, Airflow, OPA</w:t>
      </w:r>
    </w:p>
    <w:p>
      <w:pPr>
        <w:shd w:fill="F3F7FC" w:val="clear"/>
        <w:spacing w:after="0" w:line="240"/>
        <w:ind w:left="240"/>
      </w:pPr>
      <w:r>
        <w:rPr>
          <w:rFonts w:ascii="Courier New" w:cs="Courier New" w:eastAsia="Courier New" w:hAnsi="Courier New"/>
          <w:sz w:val="18"/>
          <w:szCs w:val="18"/>
        </w:rPr>
        <w:t xml:space="preserve">make experiment-smoke        # short mock experiment</w:t>
      </w:r>
    </w:p>
    <w:p>
      <w:pPr>
        <w:shd w:fill="F3F7FC" w:val="clear"/>
        <w:spacing w:after="200" w:line="240"/>
        <w:ind w:left="240"/>
      </w:pPr>
      <w:r>
        <w:rPr>
          <w:rFonts w:ascii="Courier New" w:cs="Courier New" w:eastAsia="Courier New" w:hAnsi="Courier New"/>
          <w:sz w:val="18"/>
          <w:szCs w:val="18"/>
        </w:rPr>
        <w:t xml:space="preserve">make paper-repro-quick       # regenerate tables, figures, and the paper PDF</w:t>
      </w:r>
    </w:p>
    <w:p>
      <w:pPr>
        <w:spacing w:after="160" w:before="0" w:line="360"/>
        <w:jc w:val="left"/>
      </w:pPr>
      <w:r>
        <w:rPr>
          <w:rFonts w:ascii="Times New Roman" w:cs="Times New Roman" w:eastAsia="Times New Roman" w:hAnsi="Times New Roman"/>
        </w:rPr>
        <w:t xml:space="preserve">The live campaign (make campaign MAX_TOKENS=...) requires an API key for an OpenAI-compatible endpoint and runs for about two days on a single machine.</w:t>
      </w:r>
    </w:p>
    <w:sectPr>
      <w:headerReference w:type="default" r:id="rId9"/>
      <w:footerReference w:type="default" r:id="rId10"/>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8" w:space="6"/>
      </w:pBdr>
      <w:tabs>
        <w:tab w:val="right" w:pos="8306"/>
      </w:tabs>
      <w:jc w:val="center"/>
    </w:pPr>
    <w:r>
      <w:rPr>
        <w:rFonts w:ascii="Times New Roman" w:cs="Times New Roman" w:eastAsia="Times New Roman" w:hAnsi="Times New Roman"/>
        <w:color w:val="2F5597"/>
        <w:sz w:val="18"/>
        <w:szCs w:val="18"/>
      </w:rPr>
      <w:t xml:space="preserve">Project Report</w:t>
    </w:r>
    <w:r>
      <w:rPr>
        <w:rFonts w:ascii="Times New Roman" w:cs="Times New Roman" w:eastAsia="Times New Roman" w:hAnsi="Times New Roman"/>
        <w:b/>
        <w:bCs/>
        <w:color w:val="1F3864"/>
        <w:sz w:val="22"/>
        <w:szCs w:val="22"/>
      </w:rPr>
      <w:tab/>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8" w:space="6"/>
      </w:pBdr>
      <w:tabs>
        <w:tab w:val="right" w:pos="8306"/>
      </w:tabs>
      <w:jc w:val="center"/>
    </w:pPr>
    <w:r>
      <w:rPr>
        <w:rFonts w:ascii="Times New Roman" w:cs="Times New Roman" w:eastAsia="Times New Roman" w:hAnsi="Times New Roman"/>
        <w:color w:val="2F5597"/>
        <w:sz w:val="18"/>
        <w:szCs w:val="18"/>
      </w:rPr>
      <w:t xml:space="preserve">Project Report</w:t>
    </w:r>
    <w:r>
      <w:rPr>
        <w:rFonts w:ascii="Times New Roman" w:cs="Times New Roman" w:eastAsia="Times New Roman" w:hAnsi="Times New Roman"/>
        <w:b/>
        <w:bCs/>
        <w:color w:val="1F3864"/>
        <w:sz w:val="22"/>
        <w:szCs w:val="22"/>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8" w:space="4"/>
      </w:pBdr>
      <w:jc w:val="right"/>
    </w:pPr>
    <w:r>
      <w:rPr>
        <w:rFonts w:ascii="Times New Roman" w:cs="Times New Roman" w:eastAsia="Times New Roman" w:hAnsi="Times New Roman"/>
        <w:i/>
        <w:iCs/>
        <w:color w:val="2F5597"/>
        <w:sz w:val="18"/>
        <w:szCs w:val="18"/>
      </w:rPr>
      <w:t xml:space="preserve">A Policy-Bounded Agentic Framework for Autonomous Governance of Cloud Data Pipelines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8" w:space="4"/>
      </w:pBdr>
      <w:jc w:val="right"/>
    </w:pPr>
    <w:r>
      <w:rPr>
        <w:rFonts w:ascii="Times New Roman" w:cs="Times New Roman" w:eastAsia="Times New Roman" w:hAnsi="Times New Roman"/>
        <w:i/>
        <w:iCs/>
        <w:color w:val="2F5597"/>
        <w:sz w:val="18"/>
        <w:szCs w:val="18"/>
      </w:rPr>
      <w:t xml:space="preserve">A Policy-Bounded Agentic Framework for Autonomous Governance of Cloud Data Pipelines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2E74B5"/>
      <w:sz w:val="24"/>
      <w:szCs w:val="24"/>
    </w:rPr>
  </w:style>
  <w:style w:type="paragraph" w:styleId="Caption">
    <w:name w:val="Caption"/>
    <w:basedOn w:val="Normal"/>
    <w:next w:val="Normal"/>
    <w:qFormat/>
    <w:pPr>
      <w:spacing w:after="200" w:before="80"/>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9f9dcbe3407f4277a87e1c1e0381ee3a28f8c2a2.png"/><Relationship Id="rId12" Type="http://schemas.openxmlformats.org/officeDocument/2006/relationships/image" Target="media/03d0b56f67291bd3123496a7b84e06b5ca54a5b4.png"/><Relationship Id="rId13" Type="http://schemas.openxmlformats.org/officeDocument/2006/relationships/image" Target="media/772ef16c1544d107e5c6999b2287ec879080c554.png"/><Relationship Id="rId14" Type="http://schemas.openxmlformats.org/officeDocument/2006/relationships/image" Target="media/b53cc44a8226b6fcfdd0335735a04aafd530b9a3.png"/><Relationship Id="rId15" Type="http://schemas.openxmlformats.org/officeDocument/2006/relationships/image" Target="media/44b6da6ebfa248511f42d32e221c87745400c1f6.png"/><Relationship Id="rId16" Type="http://schemas.openxmlformats.org/officeDocument/2006/relationships/image" Target="media/f941ff569251fd0a33f3f7fdb2a43fd879c8135a.png"/><Relationship Id="rId17" Type="http://schemas.openxmlformats.org/officeDocument/2006/relationships/image" Target="media/e26031b6e7686d17b794f373728fc0c8e10c860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Policy-Bounded Agentic Framework for Autonomous Governance of Cloud Data Pipelines</dc:title>
  <dc:creator>B Sai Krishna, Vignes VM, I Mahalakshmi, Sri Harini MP</dc:creator>
  <cp:lastModifiedBy>Un-named</cp:lastModifiedBy>
  <cp:revision>1</cp:revision>
  <dcterms:created xsi:type="dcterms:W3CDTF">2026-10-16T15:29:19.987Z</dcterms:created>
  <dcterms:modified xsi:type="dcterms:W3CDTF">2026-10-16T15:29:19.988Z</dcterms:modified>
</cp:coreProperties>
</file>

<file path=docProps/custom.xml><?xml version="1.0" encoding="utf-8"?>
<Properties xmlns="http://schemas.openxmlformats.org/officeDocument/2006/custom-properties" xmlns:vt="http://schemas.openxmlformats.org/officeDocument/2006/docPropsVTypes"/>
</file>