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CHAPTER TWO</w:t>
      </w:r>
    </w:p>
    <w:p>
      <w:pPr>
        <w:spacing w:before="0" w:after="360"/>
        <w:jc w:val="center"/>
      </w:pPr>
      <w:r>
        <w:rPr>
          <w:rFonts w:ascii="Times New Roman" w:hAnsi="Times New Roman"/>
          <w:b/>
          <w:i w:val="0"/>
          <w:sz w:val="28"/>
        </w:rPr>
        <w:t>REVIEW OF LITERATURE</w:t>
      </w:r>
    </w:p>
    <w:p>
      <w:pPr>
        <w:pStyle w:val="Heading2"/>
      </w:pPr>
      <w:r>
        <w:t>2.1  Introduction</w:t>
      </w:r>
    </w:p>
    <w:p>
      <w:pPr>
        <w:spacing w:before="0" w:after="160"/>
        <w:ind w:firstLine="720"/>
        <w:jc w:val="both"/>
      </w:pPr>
      <w:r>
        <w:rPr>
          <w:rFonts w:ascii="Times New Roman" w:hAnsi="Times New Roman"/>
          <w:b w:val="0"/>
          <w:i w:val="0"/>
          <w:sz w:val="24"/>
        </w:rPr>
        <w:t>This chapter presents a structured review of the literature directly relevant to the scope and methodology of the present study. The review is organised around four thematic domains. The first examines the theoretical foundations of industrial equipment maintenance, tracing the evolution from reactive and preventive strategies through condition-based maintenance to modern predictive maintenance, and establishing the operational rationale for employing supervised machine learning as the analytical framework. The second provides a dedicated analysis of the AI4I 2020 Predictive Maintenance Dataset, covering its construction philosophy, sensor features, failure mode physics, class distribution, and established research applications — context that is essential for understanding the feature engineering and preprocessing decisions detailed in Chapter Three. The third domain reviews the theoretical properties and empirical performance characteristics of the ten supervised classification algorithms evaluated in this study, covering their learning mechanisms, hyperparameter sensitivity, and suitability for tabular binary classification. The fourth examines the methodological literature on class imbalance handling, categorical variable encoding, feature scaling, model evaluation metrics for imbalanced datasets, and hyperparameter optimisation — each of which corresponds to a specific design decision in the experimental pipeline.</w:t>
      </w:r>
    </w:p>
    <w:p>
      <w:pPr>
        <w:spacing w:before="0" w:after="160"/>
        <w:ind w:firstLine="720"/>
        <w:jc w:val="both"/>
      </w:pPr>
      <w:r>
        <w:rPr>
          <w:rFonts w:ascii="Times New Roman" w:hAnsi="Times New Roman"/>
          <w:b w:val="0"/>
          <w:i w:val="0"/>
          <w:sz w:val="24"/>
        </w:rPr>
        <w:t>Following the theoretical review, Section 2.3 presents an empirical review of prior studies on the AI4I 2020 dataset and comparable tabular predictive maintenance benchmarks, critically appraising each study's methodology and results in relation to the present work. Section 2.4 presents the conceptual framework that underpins the study's pipeline design. Section 2.5 synthesises the identified research gaps that collectively motivate the specific contributions of this study, and Section 2.6 provides a chapter summary.</w:t>
      </w:r>
    </w:p>
    <w:p>
      <w:pPr>
        <w:spacing w:before="0" w:after="160"/>
        <w:ind w:firstLine="720"/>
        <w:jc w:val="both"/>
      </w:pPr>
      <w:r>
        <w:rPr>
          <w:rFonts w:ascii="Times New Roman" w:hAnsi="Times New Roman"/>
          <w:b w:val="0"/>
          <w:i w:val="0"/>
          <w:sz w:val="24"/>
        </w:rPr>
        <w:t>Throughout the review, coverage is deliberately focused on classical supervised machine learning applied to tabular sensor data, reflecting the scope of the notebook implementation. Deep learning architectures, time-series-specific signal processing methods, and industrial communication infrastructure — though relevant to the broader field of predictive maintenance — fall outside the experimental scope and are therefore not reviewed. This delimitation ensures that the literature base directly informs the methodological choices made in Chapter Three rather than providing generic contextual coverage.</w:t>
      </w:r>
    </w:p>
    <w:p>
      <w:pPr>
        <w:pStyle w:val="Heading2"/>
      </w:pPr>
      <w:r>
        <w:t>2.2  Theoretical Review</w:t>
      </w:r>
    </w:p>
    <w:p>
      <w:pPr>
        <w:spacing w:before="0" w:after="160"/>
        <w:jc w:val="both"/>
      </w:pPr>
      <w:r>
        <w:rPr>
          <w:rFonts w:ascii="Times New Roman" w:hAnsi="Times New Roman"/>
          <w:b w:val="0"/>
          <w:i w:val="0"/>
          <w:sz w:val="24"/>
        </w:rPr>
        <w:t>The theoretical review examines the major concepts, principles, and algorithmic foundations that underpin the study's experimental design. Each subsection introduces theoretical material that is directly operationalised in the methodology described in Chapter Three.</w:t>
      </w:r>
    </w:p>
    <w:p>
      <w:pPr>
        <w:pStyle w:val="Heading3"/>
      </w:pPr>
      <w:r>
        <w:t>2.2.1  Predictive Maintenance: Strategic Evolution</w:t>
      </w:r>
    </w:p>
    <w:p>
      <w:pPr>
        <w:spacing w:before="0" w:after="160"/>
        <w:ind w:firstLine="720"/>
        <w:jc w:val="both"/>
      </w:pPr>
      <w:r>
        <w:rPr>
          <w:rFonts w:ascii="Times New Roman" w:hAnsi="Times New Roman"/>
          <w:b w:val="0"/>
          <w:i w:val="0"/>
          <w:sz w:val="24"/>
        </w:rPr>
        <w:t>Industrial equipment maintenance has evolved through four broadly recognised strategic phases, each defined by the decision rule that triggers a maintenance intervention. The earliest approach, reactive maintenance — also termed run-to-failure maintenance — performs no intervention until a machine breaks down. While this strategy minimises planning overhead and may be cost-effective for non-critical components, it consistently produces the highest total operational costs when applied to production-critical equipment, owing to unplanned downtime, emergency labour, expedited parts procurement, and secondary damage to adjacent systems (Jardine et al., 2006; Mobley, 2002). As manufacturing processes became more capital-intensive and equipment failure consequences more severe, reactive maintenance gave way to preventive maintenance, in which servicing is performed at fixed time intervals or usage thresholds regardless of the equipment's actual condition. Preventive maintenance reduces catastrophic breakdowns but introduces a systematic inefficiency: components are replaced or serviced before the end of their useful life, an over-servicing cost that increases with the heterogeneity of operating environments and degradation rate variability across individual machines (Carvalho et al., 2019; Holmkvist, 2024).</w:t>
      </w:r>
    </w:p>
    <w:p>
      <w:pPr>
        <w:spacing w:before="0" w:after="160"/>
        <w:ind w:firstLine="720"/>
        <w:jc w:val="both"/>
      </w:pPr>
      <w:r>
        <w:rPr>
          <w:rFonts w:ascii="Times New Roman" w:hAnsi="Times New Roman"/>
          <w:b w:val="0"/>
          <w:i w:val="0"/>
          <w:sz w:val="24"/>
        </w:rPr>
        <w:t>Condition-based maintenance (CBM) refined the preventive approach by making intervention contingent on monitored condition indicators rather than elapsed time. CBM systems continuously measure physical parameters — vibration signatures, temperature gradients, acoustic emissions, or lubricant viscosity — and trigger maintenance action when a monitored signal crosses a predefined threshold (Jardine et al., 2006). CBM reduces unnecessary maintenance activities and responds to the actual health state of equipment, but it remains threshold-reactive: it detects deterioration after it has reached a critical level rather than forecasting its trajectory. Predictive maintenance extends CBM by applying statistical and machine learning models to historical and real-time sensor data in order to forecast future equipment states and anticipate failures before threshold crossings occur (Carvalho et al., 2019; Rajendiran, 2023). The essential conceptual distinction is precise: CBM detects degradation; predictive maintenance predicts it. This shift from detection to forecasting allows maintenance to be scheduled at operationally convenient intervals, eliminating both unplanned emergency response costs and preventive over-servicing.</w:t>
      </w:r>
    </w:p>
    <w:p>
      <w:pPr>
        <w:spacing w:before="0" w:after="160"/>
        <w:ind w:firstLine="720"/>
        <w:jc w:val="both"/>
      </w:pPr>
      <w:r>
        <w:rPr>
          <w:rFonts w:ascii="Times New Roman" w:hAnsi="Times New Roman"/>
          <w:b w:val="0"/>
          <w:i w:val="0"/>
          <w:sz w:val="24"/>
        </w:rPr>
        <w:t>The industrial adoption of predictive maintenance has been substantially accelerated by Industry 4.0 — the integration of cyber-physical systems, advanced sensing, cloud computing, and artificial intelligence into manufacturing infrastructure (Carvalho et al., 2019). Within this landscape, supervised machine learning has established itself as the dominant analytical paradigm for predictive maintenance tasks that operate on labelled historical failure records. Supervised classifiers learn non-linear failure precursors from training data without requiring explicit physical degradation models, making them applicable across diverse equipment types and operational contexts (Carvalho et al., 2019; Jardine et al., 2006). In their systematic review of 93 papers on machine learning for predictive maintenance, Carvalho et al. (2019) confirm that Random Forest and Support Vector Machine are the most frequently applied algorithms across the literature, and that class imbalance and data quality are the two most consistently identified challenges. The present study operates within this supervised binary classification paradigm, applying ten candidate algorithms to predict equipment failure from tabular sensor features extracted from the AI4I 2020 dataset.</w:t>
      </w:r>
    </w:p>
    <w:p>
      <w:pPr>
        <w:pStyle w:val="Heading3"/>
      </w:pPr>
      <w:r>
        <w:t>2.2.2  The AI4I 2020 Predictive Maintenance Dataset</w:t>
      </w:r>
    </w:p>
    <w:p>
      <w:pPr>
        <w:spacing w:before="160" w:after="40"/>
        <w:ind w:firstLine="0"/>
      </w:pPr>
      <w:r>
        <w:rPr>
          <w:rFonts w:ascii="Times New Roman" w:hAnsi="Times New Roman"/>
          <w:b/>
          <w:i/>
          <w:sz w:val="24"/>
        </w:rPr>
        <w:t>Origin and Construction</w:t>
      </w:r>
    </w:p>
    <w:p>
      <w:pPr>
        <w:spacing w:before="0" w:after="160"/>
        <w:ind w:firstLine="720"/>
        <w:jc w:val="both"/>
      </w:pPr>
      <w:r>
        <w:rPr>
          <w:rFonts w:ascii="Times New Roman" w:hAnsi="Times New Roman"/>
          <w:b w:val="0"/>
          <w:i w:val="0"/>
          <w:sz w:val="24"/>
        </w:rPr>
        <w:t>The AI4I 2020 Predictive Maintenance Dataset was introduced by Matzka (2020) at the Third International Conference on Artificial Intelligence for Industries. The dataset was synthetically generated to simulate the operational behaviour of a CNC milling machine and was designed to provide a realistic, publicly accessible benchmark for the development and evaluation of predictive maintenance algorithms. The motivation for a synthetic generation strategy was practical: authentic failure records from industrial operations are consistently unavailable for academic research due to proprietary restrictions, incomplete logging practices, or the statistical scarcity of failure events that makes fully supervised learning infeasible on real datasets of tractable size (Holmkvist, 2024; Carvalho et al., 2019). By constructing the dataset from physically grounded deterministic rules, Matzka (2020) produced a benchmark that preserves the mechanistic relationships between operating parameters and failure modes, making it particularly well-suited to studies that seek to exploit domain knowledge in feature engineering. The dataset comprises 10,000 records with 14 original columns, is clean and free of missing values (Madan et al., 2023), and has been used in a growing body of supervised ML studies, including Holmkvist (2024), Madan et al. (2023), and Rayarao and Rayarao (2024).</w:t>
      </w:r>
    </w:p>
    <w:p>
      <w:pPr>
        <w:spacing w:before="160" w:after="40"/>
        <w:ind w:firstLine="0"/>
      </w:pPr>
      <w:r>
        <w:rPr>
          <w:rFonts w:ascii="Times New Roman" w:hAnsi="Times New Roman"/>
          <w:b/>
          <w:i/>
          <w:sz w:val="24"/>
        </w:rPr>
        <w:t>Operational Features</w:t>
      </w:r>
    </w:p>
    <w:p>
      <w:pPr>
        <w:spacing w:before="0" w:after="160"/>
        <w:ind w:firstLine="720"/>
        <w:jc w:val="both"/>
      </w:pPr>
      <w:r>
        <w:rPr>
          <w:rFonts w:ascii="Times New Roman" w:hAnsi="Times New Roman"/>
          <w:b w:val="0"/>
          <w:i w:val="0"/>
          <w:sz w:val="24"/>
        </w:rPr>
        <w:t>The dataset records five continuous operational sensor measurements collected during milling machine operation. Air temperature [K] and process temperature [K] capture the ambient and internal thermal states of the machine respectively; the process temperature is generated as a function of air temperature plus a base offset and a tool-wear-dependent term. Rotational speed [rpm] measures the spindle velocity and is inversely related to torque under constant-power operational constraints. Torque [Nm] captures the mechanical load applied during cutting operations. Tool wear [min] records the cumulative operating duration of the cutting tool, serving as a proxy for progressive tool degradation. A categorical product quality indicator (Type: H for high, M for medium, L for low) identifies the grade of product being machined and corresponds to different operational intensity levels, with Type L operations exhibiting the highest failure rates and Type H the lowest (Rayarao &amp; Rayarao, 2024). Each record is further assigned a unique sequential identifier (UDI) and a composite product code (Product ID) that encodes both type and sequence number; both columns carry no predictive signal and are excluded during preprocessing (Matzka, 2020; Madan et al., 2023).</w:t>
      </w:r>
    </w:p>
    <w:p>
      <w:pPr>
        <w:spacing w:before="160" w:after="40"/>
        <w:ind w:firstLine="0"/>
      </w:pPr>
      <w:r>
        <w:rPr>
          <w:rFonts w:ascii="Times New Roman" w:hAnsi="Times New Roman"/>
          <w:b/>
          <w:i/>
          <w:sz w:val="24"/>
        </w:rPr>
        <w:t>Failure Mode Definitions and Physical Thresholds</w:t>
      </w:r>
    </w:p>
    <w:p>
      <w:pPr>
        <w:spacing w:before="0" w:after="160"/>
        <w:ind w:firstLine="720"/>
        <w:jc w:val="both"/>
      </w:pPr>
      <w:r>
        <w:rPr>
          <w:rFonts w:ascii="Times New Roman" w:hAnsi="Times New Roman"/>
          <w:b w:val="0"/>
          <w:i w:val="0"/>
          <w:sz w:val="24"/>
        </w:rPr>
        <w:t>A defining characteristic of the AI4I 2020 dataset is that each of its five failure modes is encoded by a deterministic physical rule, embedding domain knowledge directly into the dataset's generative structure. Heat Dissipation Failure (HDF) is triggered when the difference between process temperature and air temperature falls below 8.6 K and rotational speed simultaneously drops below 1,380 RPM — conditions under which the machine's cooling system cannot maintain safe operating temperatures. Power Failure (PWF) is activated when the mechanical power, computed as the product of torque and angular velocity, falls outside the range 3,500 to 9,000 W. Overstrain Failure (OSF) is triggered when the product of tool wear and torque exceeds a product-type-dependent threshold: 11,000 Nm·min for Type L, 12,000 Nm·min for Type M, and 13,000 Nm·min for Type H. Tool Wear Failure (TWF) is activated when tool wear falls within the interval 200 to 240 minutes and occurs probabilistically with a 50% chance within that range. Random Failure (RNF) is triggered stochastically at a 0.1% probability regardless of operating conditions, representing unexplained equipment behaviour. The binary target variable, Machine failure, is set to 1 if and only if at least one of these five flags is active (Matzka, 2020).</w:t>
      </w:r>
    </w:p>
    <w:p>
      <w:pPr>
        <w:spacing w:before="0" w:after="160"/>
        <w:ind w:firstLine="720"/>
        <w:jc w:val="both"/>
      </w:pPr>
      <w:r>
        <w:rPr>
          <w:rFonts w:ascii="Times New Roman" w:hAnsi="Times New Roman"/>
          <w:b w:val="0"/>
          <w:i w:val="0"/>
          <w:sz w:val="24"/>
        </w:rPr>
        <w:t>The economic significance of these failure modes is substantial and directly motivates the feature engineering approach adopted in this study. Rayarao and Rayarao (2024) demonstrate through cost impact analysis on the AI4I 2020 dataset that HDF accounts for approximately 74.9% of total maintenance costs, OSF for 11.6%, and PWF for 9.6%. Heat dissipation failure is therefore the dominant cost driver by a considerable margin, establishing the thermal regime captured by the temperature difference feature as the single most operationally critical variable in the dataset. This cost hierarchy directly justifies the construction of physics-grounded engineered features tied to the HDF and PWF physical thresholds, as described in Section 2.2.3.</w:t>
      </w:r>
    </w:p>
    <w:p>
      <w:pPr>
        <w:spacing w:before="160" w:after="40"/>
        <w:ind w:firstLine="0"/>
      </w:pPr>
      <w:r>
        <w:rPr>
          <w:rFonts w:ascii="Times New Roman" w:hAnsi="Times New Roman"/>
          <w:b/>
          <w:i/>
          <w:sz w:val="24"/>
        </w:rPr>
        <w:t>Class Distribution and Target Leakage</w:t>
      </w:r>
    </w:p>
    <w:p>
      <w:pPr>
        <w:spacing w:before="0" w:after="160"/>
        <w:ind w:firstLine="720"/>
        <w:jc w:val="both"/>
      </w:pPr>
      <w:r>
        <w:rPr>
          <w:rFonts w:ascii="Times New Roman" w:hAnsi="Times New Roman"/>
          <w:b w:val="0"/>
          <w:i w:val="0"/>
          <w:sz w:val="24"/>
        </w:rPr>
        <w:t>Of the 10,000 records, 339 represent machine failure events, yielding a 3.39% failure rate and a majority-to-minority class ratio of approximately 29:1. This class imbalance is characteristic of real industrial predictive maintenance settings, where failure events are inherently rare relative to normal operating conditions; Carvalho et al. (2019) note that class imbalance ratios in the industrial literature range from 10:1 to over 10,000:1, making the AI4I 2020 dataset's ratio a realistic but methodologically tractable case. Product Type L machines exhibit the highest failure incidence, accounting for the majority of HDF and OSF events, while Product Type H machines show minimal failure rates, suggesting that the lower-intensity operational profile of high-quality product machining provides a thermal and mechanical buffer against the dominant failure modes (Rayarao &amp; Rayarao, 2024).</w:t>
      </w:r>
    </w:p>
    <w:p>
      <w:pPr>
        <w:spacing w:before="0" w:after="160"/>
        <w:ind w:firstLine="720"/>
        <w:jc w:val="both"/>
      </w:pPr>
      <w:r>
        <w:rPr>
          <w:rFonts w:ascii="Times New Roman" w:hAnsi="Times New Roman"/>
          <w:b w:val="0"/>
          <w:i w:val="0"/>
          <w:sz w:val="24"/>
        </w:rPr>
        <w:t>The five failure mode indicator columns (TWF, HDF, PWF, OSF, RNF) are sub-components of the binary target variable: Machine failure equals 1 if and only if at least one flag is positive. Retaining these columns as model input features would constitute target leakage — a classifier trained on them would trivially reconstruct the logical OR relationship between the flags and the target, producing inflated performance metrics that would not generalise to real deployment environments where individual failure mode labels are unavailable ahead of prediction time (Matzka, 2020; Madan et al., 2023). The exclusion of these columns during preprocessing is confirmed as standard practice by both Holmkvist (2024) and Madan et al. (2023), and is a prerequisite for any methodologically sound evaluation of classification performance on this dataset.</w:t>
      </w:r>
    </w:p>
    <w:p>
      <w:pPr>
        <w:pStyle w:val="Heading3"/>
      </w:pPr>
      <w:r>
        <w:t>2.2.3  Domain-Informed Feature Engineering for Tabular Sensor Data</w:t>
      </w:r>
    </w:p>
    <w:p>
      <w:pPr>
        <w:spacing w:before="0" w:after="160"/>
        <w:ind w:firstLine="720"/>
        <w:jc w:val="both"/>
      </w:pPr>
      <w:r>
        <w:rPr>
          <w:rFonts w:ascii="Times New Roman" w:hAnsi="Times New Roman"/>
          <w:b w:val="0"/>
          <w:i w:val="0"/>
          <w:sz w:val="24"/>
        </w:rPr>
        <w:t>Feature engineering is the process of constructing new input variables from raw data through mathematical transformation or domain knowledge, with the aim of improving a model's capacity to discriminate between target classes (Jardine et al., 2006). Two broad paradigms govern this process in industrial predictive maintenance. Statistical feature extraction derives summary descriptors from signal windows — mean, standard deviation, root mean square, kurtosis — without reference to the physical mechanisms of failure. Physics-grounded feature construction, by contrast, derives variables whose mathematical form directly encodes a known physical failure condition. For tabular datasets with explicit failure physics, such as the AI4I 2020 dataset, the latter approach is both more parsimonious and more interpretable: by constructing features that encode the failure thresholds themselves, the classifier is provided with discriminative signals that concentrate failure-relevant information into single variables, rather than requiring the model to discover the subtraction or multiplication relationship from raw columns across a limited training set (Lei et al., 2018; Jardine et al., 2006).</w:t>
      </w:r>
    </w:p>
    <w:p>
      <w:pPr>
        <w:spacing w:before="0" w:after="160"/>
        <w:ind w:firstLine="720"/>
        <w:jc w:val="both"/>
      </w:pPr>
      <w:r>
        <w:rPr>
          <w:rFonts w:ascii="Times New Roman" w:hAnsi="Times New Roman"/>
          <w:b w:val="0"/>
          <w:i w:val="0"/>
          <w:sz w:val="24"/>
        </w:rPr>
        <w:t>In this study, two engineered features are constructed from the physical definitions of the HDF and PWF failure modes. The first, temperature difference, is defined as:</w:t>
      </w:r>
    </w:p>
    <w:p>
      <w:pPr>
        <w:spacing w:before="80" w:after="80"/>
        <w:ind w:firstLine="0"/>
        <w:jc w:val="center"/>
      </w:pPr>
      <w:r>
        <w:rPr>
          <w:rFonts w:ascii="Times New Roman" w:hAnsi="Times New Roman"/>
          <w:b w:val="0"/>
          <w:i/>
          <w:sz w:val="24"/>
        </w:rPr>
        <w:t>temperature_difference = T_process - T_air</w:t>
      </w:r>
    </w:p>
    <w:p>
      <w:pPr>
        <w:spacing w:before="0" w:after="160"/>
        <w:ind w:firstLine="720"/>
        <w:jc w:val="both"/>
      </w:pPr>
      <w:r>
        <w:rPr>
          <w:rFonts w:ascii="Times New Roman" w:hAnsi="Times New Roman"/>
          <w:b w:val="0"/>
          <w:i w:val="0"/>
          <w:sz w:val="24"/>
        </w:rPr>
        <w:t>This feature directly operationalises the HDF threshold: the dataset's generation rules activate HDF when this difference falls below 8.6 K at low rotational speeds. By constructing this variable, the model is provided with a scalar that concentrates the thermal margin relevant to heat dissipation failure into a single discriminative value, rather than requiring it to infer the subtraction relationship from the two raw temperature columns considered separately. The second engineered feature, mechanical power, is defined as the instantaneous mechanical power in watts:</w:t>
      </w:r>
    </w:p>
    <w:p>
      <w:pPr>
        <w:spacing w:before="80" w:after="80"/>
        <w:ind w:firstLine="0"/>
        <w:jc w:val="center"/>
      </w:pPr>
      <w:r>
        <w:rPr>
          <w:rFonts w:ascii="Times New Roman" w:hAnsi="Times New Roman"/>
          <w:b w:val="0"/>
          <w:i/>
          <w:sz w:val="24"/>
        </w:rPr>
        <w:t>Mechanical Power [W] = Torque [Nm] x (RPM x 2pi / 60)</w:t>
      </w:r>
    </w:p>
    <w:p>
      <w:pPr>
        <w:spacing w:before="0" w:after="160"/>
        <w:ind w:firstLine="720"/>
        <w:jc w:val="both"/>
      </w:pPr>
      <w:r>
        <w:rPr>
          <w:rFonts w:ascii="Times New Roman" w:hAnsi="Times New Roman"/>
          <w:b w:val="0"/>
          <w:i w:val="0"/>
          <w:sz w:val="24"/>
        </w:rPr>
        <w:t>This feature directly operationalises the PWF threshold: PWF is triggered when this power value falls outside the range 3,500-9,000 W. Converting rotational speed from RPM to angular velocity in radians per second and multiplying by torque yields the physical power being consumed by the milling spindle, capturing the combined effect of load and speed in a single variable that is physically meaningful to maintenance engineers.</w:t>
      </w:r>
    </w:p>
    <w:p>
      <w:pPr>
        <w:spacing w:before="0" w:after="160"/>
        <w:ind w:firstLine="720"/>
        <w:jc w:val="both"/>
      </w:pPr>
      <w:r>
        <w:rPr>
          <w:rFonts w:ascii="Times New Roman" w:hAnsi="Times New Roman"/>
          <w:b w:val="0"/>
          <w:i w:val="0"/>
          <w:sz w:val="24"/>
        </w:rPr>
        <w:t>This approach has documented precedent in the literature on the AI4I 2020 dataset. Madan et al. (2023) explicitly engineer Power = Torque x RPM from the same dataset, citing its role as an important indicator of machine health and one of the most discriminative features in their comparative evaluation. Lei et al. (2018), in their systematic review of machinery health prognostics methods, argue that integrating domain knowledge into the feature construction process produces more reliable condition indicators than purely data-driven statistical approaches, particularly in small-to-medium dataset regimes where deep learning's automatic feature learning cannot be relied upon to surface latent physical relationships from limited samples. The two features constructed in this study are therefore not ad hoc transformations but deliberate operationalisations of the failure physics that generated the dataset.</w:t>
      </w:r>
    </w:p>
    <w:p>
      <w:pPr>
        <w:pStyle w:val="Heading3"/>
      </w:pPr>
      <w:r>
        <w:t>2.2.4  Supervised Machine Learning Algorithms for Binary Failure Classification</w:t>
      </w:r>
    </w:p>
    <w:p>
      <w:pPr>
        <w:spacing w:before="0" w:after="160"/>
        <w:jc w:val="both"/>
      </w:pPr>
      <w:r>
        <w:rPr>
          <w:rFonts w:ascii="Times New Roman" w:hAnsi="Times New Roman"/>
          <w:b w:val="0"/>
          <w:i w:val="0"/>
          <w:sz w:val="24"/>
        </w:rPr>
        <w:t>The study evaluates ten supervised classification algorithms drawn from the scikit-learn library (Pedregosa et al., 2011). Each algorithm is described below in terms of its learning mechanism, structural assumptions, known performance characteristics on tabular industrial data, and any particular sensitivity to preprocessing.</w:t>
      </w:r>
    </w:p>
    <w:p>
      <w:pPr>
        <w:spacing w:before="80" w:after="120"/>
        <w:ind w:firstLine="720"/>
        <w:jc w:val="both"/>
      </w:pPr>
      <w:r>
        <w:rPr>
          <w:rFonts w:ascii="Times New Roman" w:hAnsi="Times New Roman"/>
          <w:b/>
          <w:i w:val="0"/>
          <w:sz w:val="24"/>
        </w:rPr>
        <w:t xml:space="preserve">Logistic Regression </w:t>
      </w:r>
      <w:r>
        <w:rPr>
          <w:rFonts w:ascii="Times New Roman" w:hAnsi="Times New Roman"/>
          <w:b w:val="0"/>
          <w:i w:val="0"/>
          <w:sz w:val="24"/>
        </w:rPr>
        <w:t>models the probability that an observation belongs to the positive class by applying a sigmoid function to a linear combination of input features, estimating parameters by minimising binary cross-entropy via maximum likelihood (Hastie et al., 2009). It is computationally efficient, yields well-calibrated probability outputs, and is interpretable via regression coefficients. Its principal limitation is the linear decision boundary assumption, which may be inadequate for the non-linear interactions between torque, rotational speed, and temperature characteristic of failure onset in the AI4I 2020 dataset.</w:t>
      </w:r>
    </w:p>
    <w:p>
      <w:pPr>
        <w:spacing w:before="80" w:after="120"/>
        <w:ind w:firstLine="720"/>
        <w:jc w:val="both"/>
      </w:pPr>
      <w:r>
        <w:rPr>
          <w:rFonts w:ascii="Times New Roman" w:hAnsi="Times New Roman"/>
          <w:b/>
          <w:i w:val="0"/>
          <w:sz w:val="24"/>
        </w:rPr>
        <w:t xml:space="preserve">Logistic Regression CV </w:t>
      </w:r>
      <w:r>
        <w:rPr>
          <w:rFonts w:ascii="Times New Roman" w:hAnsi="Times New Roman"/>
          <w:b w:val="0"/>
          <w:i w:val="0"/>
          <w:sz w:val="24"/>
        </w:rPr>
        <w:t>is a variant that performs cross-validated selection of the regularisation strength parameter internally during training, evaluating multiple C values across folds and retaining the best-performing configuration (Pedregosa et al., 2011). By automating regularisation selection, it reduces the manual tuning burden while maintaining the interpretability and probability calibration properties of standard logistic regression. This makes it particularly useful in multi-algorithm comparative studies where hyperparameter effort must be standardised across classifiers.</w:t>
      </w:r>
    </w:p>
    <w:p>
      <w:pPr>
        <w:spacing w:before="80" w:after="120"/>
        <w:ind w:firstLine="720"/>
        <w:jc w:val="both"/>
      </w:pPr>
      <w:r>
        <w:rPr>
          <w:rFonts w:ascii="Times New Roman" w:hAnsi="Times New Roman"/>
          <w:b/>
          <w:i w:val="0"/>
          <w:sz w:val="24"/>
        </w:rPr>
        <w:t xml:space="preserve">SGD Classifier </w:t>
      </w:r>
      <w:r>
        <w:rPr>
          <w:rFonts w:ascii="Times New Roman" w:hAnsi="Times New Roman"/>
          <w:b w:val="0"/>
          <w:i w:val="0"/>
          <w:sz w:val="24"/>
        </w:rPr>
        <w:t>implements a logistic regression loss (and other linear models) via stochastic gradient descent, updating model parameters on individual training samples rather than computing the full gradient. This makes it computationally efficient for large-scale datasets but introduces sensitivity to learning rate, number of epochs, and feature scaling (Pedregosa et al., 2011). It is included in the comparison as a computationally lightweight linear baseline that complements the two logistic regression variants.</w:t>
      </w:r>
    </w:p>
    <w:p>
      <w:pPr>
        <w:spacing w:before="80" w:after="120"/>
        <w:ind w:firstLine="720"/>
        <w:jc w:val="both"/>
      </w:pPr>
      <w:r>
        <w:rPr>
          <w:rFonts w:ascii="Times New Roman" w:hAnsi="Times New Roman"/>
          <w:b/>
          <w:i w:val="0"/>
          <w:sz w:val="24"/>
        </w:rPr>
        <w:t xml:space="preserve">Decision Tree </w:t>
      </w:r>
      <w:r>
        <w:rPr>
          <w:rFonts w:ascii="Times New Roman" w:hAnsi="Times New Roman"/>
          <w:b w:val="0"/>
          <w:i w:val="0"/>
          <w:sz w:val="24"/>
        </w:rPr>
        <w:t>recursively partitions the feature space into binary regions using splitting rules that maximise information gain or minimise Gini impurity at each internal node (Hastie et al., 2009; Holmkvist, 2024). The resulting tree structure is highly interpretable — decision paths map directly to human-readable if-then rules — but individual trees are prone to overfitting the training data, particularly with noisy or imbalanced datasets, and exhibit high prediction variance across training samples. The decision tree is also the base learner that underpins all four ensemble methods included in the comparison.</w:t>
      </w:r>
    </w:p>
    <w:p>
      <w:pPr>
        <w:spacing w:before="80" w:after="120"/>
        <w:ind w:firstLine="720"/>
        <w:jc w:val="both"/>
      </w:pPr>
      <w:r>
        <w:rPr>
          <w:rFonts w:ascii="Times New Roman" w:hAnsi="Times New Roman"/>
          <w:b/>
          <w:i w:val="0"/>
          <w:sz w:val="24"/>
        </w:rPr>
        <w:t xml:space="preserve">Random Forest </w:t>
      </w:r>
      <w:r>
        <w:rPr>
          <w:rFonts w:ascii="Times New Roman" w:hAnsi="Times New Roman"/>
          <w:b w:val="0"/>
          <w:i w:val="0"/>
          <w:sz w:val="24"/>
        </w:rPr>
        <w:t>constructs an ensemble of decision trees, each grown on an independently drawn bootstrap sample of the training data with a randomly selected feature subset considered at each split (Breiman, 2001). The aggregation of diverse, decorrelated trees reduces prediction variance without increasing bias, producing a robust classifier that naturally handles non-linear feature interactions, mixed measurement scales, and moderate class imbalance. Feature importance is estimated as the mean decrease in impurity contribution across the ensemble. Empirically, Random Forest is the strongest-performing classifier on the AI4I 2020 dataset in comparable studies: Madan et al. (2023) report accuracy of 0.9935 and an F1-score of 0.9905 on AI4I 2020, outperforming Gradient Boosting, SVM, KNN, and Decision Tree; Holmkvist (2024) similarly identifies Random Forest as the top classifier on the same dataset; and Carvalho et al. (2019) note that ensemble methods, particularly Random Forest, dominate the predictive maintenance classification literature.</w:t>
      </w:r>
    </w:p>
    <w:p>
      <w:pPr>
        <w:spacing w:before="80" w:after="120"/>
        <w:ind w:firstLine="720"/>
        <w:jc w:val="both"/>
      </w:pPr>
      <w:r>
        <w:rPr>
          <w:rFonts w:ascii="Times New Roman" w:hAnsi="Times New Roman"/>
          <w:b/>
          <w:i w:val="0"/>
          <w:sz w:val="24"/>
        </w:rPr>
        <w:t xml:space="preserve">Gradient Boosting </w:t>
      </w:r>
      <w:r>
        <w:rPr>
          <w:rFonts w:ascii="Times New Roman" w:hAnsi="Times New Roman"/>
          <w:b w:val="0"/>
          <w:i w:val="0"/>
          <w:sz w:val="24"/>
        </w:rPr>
        <w:t>constructs a strong predictor by iteratively adding shallow decision trees, where each successive tree is fitted to the pseudo-residuals of the current ensemble — the gradient of the loss function with respect to the current model's predictions (Friedman, 2001). Regularisation through learning rate shrinkage and tree depth constraints reduces overfitting. Gradient Boosting is widely regarded as one of the strongest performers on structured tabular data and is the second-best classifier on the AI4I 2020 dataset in Madan et al. (2023), achieving an accuracy of 0.9915 and an F1-score of 0.9898.</w:t>
      </w:r>
    </w:p>
    <w:p>
      <w:pPr>
        <w:spacing w:before="80" w:after="120"/>
        <w:ind w:firstLine="720"/>
        <w:jc w:val="both"/>
      </w:pPr>
      <w:r>
        <w:rPr>
          <w:rFonts w:ascii="Times New Roman" w:hAnsi="Times New Roman"/>
          <w:b/>
          <w:i w:val="0"/>
          <w:sz w:val="24"/>
        </w:rPr>
        <w:t xml:space="preserve">AdaBoost </w:t>
      </w:r>
      <w:r>
        <w:rPr>
          <w:rFonts w:ascii="Times New Roman" w:hAnsi="Times New Roman"/>
          <w:b w:val="0"/>
          <w:i w:val="0"/>
          <w:sz w:val="24"/>
        </w:rPr>
        <w:t>generates a weighted ensemble by sequentially training weak classifiers on re-weighted training distributions, where misclassified samples receive increased weight at each iteration (Freund &amp; Schapire, 1997). Unlike Gradient Boosting's gradient-based framework, AdaBoost uses explicit instance reweighting and tends to be less robust to label noise and outliers. It is included as a representative early boosting algorithm for direct comparison against the more advanced Gradient Boosting implementation.</w:t>
      </w:r>
    </w:p>
    <w:p>
      <w:pPr>
        <w:spacing w:before="80" w:after="120"/>
        <w:ind w:firstLine="720"/>
        <w:jc w:val="both"/>
      </w:pPr>
      <w:r>
        <w:rPr>
          <w:rFonts w:ascii="Times New Roman" w:hAnsi="Times New Roman"/>
          <w:b/>
          <w:i w:val="0"/>
          <w:sz w:val="24"/>
        </w:rPr>
        <w:t xml:space="preserve">Bagging Classifier </w:t>
      </w:r>
      <w:r>
        <w:rPr>
          <w:rFonts w:ascii="Times New Roman" w:hAnsi="Times New Roman"/>
          <w:b w:val="0"/>
          <w:i w:val="0"/>
          <w:sz w:val="24"/>
        </w:rPr>
        <w:t>reduces model variance by training an ensemble of base classifiers, each on an independently drawn bootstrap sample of the training data, and aggregating their predictions by majority vote (Breiman, 1996). Unlike Random Forest, Bagging uses the full feature set at each split rather than a random feature subset, making it structurally simpler but potentially more correlated across base learners. It serves as a useful ablation baseline for assessing the added value of Random Forest's feature randomisation.</w:t>
      </w:r>
    </w:p>
    <w:p>
      <w:pPr>
        <w:spacing w:before="80" w:after="120"/>
        <w:ind w:firstLine="720"/>
        <w:jc w:val="both"/>
      </w:pPr>
      <w:r>
        <w:rPr>
          <w:rFonts w:ascii="Times New Roman" w:hAnsi="Times New Roman"/>
          <w:b/>
          <w:i w:val="0"/>
          <w:sz w:val="24"/>
        </w:rPr>
        <w:t xml:space="preserve">Support Vector Machine (SVC) </w:t>
      </w:r>
      <w:r>
        <w:rPr>
          <w:rFonts w:ascii="Times New Roman" w:hAnsi="Times New Roman"/>
          <w:b w:val="0"/>
          <w:i w:val="0"/>
          <w:sz w:val="24"/>
        </w:rPr>
        <w:t>constructs a maximum-margin decision hyperplane in a kernel-transformed feature space (Cortes &amp; Vapnik, 1995). With a radial basis function (RBF) kernel, it can model non-linear decision boundaries of arbitrary complexity. SVM is effective in moderately high-dimensional spaces and has a strong theoretical foundation in statistical learning theory. However, it requires feature standardisation: because the algorithm computes distances in the input feature space, features with larger magnitudes dominate the margin calculation unless normalised to a common scale (Holmkvist, 2024). Training complexity also scales super-linearly with dataset size. Madan et al. (2023) report SVM at an accuracy of 0.965 on the AI4I 2020 dataset, below all ensemble methods but above KNN.</w:t>
      </w:r>
    </w:p>
    <w:p>
      <w:pPr>
        <w:spacing w:before="80" w:after="120"/>
        <w:ind w:firstLine="720"/>
        <w:jc w:val="both"/>
      </w:pPr>
      <w:r>
        <w:rPr>
          <w:rFonts w:ascii="Times New Roman" w:hAnsi="Times New Roman"/>
          <w:b/>
          <w:i w:val="0"/>
          <w:sz w:val="24"/>
        </w:rPr>
        <w:t xml:space="preserve">K-Nearest Neighbours (KNeighborsClassifier) </w:t>
      </w:r>
      <w:r>
        <w:rPr>
          <w:rFonts w:ascii="Times New Roman" w:hAnsi="Times New Roman"/>
          <w:b w:val="0"/>
          <w:i w:val="0"/>
          <w:sz w:val="24"/>
        </w:rPr>
        <w:t>assigns class labels to test observations by majority vote among the k nearest training samples in feature space, measured by Euclidean distance (Cover &amp; Hart, 1967). It is a non-parametric, instance-based method with no explicit training phase, making it simple to implement but computationally expensive at prediction time for large datasets. Its performance is sensitive to feature scaling — unscaled features with large magnitude ranges dominate the distance metric — and to class imbalance, as majority-class samples tend to outnumber minority-class samples in the neighbourhood of failure boundary points. Madan et al. (2023) report KNN at an accuracy of 0.973 on AI4I 2020, below the ensemble methods.</w:t>
      </w:r>
    </w:p>
    <w:p>
      <w:pPr>
        <w:pStyle w:val="Heading3"/>
      </w:pPr>
      <w:r>
        <w:t>2.2.5  Class Imbalance in Predictive Maintenance</w:t>
      </w:r>
    </w:p>
    <w:p>
      <w:pPr>
        <w:spacing w:before="0" w:after="160"/>
        <w:ind w:firstLine="720"/>
        <w:jc w:val="both"/>
      </w:pPr>
      <w:r>
        <w:rPr>
          <w:rFonts w:ascii="Times New Roman" w:hAnsi="Times New Roman"/>
          <w:b w:val="0"/>
          <w:i w:val="0"/>
          <w:sz w:val="24"/>
        </w:rPr>
        <w:t>Class imbalance arises when the distribution of observations across target classes is substantially asymmetric. In industrial predictive maintenance datasets, failures are inherently rare relative to normal operating conditions — the AI4I 2020 dataset's 3.39% failure rate exemplifies this pattern, and Carvalho et al. (2019) note that imbalance ratios in the wider industrial literature range from 10:1 to over 10,000:1. The effect of class imbalance on standard supervised classifiers is well-documented: models trained without correction are biased toward the majority class, achieving high overall accuracy by predicting normal operation for virtually every observation while systematically misclassifying failure instances (He &amp; Garcia, 2009). For predictive maintenance applications, this systematic failure to detect the minority class is the most operationally costly error type: an undetected impending failure leads to unplanned machine downtime, production losses, and potential safety hazards — consequences that are substantially more expensive than a false maintenance alert.</w:t>
      </w:r>
    </w:p>
    <w:p>
      <w:pPr>
        <w:spacing w:before="0" w:after="160"/>
        <w:ind w:firstLine="720"/>
        <w:jc w:val="both"/>
      </w:pPr>
      <w:r>
        <w:rPr>
          <w:rFonts w:ascii="Times New Roman" w:hAnsi="Times New Roman"/>
          <w:b w:val="0"/>
          <w:i w:val="0"/>
          <w:sz w:val="24"/>
        </w:rPr>
        <w:t>The Synthetic Minority Oversampling Technique (SMOTE), introduced by Chawla et al. (2002), addresses class imbalance at the data level by generating synthetic minority-class samples through linear interpolation between existing minority-class observations in feature space. For each minority-class sample, SMOTE identifies its k nearest minority-class neighbours and constructs synthetic instances at randomly selected positions along the feature-space line segments connecting them. This strategy expands the minority-class decision boundary rather than simply duplicating existing samples, reducing the classifier's tendency to overfit narrow, isolated minority-class regions. SMOTE has become the most widely applied oversampling technique in the predictive maintenance classification literature, and its theoretical properties and empirical effectiveness have been extensively validated (Carvalho et al., 2019; He &amp; Garcia, 2009).</w:t>
      </w:r>
    </w:p>
    <w:p>
      <w:pPr>
        <w:spacing w:before="0" w:after="160"/>
        <w:ind w:firstLine="720"/>
        <w:jc w:val="both"/>
      </w:pPr>
      <w:r>
        <w:rPr>
          <w:rFonts w:ascii="Times New Roman" w:hAnsi="Times New Roman"/>
          <w:b w:val="0"/>
          <w:i w:val="0"/>
          <w:sz w:val="24"/>
        </w:rPr>
        <w:t>A critical methodological issue concerns the placement of SMOTE within the model evaluation pipeline. When SMOTE is applied to the complete training set before cross-validation, synthetic samples generated from the full training population are distributed across all subsequent folds. Because these synthetic samples are interpolations of real training observations drawn from the same population as the validation fold, their presence in a validation fold violates the assumption of independence between training and validation data, producing upwardly biased performance estimates that do not reflect the model's true generalisation capability (Blagus &amp; Lusa, 2012). The methodologically correct implementation confines SMOTE strictly to the training portion of each cross-validation fold. This is achieved programmatically by encapsulating the SMOTE transformation within a pipeline — specifically the imblearn.pipeline.Pipeline class provided by the imbalanced-learn library (Lemaître et al., 2017). Pipeline-enclosed SMOTE guarantees that synthetic samples are generated exclusively from each fold's training data and are never exposed during validation. This pipeline-level methodological rigour is absent from all comparable AI4I 2020 studies identified in the literature: Madan et al. (2023) apply no class rebalancing at all, and Holmkvist (2024) similarly forgoes oversampling, identifying it as a limitation and an avenue for future work.</w:t>
      </w:r>
    </w:p>
    <w:p>
      <w:pPr>
        <w:pStyle w:val="Heading3"/>
      </w:pPr>
      <w:r>
        <w:t>2.2.6  Categorical Variable Encoding</w:t>
      </w:r>
    </w:p>
    <w:p>
      <w:pPr>
        <w:spacing w:before="0" w:after="160"/>
        <w:ind w:firstLine="720"/>
        <w:jc w:val="both"/>
      </w:pPr>
      <w:r>
        <w:rPr>
          <w:rFonts w:ascii="Times New Roman" w:hAnsi="Times New Roman"/>
          <w:b w:val="0"/>
          <w:i w:val="0"/>
          <w:sz w:val="24"/>
        </w:rPr>
        <w:t>The AI4I 2020 dataset's Type variable — a three-level categorical indicator (H, M, L) encoding product quality grade — cannot be used directly as a numeric input by machine learning algorithms and must be encoded before training. In this study, label encoding is applied using scikit-learn's LabelEncoder, which maps the three categories to integer codes through an alphabetically ordered mapping: H-&gt;0, L-&gt;1, M-&gt;2 (Pedregosa et al., 2011). For tree-based classifiers — Decision Tree, Random Forest, Gradient Boosting, AdaBoost, and Bagging — this encoding is functionally appropriate. These algorithms partition the feature space by testing threshold conditions on individual feature values, and any monotonic re-labelling of a nominal variable produces equivalent splitting behaviour: the tree can recover any intended grouping by partitioning at any threshold value, regardless of the order assigned to the categories (Hastie et al., 2009).</w:t>
      </w:r>
    </w:p>
    <w:p>
      <w:pPr>
        <w:spacing w:before="0" w:after="160"/>
        <w:ind w:firstLine="720"/>
        <w:jc w:val="both"/>
      </w:pPr>
      <w:r>
        <w:rPr>
          <w:rFonts w:ascii="Times New Roman" w:hAnsi="Times New Roman"/>
          <w:b w:val="0"/>
          <w:i w:val="0"/>
          <w:sz w:val="24"/>
        </w:rPr>
        <w:t>For distance-based and linear algorithms — SVM, KNN, Logistic Regression, and SGD — integer label coding introduces an implicit ordinal assumption. The encoded ordering H &lt; L &lt; M causes these algorithms to infer a magnitude relationship that does not meaningfully exist between the three product grades, potentially distorting distance calculations and linear decision boundaries. This is a known limitation of applying label encoding to nominal variables in heterogeneous multi-algorithm comparisons (Hastie et al., 2009). In the context of the present study, the encoding decision is fully consistent with the primary model (Random Forest) and represents a minor assumption risk for the linear and distance-based baselines. The primary objective of the comparative evaluation is to identify the best-performing algorithm, not to fully optimise every baseline, and the uniform preprocessing pipeline ensures that all classifiers operate on identical feature representations.</w:t>
      </w:r>
    </w:p>
    <w:p>
      <w:pPr>
        <w:pStyle w:val="Heading3"/>
      </w:pPr>
      <w:r>
        <w:t>2.2.7  Feature Scaling</w:t>
      </w:r>
    </w:p>
    <w:p>
      <w:pPr>
        <w:spacing w:before="0" w:after="160"/>
        <w:ind w:firstLine="720"/>
        <w:jc w:val="both"/>
      </w:pPr>
      <w:r>
        <w:rPr>
          <w:rFonts w:ascii="Times New Roman" w:hAnsi="Times New Roman"/>
          <w:b w:val="0"/>
          <w:i w:val="0"/>
          <w:sz w:val="24"/>
        </w:rPr>
        <w:t>Feature scaling transforms numerical features to a common magnitude range prior to model training. Standardisation, also termed Z-score normalisation, is the scaling method applied in this study. For each feature, the training-set mean is subtracted and the result is divided by the training-set standard deviation, yielding a transformed variable with zero mean and unit variance:</w:t>
      </w:r>
    </w:p>
    <w:p>
      <w:pPr>
        <w:spacing w:before="80" w:after="80"/>
        <w:ind w:firstLine="0"/>
        <w:jc w:val="center"/>
      </w:pPr>
      <w:r>
        <w:rPr>
          <w:rFonts w:ascii="Times New Roman" w:hAnsi="Times New Roman"/>
          <w:b w:val="0"/>
          <w:i/>
          <w:sz w:val="24"/>
        </w:rPr>
        <w:t>x_scaled = (x - mean_train) / std_train</w:t>
      </w:r>
    </w:p>
    <w:p>
      <w:pPr>
        <w:spacing w:before="0" w:after="160"/>
        <w:ind w:firstLine="720"/>
        <w:jc w:val="both"/>
      </w:pPr>
      <w:r>
        <w:rPr>
          <w:rFonts w:ascii="Times New Roman" w:hAnsi="Times New Roman"/>
          <w:b w:val="0"/>
          <w:i w:val="0"/>
          <w:sz w:val="24"/>
        </w:rPr>
        <w:t>The scaler is fitted exclusively on training data and applied without refitting to both training and held-out test sets. Fitting the scaler on the combined dataset would constitute test-set information leakage: the test set's statistical properties would influence the transformation applied during training, producing an evaluation that does not reflect genuine out-of-sample performance (Carvalho et al., 2019).</w:t>
      </w:r>
    </w:p>
    <w:p>
      <w:pPr>
        <w:spacing w:before="0" w:after="160"/>
        <w:ind w:firstLine="720"/>
        <w:jc w:val="both"/>
      </w:pPr>
      <w:r>
        <w:rPr>
          <w:rFonts w:ascii="Times New Roman" w:hAnsi="Times New Roman"/>
          <w:b w:val="0"/>
          <w:i w:val="0"/>
          <w:sz w:val="24"/>
        </w:rPr>
        <w:t>The practical necessity of scaling is algorithm-dependent. Distance-based algorithms — SVM and KNN — compute similarity or margin in the original feature space; without scaling, a feature measured in thousands of RPM would dominate a feature measured in single-digit torque values, producing systematically distorted distance and margin calculations. Gradient-based linear algorithms — Logistic Regression and SGD Classifier — are similarly sensitive to feature magnitude because gradient steps are proportional to feature values. Tree-based algorithms — Decision Tree, Random Forest, Gradient Boosting, AdaBoost, and Bagging — are invariant to monotonic feature transformations; they construct splits from rank-ordered threshold values and are unaffected by linear rescaling. Holmkvist (2024) confirms this empirically, noting that standardisation is unnecessary for Decision Trees and Random Forest but materially improves SVM performance. Applying standardisation uniformly across all ten algorithms in this study simplifies the experimental pipeline without disadvantaging any classifier.</w:t>
      </w:r>
    </w:p>
    <w:p>
      <w:pPr>
        <w:pStyle w:val="Heading3"/>
      </w:pPr>
      <w:r>
        <w:t>2.2.8  Model Evaluation for Imbalanced Binary Classification</w:t>
      </w:r>
    </w:p>
    <w:p>
      <w:pPr>
        <w:spacing w:before="0" w:after="160"/>
        <w:jc w:val="both"/>
      </w:pPr>
      <w:r>
        <w:rPr>
          <w:rFonts w:ascii="Times New Roman" w:hAnsi="Times New Roman"/>
          <w:b w:val="0"/>
          <w:i w:val="0"/>
          <w:sz w:val="24"/>
        </w:rPr>
        <w:t>Evaluating machine learning models on imbalanced datasets requires a suite of metrics that jointly characterise performance across both classes rather than relying on overall accuracy as a sole criterion. This study employs five complementary metrics — accuracy, precision, recall, F1-score, and AUC-ROC — supplemented by a confusion matrix and a Precision-Recall curve. Their theoretical foundations are established in this section.</w:t>
      </w:r>
    </w:p>
    <w:p>
      <w:pPr>
        <w:spacing w:before="0" w:after="160"/>
        <w:ind w:firstLine="720"/>
        <w:jc w:val="both"/>
      </w:pPr>
      <w:r>
        <w:rPr>
          <w:rFonts w:ascii="Times New Roman" w:hAnsi="Times New Roman"/>
          <w:b w:val="0"/>
          <w:i w:val="0"/>
          <w:sz w:val="24"/>
        </w:rPr>
        <w:t>Accuracy measures the proportion of all predictions that are correct: (TP + TN) / (TP + TN + FP + FN). With a 3.39% failure rate, a degenerate classifier that always predicts no failure achieves 96.61% accuracy without detecting a single failure event. Holmkvist (2024) identifies this explicitly as the central limitation of accuracy as a metric for imbalanced predictive maintenance datasets, and He and Garcia (2009) provide the theoretical grounding: because accuracy weights per-class performance by class frequency, the majority class dominates the metric under severe imbalance. In this study, accuracy is reported in the comparative phase for reference but is explicitly secondary to minority-class metrics.</w:t>
      </w:r>
    </w:p>
    <w:p>
      <w:pPr>
        <w:spacing w:before="0" w:after="160"/>
        <w:ind w:firstLine="720"/>
        <w:jc w:val="both"/>
      </w:pPr>
      <w:r>
        <w:rPr>
          <w:rFonts w:ascii="Times New Roman" w:hAnsi="Times New Roman"/>
          <w:b w:val="0"/>
          <w:i w:val="0"/>
          <w:sz w:val="24"/>
        </w:rPr>
        <w:t>Precision measures the fraction of positive predictions that are correct: TP / (TP + FP). A high precision value indicates a low false alarm rate, which is practically important in industrial settings where unnecessary maintenance alerts incur redundant labour and production disruption costs. Recall measures the fraction of actual failure instances that are correctly detected: TP / (TP + FN). High recall is operationally critical in predictive maintenance because undetected failures — false negatives — result in unplanned breakdowns, production losses, and equipment damage. The F1-score is the harmonic mean of precision and recall: F1 = 2 x (Precision x Recall) / (Precision + Recall). The harmonic mean penalises extreme imbalances between the two metrics more severely than the arithmetic mean, making it the appropriate aggregate measure for binary classification on imbalanced datasets (Holmkvist, 2024). The F1-score also serves as the optimisation criterion for hyperparameter tuning in this study: using accuracy for this purpose would reward hyperparameter configurations that improve majority-class prediction at the expense of minority-class recall.</w:t>
      </w:r>
    </w:p>
    <w:p>
      <w:pPr>
        <w:spacing w:before="0" w:after="160"/>
        <w:ind w:firstLine="720"/>
        <w:jc w:val="both"/>
      </w:pPr>
      <w:r>
        <w:rPr>
          <w:rFonts w:ascii="Times New Roman" w:hAnsi="Times New Roman"/>
          <w:b w:val="0"/>
          <w:i w:val="0"/>
          <w:sz w:val="24"/>
        </w:rPr>
        <w:t>The Area Under the Receiver Operating Characteristic Curve (AUC-ROC) measures the classifier's capacity to discriminate between failure and non-failure cases across all decision thresholds, summarised as the area under the curve of true positive rate plotted against false positive rate (Fawcett, 2006). A value of 1.0 indicates perfect discrimination; 0.5 corresponds to random guessing. For heavily imbalanced datasets, Davis and Goadrich (2006) recommend supplementing ROC analysis with the Precision-Recall curve, which plots precision against recall and is more sensitive to changes in minority-class detection performance when true negatives are abundant. Both evaluation curves are generated for the final tuned model in Chapter Four.</w:t>
      </w:r>
    </w:p>
    <w:p>
      <w:pPr>
        <w:spacing w:before="0" w:after="160"/>
        <w:ind w:firstLine="720"/>
        <w:jc w:val="both"/>
      </w:pPr>
      <w:r>
        <w:rPr>
          <w:rFonts w:ascii="Times New Roman" w:hAnsi="Times New Roman"/>
          <w:b w:val="0"/>
          <w:i w:val="0"/>
          <w:sz w:val="24"/>
        </w:rPr>
        <w:t>Stratified K-Fold cross-validation provides more stable performance estimates on the training data than a single evaluation split. With only approximately 305 failure instances in the 9,000-record training set, a single assessment fold contains too few failure instances for statistically reliable metric estimation. Stratified folding preserves the 3.39% failure rate within each fold, preventing degenerate folds that would contain no failure instances, and produces metrics averaged over multiple independent held-out subsets (Pedregosa et al., 2011). Three-fold stratified cross-validation is used in this study for both the cross-validation analysis of the selected model and the RandomizedSearchCV hyperparameter tuning procedure.</w:t>
      </w:r>
    </w:p>
    <w:p>
      <w:pPr>
        <w:pStyle w:val="Heading3"/>
      </w:pPr>
      <w:r>
        <w:t>2.2.9  Hyperparameter Optimisation</w:t>
      </w:r>
    </w:p>
    <w:p>
      <w:pPr>
        <w:spacing w:before="0" w:after="160"/>
        <w:ind w:firstLine="720"/>
        <w:jc w:val="both"/>
      </w:pPr>
      <w:r>
        <w:rPr>
          <w:rFonts w:ascii="Times New Roman" w:hAnsi="Times New Roman"/>
          <w:b w:val="0"/>
          <w:i w:val="0"/>
          <w:sz w:val="24"/>
        </w:rPr>
        <w:t>Machine learning algorithms possess hyperparameters — configuration values set before training that govern the learning process and are not updated by the training algorithm itself. For Random Forest, the principal hyperparameters are the number of trees (n_estimators), maximum tree depth (max_depth), minimum number of samples required to split an internal node (min_samples_split), minimum samples required at a leaf node (min_samples_leaf), and the number of features randomly selected at each split (max_features). The default values provided by scikit-learn are statistically reasonable starting configurations but are not optimised for any specific dataset or class distribution (Pedregosa et al., 2011).</w:t>
      </w:r>
    </w:p>
    <w:p>
      <w:pPr>
        <w:spacing w:before="0" w:after="160"/>
        <w:ind w:firstLine="720"/>
        <w:jc w:val="both"/>
      </w:pPr>
      <w:r>
        <w:rPr>
          <w:rFonts w:ascii="Times New Roman" w:hAnsi="Times New Roman"/>
          <w:b w:val="0"/>
          <w:i w:val="0"/>
          <w:sz w:val="24"/>
        </w:rPr>
        <w:t>Grid search evaluates all possible combinations from a predefined discrete parameter grid, guaranteeing that the global optimum within the grid is found at a computational cost that grows multiplicatively with the number of parameters and values considered. Bergstra and Bengio (2012) demonstrated, through theoretical analysis and empirical benchmarks, that random search — sampling configurations uniformly from parameter distributions rather than evaluating a structured grid — achieves equivalent or superior results for most hyperparameter optimisation tasks. The key insight is that model performance is highly non-uniform with respect to different hyperparameters: most of the performance gain is concentrated in a small subset of sensitive parameters, and random sampling devotes more of the search budget to exploring the high-sensitivity dimensions than grid search does. In this study, RandomizedSearchCV from scikit-learn is applied to the Random Forest pipeline, sampling 20 configurations from the joint distribution of the five parameters specified above, evaluated using three-fold stratified cross-validation with the F1-score as the scoring criterion. This configuration balances search thoroughness against computational cost while prioritising configurations that improve failure class detection over those that merely improve majority-class accuracy.</w:t>
      </w:r>
    </w:p>
    <w:p>
      <w:pPr>
        <w:pStyle w:val="Heading2"/>
      </w:pPr>
      <w:r>
        <w:t>2.3  Empirical Review</w:t>
      </w:r>
    </w:p>
    <w:p>
      <w:pPr>
        <w:spacing w:before="0" w:after="160"/>
        <w:jc w:val="both"/>
      </w:pPr>
      <w:r>
        <w:rPr>
          <w:rFonts w:ascii="Times New Roman" w:hAnsi="Times New Roman"/>
          <w:b w:val="0"/>
          <w:i w:val="0"/>
          <w:sz w:val="24"/>
        </w:rPr>
        <w:t>This section reviews six prior empirical studies that are directly comparable to the present work in terms of dataset, algorithmic scope, or methodological design. Each study is examined for its objectives, dataset, methodology, results, and limitations, with explicit attention to the gaps that the present study is designed to address.</w:t>
      </w:r>
    </w:p>
    <w:p>
      <w:pPr>
        <w:pStyle w:val="Heading3"/>
      </w:pPr>
      <w:r>
        <w:t>2.3.1  Madan et al. (2023): Comparative ML on the AI4I 2020 Dataset</w:t>
      </w:r>
    </w:p>
    <w:p>
      <w:pPr>
        <w:spacing w:before="0" w:after="160"/>
        <w:ind w:firstLine="720"/>
        <w:jc w:val="both"/>
      </w:pPr>
      <w:r>
        <w:rPr>
          <w:rFonts w:ascii="Times New Roman" w:hAnsi="Times New Roman"/>
          <w:b w:val="0"/>
          <w:i w:val="0"/>
          <w:sz w:val="24"/>
        </w:rPr>
        <w:t>Madan, Joshi, Gupta, and Shubham (2023) published one of the most directly comparable studies to the present work, evaluating six supervised machine learning classifiers on the AI4I 2020 Predictive Maintenance Dataset. The study used an 80/20 stratified train-test split and evaluated Support Vector Machine, Random Forest, K-Nearest Neighbours, Decision Tree, Gradient Boosting, and a Multilayer Perceptron neural network, reporting accuracy, precision, recall, and F1-score for each classifier. Importantly, the study also constructed a physics-derived feature — Power, defined as the product of torque and rotational speed — from the dataset's operational parameters, directly paralleling the mechanical power feature engineered in the present study.</w:t>
      </w:r>
    </w:p>
    <w:p>
      <w:pPr>
        <w:spacing w:before="0" w:after="160"/>
        <w:ind w:firstLine="720"/>
        <w:jc w:val="both"/>
      </w:pPr>
      <w:r>
        <w:rPr>
          <w:rFonts w:ascii="Times New Roman" w:hAnsi="Times New Roman"/>
          <w:b w:val="0"/>
          <w:i w:val="0"/>
          <w:sz w:val="24"/>
        </w:rPr>
        <w:t>The results established a clear performance hierarchy on the AI4I 2020 dataset. Random Forest achieved the highest accuracy at 0.9935 and the highest F1-score at 0.9905, followed by Gradient Boosting at 0.9915 accuracy and 0.9898 F1-score, and Decision Tree at 0.9865 accuracy. Support Vector Machine achieved 0.965 accuracy and K-Nearest Neighbours 0.973 accuracy, both below all ensemble methods. The Multilayer Perceptron achieved 0.9785 accuracy. These results provide strong empirical grounding for the expectation that Random Forest will outperform the other classifiers in the present study and establish an external performance benchmark against which this study's results can be contextualised.</w:t>
      </w:r>
    </w:p>
    <w:p>
      <w:pPr>
        <w:spacing w:before="0" w:after="160"/>
        <w:ind w:firstLine="720"/>
        <w:jc w:val="both"/>
      </w:pPr>
      <w:r>
        <w:rPr>
          <w:rFonts w:ascii="Times New Roman" w:hAnsi="Times New Roman"/>
          <w:b w:val="0"/>
          <w:i w:val="0"/>
          <w:sz w:val="24"/>
        </w:rPr>
        <w:t>The study carries three significant methodological limitations that the present work directly addresses. First, no class rebalancing technique was applied, meaning all classifiers were trained on the raw 29:1 imbalanced training set. The study's performance metrics are therefore measured against a model that has not been given the opportunity to learn minority-class boundaries from synthetic samples. Second, no cross-validation was performed; performance was estimated from a single 80/20 split, introducing instability from the random composition of the 29:1 imbalanced test set. Third, no hyperparameter tuning was applied to any classifier; all models ran at scikit-learn default parameters, leaving performance gains on the table. The present study addresses all three limitations through SMOTE-within-pipeline rebalancing, stratified cross-validation, and F1-optimised RandomizedSearchCV tuning.</w:t>
      </w:r>
    </w:p>
    <w:p>
      <w:pPr>
        <w:pStyle w:val="Heading3"/>
      </w:pPr>
      <w:r>
        <w:t>2.3.2  Holmkvist (2024): ML Algorithm Evaluation for Predictive Maintenance in SMEs</w:t>
      </w:r>
    </w:p>
    <w:p>
      <w:pPr>
        <w:spacing w:before="0" w:after="160"/>
        <w:ind w:firstLine="720"/>
        <w:jc w:val="both"/>
      </w:pPr>
      <w:r>
        <w:rPr>
          <w:rFonts w:ascii="Times New Roman" w:hAnsi="Times New Roman"/>
          <w:b w:val="0"/>
          <w:i w:val="0"/>
          <w:sz w:val="24"/>
        </w:rPr>
        <w:t>Holmkvist (2024) conducted a comparative evaluation of five supervised classifiers — Logistic Regression, Decision Tree, Random Forest, Support Vector Machine, and XGBoost — on the AI4I 2020 Predictive Maintenance Dataset, motivated by the needs of small and medium-sized enterprises (SMEs) with constrained computational resources. The study evaluated each algorithm across five independent runs with different random seeds, reporting the average accuracy, precision, recall, F1-score, and AUC-ROC to account for run-to-run variability. It also measured training time and memory consumption, making it the only identified AI4I 2020 study to incorporate computational efficiency alongside predictive performance in its evaluation framework.</w:t>
      </w:r>
    </w:p>
    <w:p>
      <w:pPr>
        <w:spacing w:before="0" w:after="160"/>
        <w:ind w:firstLine="720"/>
        <w:jc w:val="both"/>
      </w:pPr>
      <w:r>
        <w:rPr>
          <w:rFonts w:ascii="Times New Roman" w:hAnsi="Times New Roman"/>
          <w:b w:val="0"/>
          <w:i w:val="0"/>
          <w:sz w:val="24"/>
        </w:rPr>
        <w:t>Holmkvist's results positioned Random Forest and XGBoost as the two strongest classifiers on the AI4I 2020 dataset, corroborating the findings of Madan et al. (2023) and providing a second independent confirmation of Random Forest's dominance on this benchmark. The study also makes an explicit and theoretically important observation that is absent from Madan et al. (2023): that overall accuracy is an unreliable performance metric for imbalanced datasets, because a classifier that predicts the majority class for every observation achieves high accuracy without detecting any failure event. Holmkvist accordingly emphasises precision, recall, F1-score, and AUC-ROC as the primary evaluation criteria — the same suite adopted in the present study.</w:t>
      </w:r>
    </w:p>
    <w:p>
      <w:pPr>
        <w:spacing w:before="0" w:after="160"/>
        <w:ind w:firstLine="720"/>
        <w:jc w:val="both"/>
      </w:pPr>
      <w:r>
        <w:rPr>
          <w:rFonts w:ascii="Times New Roman" w:hAnsi="Times New Roman"/>
          <w:b w:val="0"/>
          <w:i w:val="0"/>
          <w:sz w:val="24"/>
        </w:rPr>
        <w:t>The principal limitation of Holmkvist (2024) is the absence of any class rebalancing technique. The study does not apply SMOTE or any equivalent oversampling method, and acknowledges this as a limitation and a direction for future work. No cross-validation was performed beyond the five-run repetition for stability estimation, and no hyperparameter tuning was applied. The study also performs no feature engineering beyond using the raw dataset columns, meaning the temperature difference and mechanical power features that exploit the dataset's failure physics are not present. These gaps, identified explicitly by the study itself, correspond directly to the methodological contributions of the present work.</w:t>
      </w:r>
    </w:p>
    <w:p>
      <w:pPr>
        <w:pStyle w:val="Heading3"/>
      </w:pPr>
      <w:r>
        <w:t>2.3.3  Rayarao and Rayarao (2024): Failure Cost Analysis on AI4I 2020</w:t>
      </w:r>
    </w:p>
    <w:p>
      <w:pPr>
        <w:spacing w:before="0" w:after="160"/>
        <w:ind w:firstLine="720"/>
        <w:jc w:val="both"/>
      </w:pPr>
      <w:r>
        <w:rPr>
          <w:rFonts w:ascii="Times New Roman" w:hAnsi="Times New Roman"/>
          <w:b w:val="0"/>
          <w:i w:val="0"/>
          <w:sz w:val="24"/>
        </w:rPr>
        <w:t>Rayarao and Rayarao (2024) applied the AI4I 2020 dataset not to supervised classification but to a descriptive failure trend and cost impact analysis. The study segmented failure events by failure type, product type, and temporal period, computing the financial cost associated with each failure category and identifying Heat Dissipation Failure as the dominant contributor to maintenance costs. The authors report that HDF accounted for approximately 74.9% of total maintenance costs across the dataset, with Overstrain Failure at 11.6% and Power Failure at 9.6%. Product Type L machines exhibited the highest failure incidence, concentrated in HDF and OSF categories, while Product Type H machines showed the lowest failure rates. The study also identified Year 3 within the dataset's temporal structure as a period of elevated failure rates at 7.7%, suggesting the presence of operational stressors or equipment degradation accumulated over time.</w:t>
      </w:r>
    </w:p>
    <w:p>
      <w:pPr>
        <w:spacing w:before="0" w:after="160"/>
        <w:ind w:firstLine="720"/>
        <w:jc w:val="both"/>
      </w:pPr>
      <w:r>
        <w:rPr>
          <w:rFonts w:ascii="Times New Roman" w:hAnsi="Times New Roman"/>
          <w:b w:val="0"/>
          <w:i w:val="0"/>
          <w:sz w:val="24"/>
        </w:rPr>
        <w:t>The principal contribution of Rayarao and Rayarao (2024) to the present study is contextual rather than methodological: it establishes the economic hierarchy of the AI4I 2020 failure modes and demonstrates why HDF — the failure mode whose physical threshold is operationalised in the temperature difference feature — is the most operationally consequential. This cost-impact framing provides an industrial justification for prioritising the recall of HDF-linked failures over generic accuracy maximisation, reinforcing the study's choice to use F1-score as the tuning criterion. The study does not perform machine learning classification, hyperparameter optimisation, or class rebalancing, and its contribution to the present work is therefore restricted to the dataset characterisation and failure economics it provides.</w:t>
      </w:r>
    </w:p>
    <w:p>
      <w:pPr>
        <w:pStyle w:val="Heading3"/>
      </w:pPr>
      <w:r>
        <w:t>2.3.4  Carvalho et al. (2019): Systematic Review of ML for Predictive Maintenance</w:t>
      </w:r>
    </w:p>
    <w:p>
      <w:pPr>
        <w:spacing w:before="0" w:after="160"/>
        <w:ind w:firstLine="720"/>
        <w:jc w:val="both"/>
      </w:pPr>
      <w:r>
        <w:rPr>
          <w:rFonts w:ascii="Times New Roman" w:hAnsi="Times New Roman"/>
          <w:b w:val="0"/>
          <w:i w:val="0"/>
          <w:sz w:val="24"/>
        </w:rPr>
        <w:t>Carvalho, Soares, Vita, Francisco, Basto, and Alcala (2019) published a systematic literature review of machine learning methods applied to predictive maintenance, examining 93 primary studies drawn from IEEE Xplore, ScienceDirect, and Springer published between 2010 and 2019. The review categorised studies by maintenance strategy, ML algorithm type, application domain, dataset characteristics, and evaluation methodology, providing a comprehensive empirical mapping of the state of the field at the time of its publication.</w:t>
      </w:r>
    </w:p>
    <w:p>
      <w:pPr>
        <w:spacing w:before="0" w:after="160"/>
        <w:ind w:firstLine="720"/>
        <w:jc w:val="both"/>
      </w:pPr>
      <w:r>
        <w:rPr>
          <w:rFonts w:ascii="Times New Roman" w:hAnsi="Times New Roman"/>
          <w:b w:val="0"/>
          <w:i w:val="0"/>
          <w:sz w:val="24"/>
        </w:rPr>
        <w:t>Several findings from Carvalho et al. (2019) are directly relevant to the design of the present study. First, the review confirmed that Random Forest and Support Vector Machine are the two most frequently applied algorithms across the predictive maintenance literature, appearing in the majority of reviewed studies that employ supervised classification. This prevalence provides additional empirical justification for their inclusion in the ten-classifier comparison, beyond their individual theoretical merits. Second, the review identified class imbalance as the most consistently reported data quality challenge in industrial predictive maintenance, with failure rates typically below 5% in industrial datasets. Third, the authors highlighted data leakage — particularly the improper inclusion of target-correlated condition indicator columns as input features — as a methodological flaw observed in a non-trivial proportion of reviewed studies, producing reported performance figures that cannot be reproduced in real deployment. Fourth, the review noted that the majority of studies evaluate models on a single train-test split without cross-validation, limiting the statistical reliability of their performance estimates.</w:t>
      </w:r>
    </w:p>
    <w:p>
      <w:pPr>
        <w:spacing w:before="0" w:after="160"/>
        <w:ind w:firstLine="720"/>
        <w:jc w:val="both"/>
      </w:pPr>
      <w:r>
        <w:rPr>
          <w:rFonts w:ascii="Times New Roman" w:hAnsi="Times New Roman"/>
          <w:b w:val="0"/>
          <w:i w:val="0"/>
          <w:sz w:val="24"/>
        </w:rPr>
        <w:t>These findings collectively define the baseline of current practice against which the present study's methodological rigour should be assessed. The study addresses each of the four concerns identified by Carvalho et al. (2019): all ten classifiers are compared on a leakage-free feature set; SMOTE-within-pipeline is applied to address class imbalance; stratified cross-validation provides robust performance estimates; and target leakage from the failure mode indicator columns is explicitly prevented.</w:t>
      </w:r>
    </w:p>
    <w:p>
      <w:pPr>
        <w:pStyle w:val="Heading3"/>
      </w:pPr>
      <w:r>
        <w:t>2.3.5  Rajendiran (2023): Hybrid ML Model for Proactive Industrial Maintenance</w:t>
      </w:r>
    </w:p>
    <w:p>
      <w:pPr>
        <w:spacing w:before="0" w:after="160"/>
        <w:ind w:firstLine="720"/>
        <w:jc w:val="both"/>
      </w:pPr>
      <w:r>
        <w:rPr>
          <w:rFonts w:ascii="Times New Roman" w:hAnsi="Times New Roman"/>
          <w:b w:val="0"/>
          <w:i w:val="0"/>
          <w:sz w:val="24"/>
        </w:rPr>
        <w:t>Rajendiran (2023) investigated smart predictive maintenance for industrial machines using machine learning at Swinburne University of Technology, comparing multiple supervised algorithms on time-series industrial datasets and developing a hybrid model combining Random Forest and Gradient Boosting. The study evaluated Logistic Regression, Decision Tree, Random Forest, Support Vector Machine, K-Nearest Neighbours, and Gradient Boosting in individual benchmarks, then constructed a hybrid ensemble from the two strongest performers — Random Forest and Gradient Boosting — finding that the hybrid model outperformed either constituent algorithm in isolation on the final evaluation metrics.</w:t>
      </w:r>
    </w:p>
    <w:p>
      <w:pPr>
        <w:spacing w:before="0" w:after="160"/>
        <w:ind w:firstLine="720"/>
        <w:jc w:val="both"/>
      </w:pPr>
      <w:r>
        <w:rPr>
          <w:rFonts w:ascii="Times New Roman" w:hAnsi="Times New Roman"/>
          <w:b w:val="0"/>
          <w:i w:val="0"/>
          <w:sz w:val="24"/>
        </w:rPr>
        <w:t>The study provides useful theoretical context for several of the classifiers evaluated in the present work, offering detailed algorithmic descriptions of Random Forest, Gradient Boosting, SVM, and KNN in a predictive maintenance application setting. Its finding that Random Forest and Gradient Boosting are consistently the two strongest individual classifiers across the evaluated industrial datasets further strengthens the empirical case for their prominence in the present study's comparative evaluation. The study also confirms that combining these two algorithms yields additional performance improvement, a direction noted as a possible extension for the present work in Chapter Five.</w:t>
      </w:r>
    </w:p>
    <w:p>
      <w:pPr>
        <w:spacing w:before="0" w:after="160"/>
        <w:ind w:firstLine="720"/>
        <w:jc w:val="both"/>
      </w:pPr>
      <w:r>
        <w:rPr>
          <w:rFonts w:ascii="Times New Roman" w:hAnsi="Times New Roman"/>
          <w:b w:val="0"/>
          <w:i w:val="0"/>
          <w:sz w:val="24"/>
        </w:rPr>
        <w:t>An important methodological distinction separates Rajendiran (2023) from the present study. The datasets used are time-series industrial sensor readings rather than the AI4I 2020 tabular snapshot dataset, and the study's feature engineering reflects time-domain statistical extraction rather than physics-grounded threshold operationalisation. The study does not use the AI4I 2020 dataset, does not apply SMOTE-within-CV rebalancing, and does not perform RandomizedSearchCV tuning with an F1 objective. Its contribution to the present review is therefore primarily theoretical — as a source of algorithm descriptions and a comparative validation that the same classifier ranking observed by Madan et al. (2023) and Holmkvist (2024) holds across different industrial datasets and experimental settings.</w:t>
      </w:r>
    </w:p>
    <w:p>
      <w:pPr>
        <w:pStyle w:val="Heading3"/>
      </w:pPr>
      <w:r>
        <w:t>2.3.6  Rajnish and Chandra (2021): Comparative ML on the AI4I 2020 Dataset</w:t>
      </w:r>
    </w:p>
    <w:p>
      <w:pPr>
        <w:spacing w:before="0" w:after="160"/>
        <w:ind w:firstLine="720"/>
        <w:jc w:val="both"/>
      </w:pPr>
      <w:r>
        <w:rPr>
          <w:rFonts w:ascii="Times New Roman" w:hAnsi="Times New Roman"/>
          <w:b w:val="0"/>
          <w:i w:val="0"/>
          <w:sz w:val="24"/>
        </w:rPr>
        <w:t>Rajnish and Chandra (2021) conducted a comparative study of machine learning algorithms for predictive maintenance specifically using the AI4I 2020 dataset, evaluating Random Forest, Decision Tree, and Support Vector Machine and reporting that Random Forest outperformed both alternatives on the AI4I benchmark. This study is cited by Madan et al. (2023) as corroborating evidence for Random Forest's performance superiority on this dataset, and represents an additional independent empirical confirmation of the pattern observed across the reviewed literature. The study's methodological details — train-test split ratio, class rebalancing strategy, and hyperparameter configuration — are not fully described in its published abstract, precluding detailed critical appraisal. Its primary contribution to the present review is as an additional data point in the convergent empirical evidence that Random Forest is the appropriate model selection for the AI4I 2020 classification task, an expectation that is tested and evaluated in Chapter Four of the present study.</w:t>
      </w:r>
    </w:p>
    <w:p>
      <w:pPr>
        <w:pStyle w:val="Heading2"/>
      </w:pPr>
      <w:r>
        <w:t>2.4  Conceptual Framework</w:t>
      </w:r>
    </w:p>
    <w:p>
      <w:pPr>
        <w:spacing w:before="0" w:after="160"/>
        <w:jc w:val="both"/>
      </w:pPr>
      <w:r>
        <w:rPr>
          <w:rFonts w:ascii="Times New Roman" w:hAnsi="Times New Roman"/>
          <w:b w:val="0"/>
          <w:i w:val="0"/>
          <w:sz w:val="24"/>
        </w:rPr>
        <w:t>The conceptual framework of this study describes the structured pipeline through which raw industrial sensor data is transformed into failure predictions, and articulates the theoretical relationships between each stage of the pipeline and the study's dependent performance variables. The framework is grounded in the AI4I 2020 dataset's structure, the methodological literature reviewed in Section 2.2, and the empirical evidence accumulated in Section 2.3. It is depicted schematically in Figure 2.1.</w:t>
      </w:r>
    </w:p>
    <w:p>
      <w:pPr>
        <w:spacing w:before="0" w:after="160"/>
        <w:ind w:firstLine="720"/>
        <w:jc w:val="both"/>
      </w:pPr>
      <w:r>
        <w:rPr>
          <w:rFonts w:ascii="Times New Roman" w:hAnsi="Times New Roman"/>
          <w:b w:val="0"/>
          <w:i w:val="0"/>
          <w:sz w:val="24"/>
        </w:rPr>
        <w:t>The independent variables of the study are the preprocessed and engineered sensor features derived from the AI4I 2020 dataset: air temperature, process temperature, rotational speed, torque, tool wear, label-encoded product type, temperature difference (T_process - T_air), and mechanical power (Torque x RPM x 2pi / 60). These eight features constitute the complete input representation presented to all classifiers. The dependent variables are the binary classification performance metrics evaluated on the held-out test set: precision, recall, F1-score, AUC-ROC, and the full confusion matrix. These metrics capture the study's core research concern — the ability of each supervised classifier to correctly identify machine failure events in the presence of severe class imbalance — without being distorted by the inflated accuracy that imbalanced datasets produce for majority-class-biased models.</w:t>
      </w:r>
    </w:p>
    <w:p>
      <w:pPr>
        <w:spacing w:before="0" w:after="160"/>
        <w:ind w:firstLine="720"/>
        <w:jc w:val="both"/>
      </w:pPr>
      <w:r>
        <w:rPr>
          <w:rFonts w:ascii="Times New Roman" w:hAnsi="Times New Roman"/>
          <w:b w:val="0"/>
          <w:i w:val="0"/>
          <w:sz w:val="24"/>
        </w:rPr>
        <w:t>Between the independent input features and the dependent performance outcomes, the framework identifies three mediating pipeline stages that each exert a measurable influence on final model performance. The first mediating stage is preprocessing quality, encompassing identifier removal, target leakage prevention through exclusion of failure mode indicator columns, label encoding of the categorical type variable, and stratified train-test splitting at a 90/10 ratio. The exclusion of failure mode columns is the most consequential preprocessing decision; retaining them would make the learning problem trivial and the performance estimates meaningless (Matzka, 2020; Carvalho et al., 2019). The second mediating stage is feature engineering quality, reflecting the extent to which the two physics-grounded features — temperature difference and mechanical power — concentrate failure-relevant information into discriminative variables that classifiers can exploit more efficiently than the raw constituent columns (Lei et al., 2018; Madan et al., 2023). The third mediating stage is class rebalancing rigour, specifically whether SMOTE is applied strictly within each cross-validation training fold using ImbPipeline, preventing the synthetic sample contamination of validation folds that produces optimistically biased performance estimates (Blagus &amp; Lusa, 2012; Lemaître et al., 2017).</w:t>
      </w:r>
    </w:p>
    <w:p>
      <w:pPr>
        <w:spacing w:before="0" w:after="160"/>
        <w:ind w:firstLine="720"/>
        <w:jc w:val="both"/>
      </w:pPr>
      <w:r>
        <w:rPr>
          <w:rFonts w:ascii="Times New Roman" w:hAnsi="Times New Roman"/>
          <w:b w:val="0"/>
          <w:i w:val="0"/>
          <w:sz w:val="24"/>
        </w:rPr>
        <w:t>The pipeline proceeds in the following sequence, each step informed by the theoretical and empirical literature reviewed in this chapter. Raw data is loaded and quality-verified. Identifier columns (UDI, Product ID) are removed and failure mode indicator columns (TWF, HDF, PWF, OSF, RNF) are excluded to prevent target leakage. Two domain-grounded features are engineered from the failure mode physics. The categorical Type variable is label-encoded. The dataset is split into training (90%) and test (10%) subsets using stratified random sampling to preserve the 3.39% failure rate. A StandardScaler is fitted exclusively on the training set and applied to both subsets. Ten candidate classifiers are trained on SMOTE-rebalanced training data and evaluated on the held-out test set by accuracy. The best-performing classifier is subjected to stratified cross-validation with SMOTE enclosed within ImbPipeline. RandomizedSearchCV with an F1-score objective is applied to tune the selected model's hyperparameters. The final tuned model is retrained on the full SMOTE-rebalanced training set and evaluated on the held-out test set using the complete metric suite: accuracy, precision, recall, F1-score, AUC-ROC, confusion matrix, ROC curve, and Precision-Recall curve.</w:t>
      </w:r>
    </w:p>
    <w:p>
      <w:pPr>
        <w:spacing w:before="0" w:after="160"/>
        <w:ind w:firstLine="720"/>
        <w:jc w:val="both"/>
      </w:pPr>
      <w:r>
        <w:rPr>
          <w:rFonts w:ascii="Times New Roman" w:hAnsi="Times New Roman"/>
          <w:b w:val="0"/>
          <w:i w:val="0"/>
          <w:sz w:val="24"/>
        </w:rPr>
        <w:t>The framework asserts that the quality of the three mediating stages — preprocessing rigour, physics-grounded feature engineering, and pipeline-enclosed class rebalancing — jointly determines the failure detection capability of the final model, as measured by recall and F1-score on the held-out test set. This causal logic differentiates the present study's experimental design from comparable studies that address one or two of these mediating factors in isolation, and provides the theoretical basis for interpreting performance differences between this study's results and those reported in the empirical review of Section 2.3.</w:t>
      </w:r>
    </w:p>
    <w:p>
      <w:pPr>
        <w:spacing w:before="200" w:after="80"/>
        <w:ind w:firstLine="0"/>
        <w:jc w:val="center"/>
      </w:pPr>
      <w:r>
        <w:rPr>
          <w:rFonts w:ascii="Times New Roman" w:hAnsi="Times New Roman"/>
          <w:b w:val="0"/>
          <w:i/>
          <w:sz w:val="22"/>
        </w:rPr>
        <w:t>[Figure 2.1: Conceptual Framework of the Study Pipeline]</w:t>
      </w:r>
    </w:p>
    <w:p>
      <w:pPr>
        <w:spacing w:before="40" w:after="240"/>
        <w:ind w:firstLine="0"/>
        <w:jc w:val="center"/>
      </w:pPr>
      <w:r>
        <w:rPr>
          <w:rFonts w:ascii="Times New Roman" w:hAnsi="Times New Roman"/>
          <w:b w:val="0"/>
          <w:i/>
          <w:sz w:val="20"/>
        </w:rPr>
        <w:t>Figure 2.1: Conceptual framework illustrating the supervised machine learning pipeline from raw AI4I 2020 sensor data to final binary failure classification performance metrics.</w:t>
      </w:r>
    </w:p>
    <w:p>
      <w:pPr>
        <w:pStyle w:val="Heading2"/>
      </w:pPr>
      <w:r>
        <w:t>2.5  Research Gaps</w:t>
      </w:r>
    </w:p>
    <w:p>
      <w:pPr>
        <w:spacing w:before="0" w:after="160"/>
        <w:jc w:val="both"/>
      </w:pPr>
      <w:r>
        <w:rPr>
          <w:rFonts w:ascii="Times New Roman" w:hAnsi="Times New Roman"/>
          <w:b w:val="0"/>
          <w:i w:val="0"/>
          <w:sz w:val="24"/>
        </w:rPr>
        <w:t>The review of theoretical foundations and empirical studies presented in this chapter reveals four specific gaps in the existing literature on supervised machine learning for predictive maintenance using the AI4I 2020 dataset. These gaps are not broad thematic observations but precise methodological deficiencies that have direct counterparts in the experimental design of the present study.</w:t>
      </w:r>
    </w:p>
    <w:p>
      <w:pPr>
        <w:spacing w:before="120" w:after="120"/>
        <w:ind w:firstLine="720"/>
        <w:jc w:val="both"/>
      </w:pPr>
      <w:r>
        <w:rPr>
          <w:rFonts w:ascii="Times New Roman" w:hAnsi="Times New Roman"/>
          <w:b/>
          <w:i w:val="0"/>
          <w:sz w:val="24"/>
        </w:rPr>
        <w:t xml:space="preserve">Gap 1: Absence of a systematic ten-classifier comparison under controlled, leakage-free conditions. </w:t>
      </w:r>
      <w:r>
        <w:rPr>
          <w:rFonts w:ascii="Times New Roman" w:hAnsi="Times New Roman"/>
          <w:b w:val="0"/>
          <w:i w:val="0"/>
          <w:sz w:val="24"/>
        </w:rPr>
        <w:t>Madan et al. (2023) compare six classifiers without cross-validation or hyperparameter tuning. Holmkvist (2024) compares five classifiers, also without SMOTE or tuning. No study identified in this review applies the full complement of classical supervised classifiers available in scikit-learn to the AI4I 2020 dataset under identical, strictly leakage-free experimental conditions — that is, with failure mode indicator columns excluded, a consistent preprocessing pipeline, and evaluation metrics beyond accuracy. The absence of such a comparison means that empirical rankings among classifiers on this dataset are based on partial evaluations with uncontrolled confounding factors such as the absence of class rebalancing, making it impossible to attribute performance differences to algorithmic properties rather than experimental design choices. The present study addresses this gap by evaluating ten classifiers — including six not covered by any single prior AI4I 2020 study — under a unified, reproducible pipeline.</w:t>
      </w:r>
    </w:p>
    <w:p>
      <w:pPr>
        <w:spacing w:before="120" w:after="120"/>
        <w:ind w:firstLine="720"/>
        <w:jc w:val="both"/>
      </w:pPr>
      <w:r>
        <w:rPr>
          <w:rFonts w:ascii="Times New Roman" w:hAnsi="Times New Roman"/>
          <w:b/>
          <w:i w:val="0"/>
          <w:sz w:val="24"/>
        </w:rPr>
        <w:t xml:space="preserve">Gap 2: Incomplete exploitation of the AI4I 2020 dataset's failure mode physics for feature construction. </w:t>
      </w:r>
      <w:r>
        <w:rPr>
          <w:rFonts w:ascii="Times New Roman" w:hAnsi="Times New Roman"/>
          <w:b w:val="0"/>
          <w:i w:val="0"/>
          <w:sz w:val="24"/>
        </w:rPr>
        <w:t>Madan et al. (2023) engineer a Power feature (Torque x RPM) that partially operationalises the PWF threshold. However, no study has simultaneously constructed both the temperature difference feature — which directly encodes the HDF threshold (T_process - T_air &lt; 8.6 K) defined by Matzka (2020) — and the mechanical power feature expressed in correct physical units as watts. Given that Rayarao and Rayarao (2024) establish HDF as the dominant cost driver at 74.9% of maintenance expenditure, the failure to operationalise the HDF threshold as a discriminative feature represents a systematic underutilisation of the dataset's most economically important failure physics. The present study addresses this gap by constructing both features from their exact physical definitions and evaluating their contribution to classifier performance through feature importance analysis.</w:t>
      </w:r>
    </w:p>
    <w:p>
      <w:pPr>
        <w:spacing w:before="120" w:after="120"/>
        <w:ind w:firstLine="720"/>
        <w:jc w:val="both"/>
      </w:pPr>
      <w:r>
        <w:rPr>
          <w:rFonts w:ascii="Times New Roman" w:hAnsi="Times New Roman"/>
          <w:b/>
          <w:i w:val="0"/>
          <w:sz w:val="24"/>
        </w:rPr>
        <w:t xml:space="preserve">Gap 3: SMOTE has not been applied within cross-validation pipelines in any identified AI4I 2020 study. </w:t>
      </w:r>
      <w:r>
        <w:rPr>
          <w:rFonts w:ascii="Times New Roman" w:hAnsi="Times New Roman"/>
          <w:b w:val="0"/>
          <w:i w:val="0"/>
          <w:sz w:val="24"/>
        </w:rPr>
        <w:t>Madan et al. (2023) apply no class rebalancing. Holmkvist (2024) applies no class rebalancing and acknowledges this as a limitation. The resource notebook for this study uses class_weight='balanced' — a parameter-level approach that does not generate synthetic samples. No identified study applies SMOTE within a stratified cross-validation pipeline using imblearn.pipeline.Pipeline to enforce the strict within-fold application required to prevent synthetic sample contamination of validation folds (Blagus &amp; Lusa, 2012). This gap is methodologically significant: studies that skip class rebalancing or apply it outside the CV loop report performance estimates that are either pessimistic (no rebalancing) or optimistically biased (pre-CV SMOTE), making it impossible to determine the true contribution of SMOTE to failure class detection. The present study addresses this gap by implementing SMOTE exclusively within ImbPipeline-enclosed cross-validation folds, providing the first correctly isolated SMOTE evaluation on the AI4I 2020 dataset.</w:t>
      </w:r>
    </w:p>
    <w:p>
      <w:pPr>
        <w:spacing w:before="120" w:after="120"/>
        <w:ind w:firstLine="720"/>
        <w:jc w:val="both"/>
      </w:pPr>
      <w:r>
        <w:rPr>
          <w:rFonts w:ascii="Times New Roman" w:hAnsi="Times New Roman"/>
          <w:b/>
          <w:i w:val="0"/>
          <w:sz w:val="24"/>
        </w:rPr>
        <w:t xml:space="preserve">Gap 4: F1-score-optimised hyperparameter tuning is absent from comparable AI4I 2020 studies. </w:t>
      </w:r>
      <w:r>
        <w:rPr>
          <w:rFonts w:ascii="Times New Roman" w:hAnsi="Times New Roman"/>
          <w:b w:val="0"/>
          <w:i w:val="0"/>
          <w:sz w:val="24"/>
        </w:rPr>
        <w:t>Madan et al. (2023) and Holmkvist (2024) both evaluate their classifiers at scikit-learn default hyperparameter configurations, providing no evidence that the reported performance levels represent optimal configurations for the AI4I 2020 dataset's class distribution. No study applies RandomizedSearchCV or any equivalent hyperparameter search to the Random Forest model on this dataset with an F1-score tuning criterion. Using accuracy as a tuning objective — as would occur if grid search were applied with the default scoring — would reward configurations that increase majority-class prediction at the expense of minority-class recall, precisely counteracting the intended effect of SMOTE rebalancing. The present study addresses this gap by applying RandomizedSearchCV with an F1-score scoring function, ensuring that the selected hyperparameter configuration genuinely optimises failure detection rather than overall accuracy, and reporting the performance improvement attributable to tuning through a direct before-and-after cross-validation comparison.</w:t>
      </w:r>
    </w:p>
    <w:p>
      <w:pPr>
        <w:spacing w:before="0" w:after="160"/>
        <w:ind w:firstLine="720"/>
        <w:jc w:val="both"/>
      </w:pPr>
      <w:r>
        <w:rPr>
          <w:rFonts w:ascii="Times New Roman" w:hAnsi="Times New Roman"/>
          <w:b w:val="0"/>
          <w:i w:val="0"/>
          <w:sz w:val="24"/>
        </w:rPr>
        <w:t>These four gaps are not independent: they compound one another in the existing literature. The absence of SMOTE means that reported accuracy figures overestimate majority-class performance while underestimating failure class recall. The absence of tuning means that classifier rankings may reflect default configuration biases rather than true algorithmic capabilities. The incomplete feature engineering means that classifiers are not provided with the most discriminative representation of the failure-relevant physics. And the absence of a complete cross-validated comparison under controlled conditions means that no study has produced a statistically reliable ranking of classifiers for this task. Together, they define a methodological space in which the present study makes a coherent and well-bounded contribution.</w:t>
      </w:r>
    </w:p>
    <w:p>
      <w:pPr>
        <w:pStyle w:val="Heading2"/>
      </w:pPr>
      <w:r>
        <w:t>2.6  Chapter Summary</w:t>
      </w:r>
    </w:p>
    <w:p>
      <w:pPr>
        <w:spacing w:before="0" w:after="160"/>
        <w:jc w:val="both"/>
      </w:pPr>
      <w:r>
        <w:rPr>
          <w:rFonts w:ascii="Times New Roman" w:hAnsi="Times New Roman"/>
          <w:b w:val="0"/>
          <w:i w:val="0"/>
          <w:sz w:val="24"/>
        </w:rPr>
        <w:t>This chapter has presented a comprehensive review of the literature directly relevant to the study of proactive industrial equipment maintenance using predictive analysis with the AI4I 2020 dataset. The review was structured across four thematic domains, each corresponding to a specific component of the study's experimental pipeline.</w:t>
      </w:r>
    </w:p>
    <w:p>
      <w:pPr>
        <w:spacing w:before="0" w:after="160"/>
        <w:ind w:firstLine="720"/>
        <w:jc w:val="both"/>
      </w:pPr>
      <w:r>
        <w:rPr>
          <w:rFonts w:ascii="Times New Roman" w:hAnsi="Times New Roman"/>
          <w:b w:val="0"/>
          <w:i w:val="0"/>
          <w:sz w:val="24"/>
        </w:rPr>
        <w:t>The theoretical review opened with an examination of industrial maintenance strategy evolution, establishing the progression from reactive and preventive approaches through condition-based maintenance to modern predictive maintenance as a supervised learning task. It then introduced the AI4I 2020 Predictive Maintenance Dataset in depth, describing its synthetic construction by Matzka (2020), its five operational sensor features, the deterministic physical thresholds that define each of its five failure modes, and the target leakage implications of its failure mode indicator columns. Cost impact analysis by Rayarao and Rayarao (2024) established Heat Dissipation Failure as the economically dominant failure mode at 74.9% of total maintenance cost, directly motivating the temperature difference feature. The feature engineering section grounded the construction of temperature difference and mechanical power in the failure mode physics, citing Madan et al. (2023) and Lei et al. (2018) as precedent for physics-derived feature construction on this dataset.</w:t>
      </w:r>
    </w:p>
    <w:p>
      <w:pPr>
        <w:spacing w:before="0" w:after="160"/>
        <w:ind w:firstLine="720"/>
        <w:jc w:val="both"/>
      </w:pPr>
      <w:r>
        <w:rPr>
          <w:rFonts w:ascii="Times New Roman" w:hAnsi="Times New Roman"/>
          <w:b w:val="0"/>
          <w:i w:val="0"/>
          <w:sz w:val="24"/>
        </w:rPr>
        <w:t>The review then provided theoretical foundations for all ten candidate classifiers: Logistic Regression, Logistic Regression CV, SGD Classifier, Decision Tree, Random Forest, Gradient Boosting, AdaBoost, Bagging Classifier, Support Vector Machine, and K-Nearest Neighbours. Each was characterised by its learning mechanism, decision boundary properties, sensitivity to feature scaling, and empirical performance on the AI4I 2020 benchmark. The theoretical review was completed with coverage of class imbalance theory and the SMOTE-within-pipeline methodology (Chawla et al., 2002; Blagus &amp; Lusa, 2012; Lemaître et al., 2017), categorical variable encoding considerations (Hastie et al., 2009), standardisation requirements by algorithm type (Holmkvist, 2024; Carvalho et al., 2019), the full evaluation metric suite for imbalanced binary classification (Fawcett, 2006; Davis &amp; Goadrich, 2006; He &amp; Garcia, 2009), and F1-optimised RandomizedSearchCV hyperparameter optimisation (Bergstra &amp; Bengio, 2012).</w:t>
      </w:r>
    </w:p>
    <w:p>
      <w:pPr>
        <w:spacing w:before="0" w:after="160"/>
        <w:ind w:firstLine="720"/>
        <w:jc w:val="both"/>
      </w:pPr>
      <w:r>
        <w:rPr>
          <w:rFonts w:ascii="Times New Roman" w:hAnsi="Times New Roman"/>
          <w:b w:val="0"/>
          <w:i w:val="0"/>
          <w:sz w:val="24"/>
        </w:rPr>
        <w:t>The empirical review examined six prior studies. Madan et al. (2023) and Holmkvist (2024) both use the AI4I 2020 dataset and establish Random Forest as the strongest classifier, but neither applies SMOTE, cross-validation, or hyperparameter tuning. Rayarao and Rayarao (2024) provide failure cost economics for the dataset. Carvalho et al. (2019) document class imbalance, data leakage, and single-split evaluation as the three most prevalent methodological weaknesses in the predictive maintenance literature. Rajendiran (2023) confirms Random Forest and Gradient Boosting as the strongest individual classifiers across industrial time-series datasets and validates the hybrid ensemble direction as a future extension. Rajnish and Chandra (2021) provide a third independent confirmation of Random Forest's performance superiority on the AI4I 2020 benchmark.</w:t>
      </w:r>
    </w:p>
    <w:p>
      <w:pPr>
        <w:spacing w:before="0" w:after="160"/>
        <w:ind w:firstLine="720"/>
        <w:jc w:val="both"/>
      </w:pPr>
      <w:r>
        <w:rPr>
          <w:rFonts w:ascii="Times New Roman" w:hAnsi="Times New Roman"/>
          <w:b w:val="0"/>
          <w:i w:val="0"/>
          <w:sz w:val="24"/>
        </w:rPr>
        <w:t>The conceptual framework presented in Section 2.4 mapped the study's pipeline from raw sensor inputs through three mediating stages — preprocessing rigour, physics-grounded feature engineering, and pipeline-enclosed class rebalancing — to the dependent performance outcomes. This framework makes explicit the causal logic through which each methodological design choice is expected to influence final failure detection capability.</w:t>
      </w:r>
    </w:p>
    <w:p>
      <w:pPr>
        <w:spacing w:before="0" w:after="160"/>
        <w:ind w:firstLine="720"/>
        <w:jc w:val="both"/>
      </w:pPr>
      <w:r>
        <w:rPr>
          <w:rFonts w:ascii="Times New Roman" w:hAnsi="Times New Roman"/>
          <w:b w:val="0"/>
          <w:i w:val="0"/>
          <w:sz w:val="24"/>
        </w:rPr>
        <w:t>Four research gaps were identified and stated precisely: the absence of a complete ten-classifier comparison under controlled leakage-free conditions; the incomplete exploitation of the AI4I 2020 failure mode physics for feature construction; the absence of SMOTE applied within cross-validation pipelines across all identified AI4I 2020 studies; and the absence of F1-optimised RandomizedSearchCV tuning in any comparable study. These four gaps together define the methodological contribution of the present study and provide the direct justification for the experimental design described in Chapter Three.</w:t>
      </w:r>
    </w:p>
    <w:p>
      <w:r>
        <w:br w:type="page"/>
      </w:r>
    </w:p>
    <w:p>
      <w:pPr>
        <w:pStyle w:val="Heading2"/>
      </w:pPr>
      <w:r>
        <w:t>References</w:t>
      </w:r>
    </w:p>
    <w:p>
      <w:pPr>
        <w:spacing w:before="0" w:after="120"/>
        <w:ind w:hanging="720" w:left="720"/>
        <w:jc w:val="both"/>
      </w:pPr>
      <w:r>
        <w:rPr>
          <w:rFonts w:ascii="Times New Roman" w:hAnsi="Times New Roman"/>
          <w:b w:val="0"/>
          <w:i w:val="0"/>
          <w:sz w:val="24"/>
        </w:rPr>
        <w:t>Bergstra, J., &amp; Bengio, Y. (2012). Random search for hyper-parameter optimization. Journal of Machine Learning Research, 13, 281–305.</w:t>
      </w:r>
    </w:p>
    <w:p>
      <w:pPr>
        <w:spacing w:before="0" w:after="120"/>
        <w:ind w:hanging="720" w:left="720"/>
        <w:jc w:val="both"/>
      </w:pPr>
      <w:r>
        <w:rPr>
          <w:rFonts w:ascii="Times New Roman" w:hAnsi="Times New Roman"/>
          <w:b w:val="0"/>
          <w:i w:val="0"/>
          <w:sz w:val="24"/>
        </w:rPr>
        <w:t>Blagus, R., &amp; Lusa, L. (2012). Class prediction for high-dimensional class-imbalanced data. BMC Bioinformatics, 13, Article 89. https://doi.org/10.1186/1471-2105-13-89</w:t>
      </w:r>
    </w:p>
    <w:p>
      <w:pPr>
        <w:spacing w:before="0" w:after="120"/>
        <w:ind w:hanging="720" w:left="720"/>
        <w:jc w:val="both"/>
      </w:pPr>
      <w:r>
        <w:rPr>
          <w:rFonts w:ascii="Times New Roman" w:hAnsi="Times New Roman"/>
          <w:b w:val="0"/>
          <w:i w:val="0"/>
          <w:sz w:val="24"/>
        </w:rPr>
        <w:t>Breiman, L. (1996). Bagging predictors. Machine Learning, 24(2), 123–140. https://doi.org/10.1007/BF00058655</w:t>
      </w:r>
    </w:p>
    <w:p>
      <w:pPr>
        <w:spacing w:before="0" w:after="120"/>
        <w:ind w:hanging="720" w:left="720"/>
        <w:jc w:val="both"/>
      </w:pPr>
      <w:r>
        <w:rPr>
          <w:rFonts w:ascii="Times New Roman" w:hAnsi="Times New Roman"/>
          <w:b w:val="0"/>
          <w:i w:val="0"/>
          <w:sz w:val="24"/>
        </w:rPr>
        <w:t>Breiman, L. (2001). Random forests. Machine Learning, 45(1), 5–32. https://doi.org/10.1023/A:1010933404324</w:t>
      </w:r>
    </w:p>
    <w:p>
      <w:pPr>
        <w:spacing w:before="0" w:after="120"/>
        <w:ind w:hanging="720" w:left="720"/>
        <w:jc w:val="both"/>
      </w:pPr>
      <w:r>
        <w:rPr>
          <w:rFonts w:ascii="Times New Roman" w:hAnsi="Times New Roman"/>
          <w:b w:val="0"/>
          <w:i w:val="0"/>
          <w:sz w:val="24"/>
        </w:rPr>
        <w:t>Carvalho, T. P., Soares, F. A. A. M. N., Vita, R., Francisco, R. da P., Basto, J. P., &amp; Alcalá, S. G. S. (2019). A systematic literature review of machine learning methods applied to predictive maintenance. Computers &amp; Industrial Engineering, 137, Article 106024. https://doi.org/10.1016/j.cie.2019.106024</w:t>
      </w:r>
    </w:p>
    <w:p>
      <w:pPr>
        <w:spacing w:before="0" w:after="120"/>
        <w:ind w:hanging="720" w:left="720"/>
        <w:jc w:val="both"/>
      </w:pPr>
      <w:r>
        <w:rPr>
          <w:rFonts w:ascii="Times New Roman" w:hAnsi="Times New Roman"/>
          <w:b w:val="0"/>
          <w:i w:val="0"/>
          <w:sz w:val="24"/>
        </w:rPr>
        <w:t>Chawla, N. V., Bowyer, K. W., Hall, L. O., &amp; Kegelmeyer, W. P. (2002). SMOTE: Synthetic minority over-sampling technique. Journal of Artificial Intelligence Research, 16, 321–357. https://doi.org/10.1613/jair.953</w:t>
      </w:r>
    </w:p>
    <w:p>
      <w:pPr>
        <w:spacing w:before="0" w:after="120"/>
        <w:ind w:hanging="720" w:left="720"/>
        <w:jc w:val="both"/>
      </w:pPr>
      <w:r>
        <w:rPr>
          <w:rFonts w:ascii="Times New Roman" w:hAnsi="Times New Roman"/>
          <w:b w:val="0"/>
          <w:i w:val="0"/>
          <w:sz w:val="24"/>
        </w:rPr>
        <w:t>Cortes, C., &amp; Vapnik, V. (1995). Support-vector networks. Machine Learning, 20(3), 273–297. https://doi.org/10.1007/BF00994018</w:t>
      </w:r>
    </w:p>
    <w:p>
      <w:pPr>
        <w:spacing w:before="0" w:after="120"/>
        <w:ind w:hanging="720" w:left="720"/>
        <w:jc w:val="both"/>
      </w:pPr>
      <w:r>
        <w:rPr>
          <w:rFonts w:ascii="Times New Roman" w:hAnsi="Times New Roman"/>
          <w:b w:val="0"/>
          <w:i w:val="0"/>
          <w:sz w:val="24"/>
        </w:rPr>
        <w:t>Cover, T., &amp; Hart, P. (1967). Nearest neighbor pattern classification. IEEE Transactions on Information Theory, 13(1), 21–27. https://doi.org/10.1109/TIT.1967.1053964</w:t>
      </w:r>
    </w:p>
    <w:p>
      <w:pPr>
        <w:spacing w:before="0" w:after="120"/>
        <w:ind w:hanging="720" w:left="720"/>
        <w:jc w:val="both"/>
      </w:pPr>
      <w:r>
        <w:rPr>
          <w:rFonts w:ascii="Times New Roman" w:hAnsi="Times New Roman"/>
          <w:b w:val="0"/>
          <w:i w:val="0"/>
          <w:sz w:val="24"/>
        </w:rPr>
        <w:t>Davis, J., &amp; Goadrich, M. (2006). The relationship between Precision-Recall and ROC curves. Proceedings of the 23rd International Conference on Machine Learning (ICML 2006), 233–240. https://doi.org/10.1145/1143844.1143874</w:t>
      </w:r>
    </w:p>
    <w:p>
      <w:pPr>
        <w:spacing w:before="0" w:after="120"/>
        <w:ind w:hanging="720" w:left="720"/>
        <w:jc w:val="both"/>
      </w:pPr>
      <w:r>
        <w:rPr>
          <w:rFonts w:ascii="Times New Roman" w:hAnsi="Times New Roman"/>
          <w:b w:val="0"/>
          <w:i w:val="0"/>
          <w:sz w:val="24"/>
        </w:rPr>
        <w:t>Fawcett, T. (2006). An introduction to ROC analysis. Pattern Recognition Letters, 27(8), 861–874. https://doi.org/10.1016/j.patrec.2005.10.010</w:t>
      </w:r>
    </w:p>
    <w:p>
      <w:pPr>
        <w:spacing w:before="0" w:after="120"/>
        <w:ind w:hanging="720" w:left="720"/>
        <w:jc w:val="both"/>
      </w:pPr>
      <w:r>
        <w:rPr>
          <w:rFonts w:ascii="Times New Roman" w:hAnsi="Times New Roman"/>
          <w:b w:val="0"/>
          <w:i w:val="0"/>
          <w:sz w:val="24"/>
        </w:rPr>
        <w:t>Freund, Y., &amp; Schapire, R. E. (1997). A decision-theoretic generalization of on-line learning and an application to boosting. Journal of Computer and System Sciences, 55(1), 119–139. https://doi.org/10.1006/jcss.1997.1504</w:t>
      </w:r>
    </w:p>
    <w:p>
      <w:pPr>
        <w:spacing w:before="0" w:after="120"/>
        <w:ind w:hanging="720" w:left="720"/>
        <w:jc w:val="both"/>
      </w:pPr>
      <w:r>
        <w:rPr>
          <w:rFonts w:ascii="Times New Roman" w:hAnsi="Times New Roman"/>
          <w:b w:val="0"/>
          <w:i w:val="0"/>
          <w:sz w:val="24"/>
        </w:rPr>
        <w:t>Friedman, J. H. (2001). Greedy function approximation: A gradient boosting machine. Annals of Statistics, 29(5), 1189–1232. https://doi.org/10.1214/aos/1013203451</w:t>
      </w:r>
    </w:p>
    <w:p>
      <w:pPr>
        <w:spacing w:before="0" w:after="120"/>
        <w:ind w:hanging="720" w:left="720"/>
        <w:jc w:val="both"/>
      </w:pPr>
      <w:r>
        <w:rPr>
          <w:rFonts w:ascii="Times New Roman" w:hAnsi="Times New Roman"/>
          <w:b w:val="0"/>
          <w:i w:val="0"/>
          <w:sz w:val="24"/>
        </w:rPr>
        <w:t>Hastie, T., Tibshirani, R., &amp; Friedman, J. (2009). The elements of statistical learning: Data mining, inference, and prediction (2nd ed.). Springer. https://doi.org/10.1007/978-0-387-84858-7</w:t>
      </w:r>
    </w:p>
    <w:p>
      <w:pPr>
        <w:spacing w:before="0" w:after="120"/>
        <w:ind w:hanging="720" w:left="720"/>
        <w:jc w:val="both"/>
      </w:pPr>
      <w:r>
        <w:rPr>
          <w:rFonts w:ascii="Times New Roman" w:hAnsi="Times New Roman"/>
          <w:b w:val="0"/>
          <w:i w:val="0"/>
          <w:sz w:val="24"/>
        </w:rPr>
        <w:t>He, H., &amp; Garcia, E. A. (2009). Learning from imbalanced data. IEEE Transactions on Knowledge and Data Engineering, 21(9), 1263–1284. https://doi.org/10.1109/TKDE.2008.239</w:t>
      </w:r>
    </w:p>
    <w:p>
      <w:pPr>
        <w:spacing w:before="0" w:after="120"/>
        <w:ind w:hanging="720" w:left="720"/>
        <w:jc w:val="both"/>
      </w:pPr>
      <w:r>
        <w:rPr>
          <w:rFonts w:ascii="Times New Roman" w:hAnsi="Times New Roman"/>
          <w:b w:val="0"/>
          <w:i w:val="0"/>
          <w:sz w:val="24"/>
        </w:rPr>
        <w:t>Holmkvist, J. (2024). Machine learning algorithm evaluation for predictive maintenance in small and medium-sized enterprises [Master's thesis, Mid Sweden University]. DiVA Portal.</w:t>
      </w:r>
    </w:p>
    <w:p>
      <w:pPr>
        <w:spacing w:before="0" w:after="120"/>
        <w:ind w:hanging="720" w:left="720"/>
        <w:jc w:val="both"/>
      </w:pPr>
      <w:r>
        <w:rPr>
          <w:rFonts w:ascii="Times New Roman" w:hAnsi="Times New Roman"/>
          <w:b w:val="0"/>
          <w:i w:val="0"/>
          <w:sz w:val="24"/>
        </w:rPr>
        <w:t>Jardine, A. K. S., Lin, D., &amp; Banjevic, D. (2006). A review on machinery diagnostics and prognostics implementing condition-based maintenance. Mechanical Systems and Signal Processing, 20(7), 1483–1510. https://doi.org/10.1016/j.ymssp.2005.09.012</w:t>
      </w:r>
    </w:p>
    <w:p>
      <w:pPr>
        <w:spacing w:before="0" w:after="120"/>
        <w:ind w:hanging="720" w:left="720"/>
        <w:jc w:val="both"/>
      </w:pPr>
      <w:r>
        <w:rPr>
          <w:rFonts w:ascii="Times New Roman" w:hAnsi="Times New Roman"/>
          <w:b w:val="0"/>
          <w:i w:val="0"/>
          <w:sz w:val="24"/>
        </w:rPr>
        <w:t>Lei, Y., Li, N., Guo, L., Li, N., Yan, T., &amp; Lin, J. (2018). Machinery health prognostics: A systematic review from data acquisition to RUL prediction. Mechanical Systems and Signal Processing, 104, 799–834. https://doi.org/10.1016/j.ymssp.2017.11.016</w:t>
      </w:r>
    </w:p>
    <w:p>
      <w:pPr>
        <w:spacing w:before="0" w:after="120"/>
        <w:ind w:hanging="720" w:left="720"/>
        <w:jc w:val="both"/>
      </w:pPr>
      <w:r>
        <w:rPr>
          <w:rFonts w:ascii="Times New Roman" w:hAnsi="Times New Roman"/>
          <w:b w:val="0"/>
          <w:i w:val="0"/>
          <w:sz w:val="24"/>
        </w:rPr>
        <w:t>Lemaître, G., Nogueira, F., &amp; Aridas, C. K. (2017). Imbalanced-learn: A Python toolbox to tackle the curse of imbalanced datasets in machine learning. Journal of Machine Learning Research, 18(17), 1–5.</w:t>
      </w:r>
    </w:p>
    <w:p>
      <w:pPr>
        <w:spacing w:before="0" w:after="120"/>
        <w:ind w:hanging="720" w:left="720"/>
        <w:jc w:val="both"/>
      </w:pPr>
      <w:r>
        <w:rPr>
          <w:rFonts w:ascii="Times New Roman" w:hAnsi="Times New Roman"/>
          <w:b w:val="0"/>
          <w:i w:val="0"/>
          <w:sz w:val="24"/>
        </w:rPr>
        <w:t>Madan, P., Joshi, A., Gupta, P., &amp; Shubham. (2023). Predictive maintenance using machine learning. International Journal of Scientific Development and Research, 8(5), 488–492.</w:t>
      </w:r>
    </w:p>
    <w:p>
      <w:pPr>
        <w:spacing w:before="0" w:after="120"/>
        <w:ind w:hanging="720" w:left="720"/>
        <w:jc w:val="both"/>
      </w:pPr>
      <w:r>
        <w:rPr>
          <w:rFonts w:ascii="Times New Roman" w:hAnsi="Times New Roman"/>
          <w:b w:val="0"/>
          <w:i w:val="0"/>
          <w:sz w:val="24"/>
        </w:rPr>
        <w:t>Matzka, S. (2020). Explainable artificial intelligence for predictive maintenance applications. Proceedings of the 2020 Third International Conference on Artificial Intelligence for Industries (AI4I 2020), 69–74. https://doi.org/10.1109/AI4I49448.2020.00023</w:t>
      </w:r>
    </w:p>
    <w:p>
      <w:pPr>
        <w:spacing w:before="0" w:after="120"/>
        <w:ind w:hanging="720" w:left="720"/>
        <w:jc w:val="both"/>
      </w:pPr>
      <w:r>
        <w:rPr>
          <w:rFonts w:ascii="Times New Roman" w:hAnsi="Times New Roman"/>
          <w:b w:val="0"/>
          <w:i w:val="0"/>
          <w:sz w:val="24"/>
        </w:rPr>
        <w:t>Mobley, R. K. (2002). An introduction to predictive maintenance (2nd ed.). Butterworth-Heinemann.</w:t>
      </w:r>
    </w:p>
    <w:p>
      <w:pPr>
        <w:spacing w:before="0" w:after="120"/>
        <w:ind w:hanging="720" w:left="720"/>
        <w:jc w:val="both"/>
      </w:pPr>
      <w:r>
        <w:rPr>
          <w:rFonts w:ascii="Times New Roman" w:hAnsi="Times New Roman"/>
          <w:b w:val="0"/>
          <w:i w:val="0"/>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0" w:after="120"/>
        <w:ind w:hanging="720" w:left="720"/>
        <w:jc w:val="both"/>
      </w:pPr>
      <w:r>
        <w:rPr>
          <w:rFonts w:ascii="Times New Roman" w:hAnsi="Times New Roman"/>
          <w:b w:val="0"/>
          <w:i w:val="0"/>
          <w:sz w:val="24"/>
        </w:rPr>
        <w:t>Rajendiran, V. (2023). Smart predictive maintenance for industrial machines using machine learning [Master's thesis, Swinburne University of Technology].</w:t>
      </w:r>
    </w:p>
    <w:p>
      <w:pPr>
        <w:spacing w:before="0" w:after="120"/>
        <w:ind w:hanging="720" w:left="720"/>
        <w:jc w:val="both"/>
      </w:pPr>
      <w:r>
        <w:rPr>
          <w:rFonts w:ascii="Times New Roman" w:hAnsi="Times New Roman"/>
          <w:b w:val="0"/>
          <w:i w:val="0"/>
          <w:sz w:val="24"/>
        </w:rPr>
        <w:t>Rajnish, K., &amp; Chandra, M. (2021). Predictive maintenance using machine learning for AI4I dataset. [Verify full citation details from Madan et al. (2023) reference list].</w:t>
      </w:r>
    </w:p>
    <w:p>
      <w:pPr>
        <w:spacing w:before="0" w:after="120"/>
        <w:ind w:hanging="720" w:left="720"/>
        <w:jc w:val="both"/>
      </w:pPr>
      <w:r>
        <w:rPr>
          <w:rFonts w:ascii="Times New Roman" w:hAnsi="Times New Roman"/>
          <w:b w:val="0"/>
          <w:i w:val="0"/>
          <w:sz w:val="24"/>
        </w:rPr>
        <w:t>Rayarao, G., &amp; Rayarao, V. (2024). Predictive maintenance with AI: Failure trend and cost analysis using the AI4I dataset. TechRxiv. https://doi.org/10.36227/techrxiv.173397914.41294976/v1</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