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A87" w:rsidRPr="00A809DD" w:rsidRDefault="00574FA6" w:rsidP="0006559D">
      <w:pPr>
        <w:pStyle w:val="Title"/>
        <w:tabs>
          <w:tab w:val="right" w:pos="9360"/>
        </w:tabs>
      </w:pPr>
      <w:r w:rsidRPr="00A809DD">
        <w:t>Retirement Savings Guidelines</w:t>
      </w:r>
      <w:r w:rsidR="0006559D">
        <w:tab/>
      </w:r>
    </w:p>
    <w:tbl>
      <w:tblPr>
        <w:tblpPr w:leftFromText="180" w:rightFromText="180" w:vertAnchor="text" w:tblpXSpec="right" w:tblpY="1"/>
        <w:tblOverlap w:val="never"/>
        <w:tblW w:w="2229" w:type="dxa"/>
        <w:jc w:val="righ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30"/>
        <w:gridCol w:w="874"/>
        <w:gridCol w:w="725"/>
      </w:tblGrid>
      <w:tr w:rsidR="004551E6" w:rsidRPr="009C6C84" w:rsidTr="004551E6">
        <w:trPr>
          <w:trHeight w:val="288"/>
          <w:jc w:val="right"/>
        </w:trPr>
        <w:tc>
          <w:tcPr>
            <w:tcW w:w="2229" w:type="dxa"/>
            <w:gridSpan w:val="3"/>
            <w:tcBorders>
              <w:top w:val="single" w:sz="4" w:space="0" w:color="auto"/>
              <w:bottom w:val="single" w:sz="4" w:space="0" w:color="auto"/>
            </w:tcBorders>
            <w:shd w:val="clear" w:color="auto" w:fill="auto"/>
            <w:noWrap/>
            <w:vAlign w:val="center"/>
          </w:tcPr>
          <w:p w:rsidR="004551E6" w:rsidRPr="009C6C84" w:rsidRDefault="004551E6" w:rsidP="004551E6">
            <w:pPr>
              <w:spacing w:after="0"/>
              <w:jc w:val="center"/>
              <w:rPr>
                <w:rFonts w:ascii="Calibri" w:eastAsia="Times New Roman" w:hAnsi="Calibri" w:cs="Calibri"/>
                <w:color w:val="000000"/>
                <w:sz w:val="20"/>
              </w:rPr>
            </w:pPr>
            <w:r>
              <w:rPr>
                <w:rFonts w:ascii="Calibri" w:eastAsia="Times New Roman" w:hAnsi="Calibri" w:cs="Calibri"/>
                <w:color w:val="000000"/>
                <w:sz w:val="20"/>
              </w:rPr>
              <w:t>Savings Goal (x Salary)</w:t>
            </w:r>
          </w:p>
        </w:tc>
      </w:tr>
      <w:tr w:rsidR="004551E6" w:rsidRPr="009C6C84" w:rsidTr="004551E6">
        <w:trPr>
          <w:trHeight w:val="288"/>
          <w:jc w:val="right"/>
        </w:trPr>
        <w:tc>
          <w:tcPr>
            <w:tcW w:w="630" w:type="dxa"/>
            <w:tcBorders>
              <w:top w:val="single" w:sz="4" w:space="0" w:color="auto"/>
              <w:bottom w:val="single" w:sz="4" w:space="0" w:color="auto"/>
            </w:tcBorders>
            <w:shd w:val="clear" w:color="auto" w:fill="auto"/>
            <w:noWrap/>
            <w:vAlign w:val="center"/>
            <w:hideMark/>
          </w:tcPr>
          <w:p w:rsidR="004551E6" w:rsidRPr="009C6C84" w:rsidRDefault="004551E6" w:rsidP="004551E6">
            <w:pPr>
              <w:spacing w:after="0"/>
              <w:jc w:val="center"/>
              <w:rPr>
                <w:rFonts w:ascii="Calibri" w:eastAsia="Times New Roman" w:hAnsi="Calibri" w:cs="Calibri"/>
                <w:color w:val="000000"/>
                <w:sz w:val="20"/>
              </w:rPr>
            </w:pPr>
            <w:r w:rsidRPr="009C6C84">
              <w:rPr>
                <w:rFonts w:ascii="Calibri" w:eastAsia="Times New Roman" w:hAnsi="Calibri" w:cs="Calibri"/>
                <w:color w:val="000000"/>
                <w:sz w:val="20"/>
              </w:rPr>
              <w:t>Age</w:t>
            </w:r>
          </w:p>
        </w:tc>
        <w:tc>
          <w:tcPr>
            <w:tcW w:w="874" w:type="dxa"/>
            <w:tcBorders>
              <w:top w:val="single" w:sz="4" w:space="0" w:color="auto"/>
              <w:bottom w:val="single" w:sz="4" w:space="0" w:color="auto"/>
            </w:tcBorders>
            <w:shd w:val="clear" w:color="auto" w:fill="auto"/>
            <w:noWrap/>
            <w:vAlign w:val="center"/>
            <w:hideMark/>
          </w:tcPr>
          <w:p w:rsidR="004551E6" w:rsidRPr="009C6C84" w:rsidRDefault="004551E6" w:rsidP="004551E6">
            <w:pPr>
              <w:spacing w:after="0"/>
              <w:jc w:val="center"/>
              <w:rPr>
                <w:rFonts w:ascii="Calibri" w:eastAsia="Times New Roman" w:hAnsi="Calibri" w:cs="Calibri"/>
                <w:color w:val="000000"/>
                <w:sz w:val="20"/>
              </w:rPr>
            </w:pPr>
            <w:r>
              <w:rPr>
                <w:rFonts w:ascii="Calibri" w:eastAsia="Times New Roman" w:hAnsi="Calibri" w:cs="Calibri"/>
                <w:color w:val="000000"/>
                <w:sz w:val="20"/>
              </w:rPr>
              <w:t>Fidelity</w:t>
            </w:r>
            <w:r w:rsidRPr="004551E6">
              <w:rPr>
                <w:rFonts w:ascii="Calibri" w:eastAsia="Times New Roman" w:hAnsi="Calibri" w:cs="Calibri"/>
                <w:color w:val="000000"/>
                <w:sz w:val="20"/>
                <w:vertAlign w:val="superscript"/>
              </w:rPr>
              <w:t>1</w:t>
            </w:r>
          </w:p>
        </w:tc>
        <w:tc>
          <w:tcPr>
            <w:tcW w:w="725" w:type="dxa"/>
            <w:tcBorders>
              <w:top w:val="single" w:sz="4" w:space="0" w:color="auto"/>
              <w:bottom w:val="single" w:sz="4" w:space="0" w:color="auto"/>
            </w:tcBorders>
            <w:vAlign w:val="center"/>
          </w:tcPr>
          <w:p w:rsidR="004551E6" w:rsidRDefault="00700A40" w:rsidP="004551E6">
            <w:pPr>
              <w:spacing w:after="0"/>
              <w:jc w:val="center"/>
              <w:rPr>
                <w:rFonts w:ascii="Calibri" w:eastAsia="Times New Roman" w:hAnsi="Calibri" w:cs="Calibri"/>
                <w:color w:val="000000"/>
                <w:sz w:val="20"/>
              </w:rPr>
            </w:pPr>
            <w:r>
              <w:rPr>
                <w:rFonts w:ascii="Calibri" w:eastAsia="Times New Roman" w:hAnsi="Calibri" w:cs="Calibri"/>
                <w:color w:val="000000"/>
                <w:sz w:val="20"/>
              </w:rPr>
              <w:t>Alt</w:t>
            </w:r>
            <w:r w:rsidR="001E4612" w:rsidRPr="001E4612">
              <w:rPr>
                <w:rFonts w:ascii="Calibri" w:eastAsia="Times New Roman" w:hAnsi="Calibri" w:cs="Calibri"/>
                <w:color w:val="000000"/>
                <w:sz w:val="20"/>
                <w:vertAlign w:val="superscript"/>
              </w:rPr>
              <w:t>3</w:t>
            </w:r>
          </w:p>
        </w:tc>
      </w:tr>
      <w:tr w:rsidR="004551E6" w:rsidRPr="009C6C84" w:rsidTr="004551E6">
        <w:trPr>
          <w:trHeight w:val="288"/>
          <w:jc w:val="right"/>
        </w:trPr>
        <w:tc>
          <w:tcPr>
            <w:tcW w:w="630" w:type="dxa"/>
            <w:tcBorders>
              <w:top w:val="nil"/>
              <w:left w:val="single" w:sz="4" w:space="0" w:color="auto"/>
              <w:bottom w:val="nil"/>
            </w:tcBorders>
            <w:shd w:val="clear" w:color="auto" w:fill="auto"/>
            <w:noWrap/>
            <w:vAlign w:val="center"/>
            <w:hideMark/>
          </w:tcPr>
          <w:p w:rsidR="004551E6" w:rsidRPr="009C6C84" w:rsidRDefault="004551E6" w:rsidP="004551E6">
            <w:pPr>
              <w:spacing w:after="0"/>
              <w:jc w:val="center"/>
              <w:rPr>
                <w:rFonts w:ascii="Calibri" w:eastAsia="Times New Roman" w:hAnsi="Calibri" w:cs="Calibri"/>
                <w:color w:val="000000"/>
                <w:sz w:val="20"/>
              </w:rPr>
            </w:pPr>
            <w:r w:rsidRPr="009C6C84">
              <w:rPr>
                <w:rFonts w:ascii="Calibri" w:eastAsia="Times New Roman" w:hAnsi="Calibri" w:cs="Calibri"/>
                <w:color w:val="000000"/>
                <w:sz w:val="20"/>
              </w:rPr>
              <w:t>25</w:t>
            </w:r>
          </w:p>
        </w:tc>
        <w:tc>
          <w:tcPr>
            <w:tcW w:w="874" w:type="dxa"/>
            <w:tcBorders>
              <w:top w:val="nil"/>
              <w:bottom w:val="nil"/>
            </w:tcBorders>
            <w:shd w:val="clear" w:color="auto" w:fill="auto"/>
            <w:noWrap/>
            <w:vAlign w:val="center"/>
            <w:hideMark/>
          </w:tcPr>
          <w:p w:rsidR="004551E6" w:rsidRPr="009C6C84" w:rsidRDefault="004551E6" w:rsidP="004551E6">
            <w:pPr>
              <w:spacing w:after="0"/>
              <w:jc w:val="center"/>
              <w:rPr>
                <w:rFonts w:ascii="Calibri" w:eastAsia="Times New Roman" w:hAnsi="Calibri" w:cs="Calibri"/>
                <w:color w:val="000000"/>
                <w:sz w:val="20"/>
              </w:rPr>
            </w:pPr>
            <w:r w:rsidRPr="009C6C84">
              <w:rPr>
                <w:rFonts w:ascii="Calibri" w:eastAsia="Times New Roman" w:hAnsi="Calibri" w:cs="Calibri"/>
                <w:color w:val="000000"/>
                <w:sz w:val="20"/>
              </w:rPr>
              <w:t>0x</w:t>
            </w:r>
          </w:p>
        </w:tc>
        <w:tc>
          <w:tcPr>
            <w:tcW w:w="725" w:type="dxa"/>
            <w:tcBorders>
              <w:top w:val="nil"/>
              <w:bottom w:val="nil"/>
              <w:right w:val="single" w:sz="4" w:space="0" w:color="auto"/>
            </w:tcBorders>
            <w:vAlign w:val="center"/>
          </w:tcPr>
          <w:p w:rsidR="004551E6" w:rsidRPr="009C6C84" w:rsidRDefault="001E4612" w:rsidP="004551E6">
            <w:pPr>
              <w:spacing w:after="0"/>
              <w:jc w:val="center"/>
              <w:rPr>
                <w:rFonts w:ascii="Calibri" w:eastAsia="Times New Roman" w:hAnsi="Calibri" w:cs="Calibri"/>
                <w:color w:val="000000"/>
                <w:sz w:val="20"/>
              </w:rPr>
            </w:pPr>
            <w:r>
              <w:rPr>
                <w:rFonts w:ascii="Calibri" w:eastAsia="Times New Roman" w:hAnsi="Calibri" w:cs="Calibri"/>
                <w:color w:val="000000"/>
                <w:sz w:val="20"/>
              </w:rPr>
              <w:t>0</w:t>
            </w:r>
            <w:r w:rsidR="004551E6">
              <w:rPr>
                <w:rFonts w:ascii="Calibri" w:eastAsia="Times New Roman" w:hAnsi="Calibri" w:cs="Calibri"/>
                <w:color w:val="000000"/>
                <w:sz w:val="20"/>
              </w:rPr>
              <w:t>x</w:t>
            </w:r>
          </w:p>
        </w:tc>
      </w:tr>
      <w:tr w:rsidR="004551E6" w:rsidRPr="009C6C84" w:rsidTr="004551E6">
        <w:trPr>
          <w:trHeight w:val="288"/>
          <w:jc w:val="right"/>
        </w:trPr>
        <w:tc>
          <w:tcPr>
            <w:tcW w:w="630" w:type="dxa"/>
            <w:tcBorders>
              <w:top w:val="nil"/>
              <w:left w:val="single" w:sz="4" w:space="0" w:color="auto"/>
              <w:bottom w:val="nil"/>
            </w:tcBorders>
            <w:shd w:val="clear" w:color="auto" w:fill="auto"/>
            <w:noWrap/>
            <w:vAlign w:val="center"/>
            <w:hideMark/>
          </w:tcPr>
          <w:p w:rsidR="004551E6" w:rsidRPr="009C6C84" w:rsidRDefault="004551E6" w:rsidP="004551E6">
            <w:pPr>
              <w:spacing w:after="0"/>
              <w:jc w:val="center"/>
              <w:rPr>
                <w:rFonts w:ascii="Calibri" w:eastAsia="Times New Roman" w:hAnsi="Calibri" w:cs="Calibri"/>
                <w:color w:val="000000"/>
                <w:sz w:val="20"/>
              </w:rPr>
            </w:pPr>
            <w:r w:rsidRPr="009C6C84">
              <w:rPr>
                <w:rFonts w:ascii="Calibri" w:eastAsia="Times New Roman" w:hAnsi="Calibri" w:cs="Calibri"/>
                <w:color w:val="000000"/>
                <w:sz w:val="20"/>
              </w:rPr>
              <w:t>30</w:t>
            </w:r>
          </w:p>
        </w:tc>
        <w:tc>
          <w:tcPr>
            <w:tcW w:w="874" w:type="dxa"/>
            <w:tcBorders>
              <w:top w:val="nil"/>
              <w:bottom w:val="nil"/>
            </w:tcBorders>
            <w:shd w:val="clear" w:color="auto" w:fill="auto"/>
            <w:noWrap/>
            <w:vAlign w:val="center"/>
            <w:hideMark/>
          </w:tcPr>
          <w:p w:rsidR="004551E6" w:rsidRPr="009C6C84" w:rsidRDefault="004551E6" w:rsidP="004551E6">
            <w:pPr>
              <w:spacing w:after="0"/>
              <w:jc w:val="center"/>
              <w:rPr>
                <w:rFonts w:ascii="Calibri" w:eastAsia="Times New Roman" w:hAnsi="Calibri" w:cs="Calibri"/>
                <w:color w:val="000000"/>
                <w:sz w:val="20"/>
              </w:rPr>
            </w:pPr>
            <w:r w:rsidRPr="009C6C84">
              <w:rPr>
                <w:rFonts w:ascii="Calibri" w:eastAsia="Times New Roman" w:hAnsi="Calibri" w:cs="Calibri"/>
                <w:color w:val="000000"/>
                <w:sz w:val="20"/>
              </w:rPr>
              <w:t>0.5x</w:t>
            </w:r>
          </w:p>
        </w:tc>
        <w:tc>
          <w:tcPr>
            <w:tcW w:w="725" w:type="dxa"/>
            <w:tcBorders>
              <w:top w:val="nil"/>
              <w:bottom w:val="nil"/>
              <w:right w:val="single" w:sz="4" w:space="0" w:color="auto"/>
            </w:tcBorders>
            <w:vAlign w:val="center"/>
          </w:tcPr>
          <w:p w:rsidR="004551E6" w:rsidRPr="009C6C84" w:rsidRDefault="001E4612" w:rsidP="004551E6">
            <w:pPr>
              <w:spacing w:after="0"/>
              <w:jc w:val="center"/>
              <w:rPr>
                <w:rFonts w:ascii="Calibri" w:eastAsia="Times New Roman" w:hAnsi="Calibri" w:cs="Calibri"/>
                <w:color w:val="000000"/>
                <w:sz w:val="20"/>
              </w:rPr>
            </w:pPr>
            <w:r>
              <w:rPr>
                <w:rFonts w:ascii="Calibri" w:eastAsia="Times New Roman" w:hAnsi="Calibri" w:cs="Calibri"/>
                <w:color w:val="000000"/>
                <w:sz w:val="20"/>
              </w:rPr>
              <w:t>0.4</w:t>
            </w:r>
            <w:r w:rsidR="004551E6">
              <w:rPr>
                <w:rFonts w:ascii="Calibri" w:eastAsia="Times New Roman" w:hAnsi="Calibri" w:cs="Calibri"/>
                <w:color w:val="000000"/>
                <w:sz w:val="20"/>
              </w:rPr>
              <w:t>x</w:t>
            </w:r>
          </w:p>
        </w:tc>
      </w:tr>
      <w:tr w:rsidR="004551E6" w:rsidRPr="009C6C84" w:rsidTr="004551E6">
        <w:trPr>
          <w:trHeight w:val="288"/>
          <w:jc w:val="right"/>
        </w:trPr>
        <w:tc>
          <w:tcPr>
            <w:tcW w:w="630" w:type="dxa"/>
            <w:tcBorders>
              <w:top w:val="nil"/>
              <w:left w:val="single" w:sz="4" w:space="0" w:color="auto"/>
              <w:bottom w:val="nil"/>
            </w:tcBorders>
            <w:shd w:val="clear" w:color="auto" w:fill="auto"/>
            <w:noWrap/>
            <w:vAlign w:val="center"/>
            <w:hideMark/>
          </w:tcPr>
          <w:p w:rsidR="004551E6" w:rsidRPr="009C6C84" w:rsidRDefault="004551E6" w:rsidP="004551E6">
            <w:pPr>
              <w:spacing w:after="0"/>
              <w:jc w:val="center"/>
              <w:rPr>
                <w:rFonts w:ascii="Calibri" w:eastAsia="Times New Roman" w:hAnsi="Calibri" w:cs="Calibri"/>
                <w:color w:val="000000"/>
                <w:sz w:val="20"/>
              </w:rPr>
            </w:pPr>
            <w:r w:rsidRPr="009C6C84">
              <w:rPr>
                <w:rFonts w:ascii="Calibri" w:eastAsia="Times New Roman" w:hAnsi="Calibri" w:cs="Calibri"/>
                <w:color w:val="000000"/>
                <w:sz w:val="20"/>
              </w:rPr>
              <w:t>35</w:t>
            </w:r>
          </w:p>
        </w:tc>
        <w:tc>
          <w:tcPr>
            <w:tcW w:w="874" w:type="dxa"/>
            <w:tcBorders>
              <w:top w:val="nil"/>
              <w:bottom w:val="nil"/>
            </w:tcBorders>
            <w:shd w:val="clear" w:color="auto" w:fill="auto"/>
            <w:noWrap/>
            <w:vAlign w:val="center"/>
            <w:hideMark/>
          </w:tcPr>
          <w:p w:rsidR="004551E6" w:rsidRPr="009C6C84" w:rsidRDefault="004551E6" w:rsidP="004551E6">
            <w:pPr>
              <w:spacing w:after="0"/>
              <w:jc w:val="center"/>
              <w:rPr>
                <w:rFonts w:ascii="Calibri" w:eastAsia="Times New Roman" w:hAnsi="Calibri" w:cs="Calibri"/>
                <w:color w:val="000000"/>
                <w:sz w:val="20"/>
              </w:rPr>
            </w:pPr>
            <w:r w:rsidRPr="009C6C84">
              <w:rPr>
                <w:rFonts w:ascii="Calibri" w:eastAsia="Times New Roman" w:hAnsi="Calibri" w:cs="Calibri"/>
                <w:color w:val="000000"/>
                <w:sz w:val="20"/>
              </w:rPr>
              <w:t>1x</w:t>
            </w:r>
          </w:p>
        </w:tc>
        <w:tc>
          <w:tcPr>
            <w:tcW w:w="725" w:type="dxa"/>
            <w:tcBorders>
              <w:top w:val="nil"/>
              <w:bottom w:val="nil"/>
              <w:right w:val="single" w:sz="4" w:space="0" w:color="auto"/>
            </w:tcBorders>
            <w:vAlign w:val="center"/>
          </w:tcPr>
          <w:p w:rsidR="004551E6" w:rsidRPr="009C6C84" w:rsidRDefault="001E4612" w:rsidP="004551E6">
            <w:pPr>
              <w:spacing w:after="0"/>
              <w:jc w:val="center"/>
              <w:rPr>
                <w:rFonts w:ascii="Calibri" w:eastAsia="Times New Roman" w:hAnsi="Calibri" w:cs="Calibri"/>
                <w:color w:val="000000"/>
                <w:sz w:val="20"/>
              </w:rPr>
            </w:pPr>
            <w:r>
              <w:rPr>
                <w:rFonts w:ascii="Calibri" w:eastAsia="Times New Roman" w:hAnsi="Calibri" w:cs="Calibri"/>
                <w:color w:val="000000"/>
                <w:sz w:val="20"/>
              </w:rPr>
              <w:t>1.4</w:t>
            </w:r>
            <w:r w:rsidR="004551E6">
              <w:rPr>
                <w:rFonts w:ascii="Calibri" w:eastAsia="Times New Roman" w:hAnsi="Calibri" w:cs="Calibri"/>
                <w:color w:val="000000"/>
                <w:sz w:val="20"/>
              </w:rPr>
              <w:t>x</w:t>
            </w:r>
          </w:p>
        </w:tc>
      </w:tr>
      <w:tr w:rsidR="004551E6" w:rsidRPr="009C6C84" w:rsidTr="004551E6">
        <w:trPr>
          <w:trHeight w:val="288"/>
          <w:jc w:val="right"/>
        </w:trPr>
        <w:tc>
          <w:tcPr>
            <w:tcW w:w="630" w:type="dxa"/>
            <w:tcBorders>
              <w:top w:val="nil"/>
              <w:left w:val="single" w:sz="4" w:space="0" w:color="auto"/>
              <w:bottom w:val="nil"/>
            </w:tcBorders>
            <w:shd w:val="clear" w:color="auto" w:fill="auto"/>
            <w:noWrap/>
            <w:vAlign w:val="center"/>
            <w:hideMark/>
          </w:tcPr>
          <w:p w:rsidR="004551E6" w:rsidRPr="009C6C84" w:rsidRDefault="004551E6" w:rsidP="004551E6">
            <w:pPr>
              <w:spacing w:after="0"/>
              <w:jc w:val="center"/>
              <w:rPr>
                <w:rFonts w:ascii="Calibri" w:eastAsia="Times New Roman" w:hAnsi="Calibri" w:cs="Calibri"/>
                <w:color w:val="000000"/>
                <w:sz w:val="20"/>
              </w:rPr>
            </w:pPr>
            <w:r w:rsidRPr="009C6C84">
              <w:rPr>
                <w:rFonts w:ascii="Calibri" w:eastAsia="Times New Roman" w:hAnsi="Calibri" w:cs="Calibri"/>
                <w:color w:val="000000"/>
                <w:sz w:val="20"/>
              </w:rPr>
              <w:t>40</w:t>
            </w:r>
          </w:p>
        </w:tc>
        <w:tc>
          <w:tcPr>
            <w:tcW w:w="874" w:type="dxa"/>
            <w:tcBorders>
              <w:top w:val="nil"/>
              <w:bottom w:val="nil"/>
            </w:tcBorders>
            <w:shd w:val="clear" w:color="auto" w:fill="auto"/>
            <w:noWrap/>
            <w:vAlign w:val="center"/>
            <w:hideMark/>
          </w:tcPr>
          <w:p w:rsidR="004551E6" w:rsidRPr="009C6C84" w:rsidRDefault="004551E6" w:rsidP="004551E6">
            <w:pPr>
              <w:spacing w:after="0"/>
              <w:jc w:val="center"/>
              <w:rPr>
                <w:rFonts w:ascii="Calibri" w:eastAsia="Times New Roman" w:hAnsi="Calibri" w:cs="Calibri"/>
                <w:color w:val="000000"/>
                <w:sz w:val="20"/>
              </w:rPr>
            </w:pPr>
            <w:r w:rsidRPr="009C6C84">
              <w:rPr>
                <w:rFonts w:ascii="Calibri" w:eastAsia="Times New Roman" w:hAnsi="Calibri" w:cs="Calibri"/>
                <w:color w:val="000000"/>
                <w:sz w:val="20"/>
              </w:rPr>
              <w:t>2x</w:t>
            </w:r>
          </w:p>
        </w:tc>
        <w:tc>
          <w:tcPr>
            <w:tcW w:w="725" w:type="dxa"/>
            <w:tcBorders>
              <w:top w:val="nil"/>
              <w:bottom w:val="nil"/>
              <w:right w:val="single" w:sz="4" w:space="0" w:color="auto"/>
            </w:tcBorders>
            <w:vAlign w:val="center"/>
          </w:tcPr>
          <w:p w:rsidR="004551E6" w:rsidRPr="009C6C84" w:rsidRDefault="001E4612" w:rsidP="004551E6">
            <w:pPr>
              <w:spacing w:after="0"/>
              <w:jc w:val="center"/>
              <w:rPr>
                <w:rFonts w:ascii="Calibri" w:eastAsia="Times New Roman" w:hAnsi="Calibri" w:cs="Calibri"/>
                <w:color w:val="000000"/>
                <w:sz w:val="20"/>
              </w:rPr>
            </w:pPr>
            <w:r>
              <w:rPr>
                <w:rFonts w:ascii="Calibri" w:eastAsia="Times New Roman" w:hAnsi="Calibri" w:cs="Calibri"/>
                <w:color w:val="000000"/>
                <w:sz w:val="20"/>
              </w:rPr>
              <w:t>2.8</w:t>
            </w:r>
            <w:r w:rsidR="004551E6">
              <w:rPr>
                <w:rFonts w:ascii="Calibri" w:eastAsia="Times New Roman" w:hAnsi="Calibri" w:cs="Calibri"/>
                <w:color w:val="000000"/>
                <w:sz w:val="20"/>
              </w:rPr>
              <w:t>x</w:t>
            </w:r>
          </w:p>
        </w:tc>
      </w:tr>
      <w:tr w:rsidR="004551E6" w:rsidRPr="009C6C84" w:rsidTr="004551E6">
        <w:trPr>
          <w:trHeight w:val="288"/>
          <w:jc w:val="right"/>
        </w:trPr>
        <w:tc>
          <w:tcPr>
            <w:tcW w:w="630" w:type="dxa"/>
            <w:tcBorders>
              <w:top w:val="nil"/>
              <w:left w:val="single" w:sz="4" w:space="0" w:color="auto"/>
              <w:bottom w:val="nil"/>
            </w:tcBorders>
            <w:shd w:val="clear" w:color="auto" w:fill="auto"/>
            <w:noWrap/>
            <w:vAlign w:val="center"/>
            <w:hideMark/>
          </w:tcPr>
          <w:p w:rsidR="004551E6" w:rsidRPr="009C6C84" w:rsidRDefault="004551E6" w:rsidP="004551E6">
            <w:pPr>
              <w:spacing w:after="0"/>
              <w:jc w:val="center"/>
              <w:rPr>
                <w:rFonts w:ascii="Calibri" w:eastAsia="Times New Roman" w:hAnsi="Calibri" w:cs="Calibri"/>
                <w:color w:val="000000"/>
                <w:sz w:val="20"/>
              </w:rPr>
            </w:pPr>
            <w:r w:rsidRPr="009C6C84">
              <w:rPr>
                <w:rFonts w:ascii="Calibri" w:eastAsia="Times New Roman" w:hAnsi="Calibri" w:cs="Calibri"/>
                <w:color w:val="000000"/>
                <w:sz w:val="20"/>
              </w:rPr>
              <w:t>45</w:t>
            </w:r>
          </w:p>
        </w:tc>
        <w:tc>
          <w:tcPr>
            <w:tcW w:w="874" w:type="dxa"/>
            <w:tcBorders>
              <w:top w:val="nil"/>
              <w:bottom w:val="nil"/>
            </w:tcBorders>
            <w:shd w:val="clear" w:color="auto" w:fill="auto"/>
            <w:noWrap/>
            <w:vAlign w:val="center"/>
            <w:hideMark/>
          </w:tcPr>
          <w:p w:rsidR="004551E6" w:rsidRPr="009C6C84" w:rsidRDefault="004551E6" w:rsidP="004551E6">
            <w:pPr>
              <w:spacing w:after="0"/>
              <w:jc w:val="center"/>
              <w:rPr>
                <w:rFonts w:ascii="Calibri" w:eastAsia="Times New Roman" w:hAnsi="Calibri" w:cs="Calibri"/>
                <w:color w:val="000000"/>
                <w:sz w:val="20"/>
              </w:rPr>
            </w:pPr>
            <w:r w:rsidRPr="009C6C84">
              <w:rPr>
                <w:rFonts w:ascii="Calibri" w:eastAsia="Times New Roman" w:hAnsi="Calibri" w:cs="Calibri"/>
                <w:color w:val="000000"/>
                <w:sz w:val="20"/>
              </w:rPr>
              <w:t>3x</w:t>
            </w:r>
          </w:p>
        </w:tc>
        <w:tc>
          <w:tcPr>
            <w:tcW w:w="725" w:type="dxa"/>
            <w:tcBorders>
              <w:top w:val="nil"/>
              <w:bottom w:val="nil"/>
              <w:right w:val="single" w:sz="4" w:space="0" w:color="auto"/>
            </w:tcBorders>
            <w:vAlign w:val="center"/>
          </w:tcPr>
          <w:p w:rsidR="004551E6" w:rsidRPr="009C6C84" w:rsidRDefault="001E4612" w:rsidP="004551E6">
            <w:pPr>
              <w:spacing w:after="0"/>
              <w:jc w:val="center"/>
              <w:rPr>
                <w:rFonts w:ascii="Calibri" w:eastAsia="Times New Roman" w:hAnsi="Calibri" w:cs="Calibri"/>
                <w:color w:val="000000"/>
                <w:sz w:val="20"/>
              </w:rPr>
            </w:pPr>
            <w:r>
              <w:rPr>
                <w:rFonts w:ascii="Calibri" w:eastAsia="Times New Roman" w:hAnsi="Calibri" w:cs="Calibri"/>
                <w:color w:val="000000"/>
                <w:sz w:val="20"/>
              </w:rPr>
              <w:t>4.4</w:t>
            </w:r>
            <w:r w:rsidR="004551E6">
              <w:rPr>
                <w:rFonts w:ascii="Calibri" w:eastAsia="Times New Roman" w:hAnsi="Calibri" w:cs="Calibri"/>
                <w:color w:val="000000"/>
                <w:sz w:val="20"/>
              </w:rPr>
              <w:t>x</w:t>
            </w:r>
          </w:p>
        </w:tc>
      </w:tr>
      <w:tr w:rsidR="004551E6" w:rsidRPr="009C6C84" w:rsidTr="004551E6">
        <w:trPr>
          <w:trHeight w:val="288"/>
          <w:jc w:val="right"/>
        </w:trPr>
        <w:tc>
          <w:tcPr>
            <w:tcW w:w="630" w:type="dxa"/>
            <w:tcBorders>
              <w:top w:val="nil"/>
              <w:left w:val="single" w:sz="4" w:space="0" w:color="auto"/>
              <w:bottom w:val="nil"/>
            </w:tcBorders>
            <w:shd w:val="clear" w:color="auto" w:fill="auto"/>
            <w:noWrap/>
            <w:vAlign w:val="center"/>
            <w:hideMark/>
          </w:tcPr>
          <w:p w:rsidR="004551E6" w:rsidRPr="009C6C84" w:rsidRDefault="004551E6" w:rsidP="004551E6">
            <w:pPr>
              <w:spacing w:after="0"/>
              <w:jc w:val="center"/>
              <w:rPr>
                <w:rFonts w:ascii="Calibri" w:eastAsia="Times New Roman" w:hAnsi="Calibri" w:cs="Calibri"/>
                <w:color w:val="000000"/>
                <w:sz w:val="20"/>
              </w:rPr>
            </w:pPr>
            <w:r w:rsidRPr="009C6C84">
              <w:rPr>
                <w:rFonts w:ascii="Calibri" w:eastAsia="Times New Roman" w:hAnsi="Calibri" w:cs="Calibri"/>
                <w:color w:val="000000"/>
                <w:sz w:val="20"/>
              </w:rPr>
              <w:t>50</w:t>
            </w:r>
          </w:p>
        </w:tc>
        <w:tc>
          <w:tcPr>
            <w:tcW w:w="874" w:type="dxa"/>
            <w:tcBorders>
              <w:top w:val="nil"/>
              <w:bottom w:val="nil"/>
            </w:tcBorders>
            <w:shd w:val="clear" w:color="auto" w:fill="auto"/>
            <w:noWrap/>
            <w:vAlign w:val="center"/>
            <w:hideMark/>
          </w:tcPr>
          <w:p w:rsidR="004551E6" w:rsidRPr="009C6C84" w:rsidRDefault="004551E6" w:rsidP="004551E6">
            <w:pPr>
              <w:spacing w:after="0"/>
              <w:jc w:val="center"/>
              <w:rPr>
                <w:rFonts w:ascii="Calibri" w:eastAsia="Times New Roman" w:hAnsi="Calibri" w:cs="Calibri"/>
                <w:color w:val="000000"/>
                <w:sz w:val="20"/>
              </w:rPr>
            </w:pPr>
            <w:r w:rsidRPr="009C6C84">
              <w:rPr>
                <w:rFonts w:ascii="Calibri" w:eastAsia="Times New Roman" w:hAnsi="Calibri" w:cs="Calibri"/>
                <w:color w:val="000000"/>
                <w:sz w:val="20"/>
              </w:rPr>
              <w:t>4x</w:t>
            </w:r>
          </w:p>
        </w:tc>
        <w:tc>
          <w:tcPr>
            <w:tcW w:w="725" w:type="dxa"/>
            <w:tcBorders>
              <w:top w:val="nil"/>
              <w:bottom w:val="nil"/>
              <w:right w:val="single" w:sz="4" w:space="0" w:color="auto"/>
            </w:tcBorders>
            <w:vAlign w:val="center"/>
          </w:tcPr>
          <w:p w:rsidR="004551E6" w:rsidRPr="009C6C84" w:rsidRDefault="001E4612" w:rsidP="004551E6">
            <w:pPr>
              <w:spacing w:after="0"/>
              <w:jc w:val="center"/>
              <w:rPr>
                <w:rFonts w:ascii="Calibri" w:eastAsia="Times New Roman" w:hAnsi="Calibri" w:cs="Calibri"/>
                <w:color w:val="000000"/>
                <w:sz w:val="20"/>
              </w:rPr>
            </w:pPr>
            <w:r>
              <w:rPr>
                <w:rFonts w:ascii="Calibri" w:eastAsia="Times New Roman" w:hAnsi="Calibri" w:cs="Calibri"/>
                <w:color w:val="000000"/>
                <w:sz w:val="20"/>
              </w:rPr>
              <w:t>6.3</w:t>
            </w:r>
            <w:r w:rsidR="004551E6">
              <w:rPr>
                <w:rFonts w:ascii="Calibri" w:eastAsia="Times New Roman" w:hAnsi="Calibri" w:cs="Calibri"/>
                <w:color w:val="000000"/>
                <w:sz w:val="20"/>
              </w:rPr>
              <w:t>x</w:t>
            </w:r>
          </w:p>
        </w:tc>
      </w:tr>
      <w:tr w:rsidR="004551E6" w:rsidRPr="009C6C84" w:rsidTr="004551E6">
        <w:trPr>
          <w:trHeight w:val="288"/>
          <w:jc w:val="right"/>
        </w:trPr>
        <w:tc>
          <w:tcPr>
            <w:tcW w:w="630" w:type="dxa"/>
            <w:tcBorders>
              <w:top w:val="nil"/>
              <w:left w:val="single" w:sz="4" w:space="0" w:color="auto"/>
              <w:bottom w:val="nil"/>
            </w:tcBorders>
            <w:shd w:val="clear" w:color="auto" w:fill="auto"/>
            <w:noWrap/>
            <w:vAlign w:val="center"/>
            <w:hideMark/>
          </w:tcPr>
          <w:p w:rsidR="004551E6" w:rsidRPr="009C6C84" w:rsidRDefault="004551E6" w:rsidP="004551E6">
            <w:pPr>
              <w:spacing w:after="0"/>
              <w:jc w:val="center"/>
              <w:rPr>
                <w:rFonts w:ascii="Calibri" w:eastAsia="Times New Roman" w:hAnsi="Calibri" w:cs="Calibri"/>
                <w:color w:val="000000"/>
                <w:sz w:val="20"/>
              </w:rPr>
            </w:pPr>
            <w:r w:rsidRPr="009C6C84">
              <w:rPr>
                <w:rFonts w:ascii="Calibri" w:eastAsia="Times New Roman" w:hAnsi="Calibri" w:cs="Calibri"/>
                <w:color w:val="000000"/>
                <w:sz w:val="20"/>
              </w:rPr>
              <w:t>55</w:t>
            </w:r>
          </w:p>
        </w:tc>
        <w:tc>
          <w:tcPr>
            <w:tcW w:w="874" w:type="dxa"/>
            <w:tcBorders>
              <w:top w:val="nil"/>
              <w:bottom w:val="nil"/>
            </w:tcBorders>
            <w:shd w:val="clear" w:color="auto" w:fill="auto"/>
            <w:noWrap/>
            <w:vAlign w:val="center"/>
            <w:hideMark/>
          </w:tcPr>
          <w:p w:rsidR="004551E6" w:rsidRPr="009C6C84" w:rsidRDefault="004551E6" w:rsidP="004551E6">
            <w:pPr>
              <w:spacing w:after="0"/>
              <w:jc w:val="center"/>
              <w:rPr>
                <w:rFonts w:ascii="Calibri" w:eastAsia="Times New Roman" w:hAnsi="Calibri" w:cs="Calibri"/>
                <w:color w:val="000000"/>
                <w:sz w:val="20"/>
              </w:rPr>
            </w:pPr>
            <w:r w:rsidRPr="009C6C84">
              <w:rPr>
                <w:rFonts w:ascii="Calibri" w:eastAsia="Times New Roman" w:hAnsi="Calibri" w:cs="Calibri"/>
                <w:color w:val="000000"/>
                <w:sz w:val="20"/>
              </w:rPr>
              <w:t>5x</w:t>
            </w:r>
          </w:p>
        </w:tc>
        <w:tc>
          <w:tcPr>
            <w:tcW w:w="725" w:type="dxa"/>
            <w:tcBorders>
              <w:top w:val="nil"/>
              <w:bottom w:val="nil"/>
              <w:right w:val="single" w:sz="4" w:space="0" w:color="auto"/>
            </w:tcBorders>
            <w:vAlign w:val="center"/>
          </w:tcPr>
          <w:p w:rsidR="004551E6" w:rsidRPr="009C6C84" w:rsidRDefault="001E4612" w:rsidP="004551E6">
            <w:pPr>
              <w:spacing w:after="0"/>
              <w:jc w:val="center"/>
              <w:rPr>
                <w:rFonts w:ascii="Calibri" w:eastAsia="Times New Roman" w:hAnsi="Calibri" w:cs="Calibri"/>
                <w:color w:val="000000"/>
                <w:sz w:val="20"/>
              </w:rPr>
            </w:pPr>
            <w:r>
              <w:rPr>
                <w:rFonts w:ascii="Calibri" w:eastAsia="Times New Roman" w:hAnsi="Calibri" w:cs="Calibri"/>
                <w:color w:val="000000"/>
                <w:sz w:val="20"/>
              </w:rPr>
              <w:t>8.4</w:t>
            </w:r>
            <w:r w:rsidR="004551E6">
              <w:rPr>
                <w:rFonts w:ascii="Calibri" w:eastAsia="Times New Roman" w:hAnsi="Calibri" w:cs="Calibri"/>
                <w:color w:val="000000"/>
                <w:sz w:val="20"/>
              </w:rPr>
              <w:t>x</w:t>
            </w:r>
          </w:p>
        </w:tc>
      </w:tr>
      <w:tr w:rsidR="004551E6" w:rsidRPr="009C6C84" w:rsidTr="004551E6">
        <w:trPr>
          <w:trHeight w:val="288"/>
          <w:jc w:val="right"/>
        </w:trPr>
        <w:tc>
          <w:tcPr>
            <w:tcW w:w="630" w:type="dxa"/>
            <w:tcBorders>
              <w:top w:val="nil"/>
              <w:left w:val="single" w:sz="4" w:space="0" w:color="auto"/>
              <w:bottom w:val="nil"/>
            </w:tcBorders>
            <w:shd w:val="clear" w:color="auto" w:fill="auto"/>
            <w:noWrap/>
            <w:vAlign w:val="center"/>
            <w:hideMark/>
          </w:tcPr>
          <w:p w:rsidR="004551E6" w:rsidRPr="009C6C84" w:rsidRDefault="004551E6" w:rsidP="004551E6">
            <w:pPr>
              <w:spacing w:after="0"/>
              <w:jc w:val="center"/>
              <w:rPr>
                <w:rFonts w:ascii="Calibri" w:eastAsia="Times New Roman" w:hAnsi="Calibri" w:cs="Calibri"/>
                <w:color w:val="000000"/>
                <w:sz w:val="20"/>
              </w:rPr>
            </w:pPr>
            <w:r w:rsidRPr="009C6C84">
              <w:rPr>
                <w:rFonts w:ascii="Calibri" w:eastAsia="Times New Roman" w:hAnsi="Calibri" w:cs="Calibri"/>
                <w:color w:val="000000"/>
                <w:sz w:val="20"/>
              </w:rPr>
              <w:t>60</w:t>
            </w:r>
          </w:p>
        </w:tc>
        <w:tc>
          <w:tcPr>
            <w:tcW w:w="874" w:type="dxa"/>
            <w:tcBorders>
              <w:top w:val="nil"/>
              <w:bottom w:val="nil"/>
            </w:tcBorders>
            <w:shd w:val="clear" w:color="auto" w:fill="auto"/>
            <w:noWrap/>
            <w:vAlign w:val="center"/>
            <w:hideMark/>
          </w:tcPr>
          <w:p w:rsidR="004551E6" w:rsidRPr="009C6C84" w:rsidRDefault="004551E6" w:rsidP="004551E6">
            <w:pPr>
              <w:spacing w:after="0"/>
              <w:jc w:val="center"/>
              <w:rPr>
                <w:rFonts w:ascii="Calibri" w:eastAsia="Times New Roman" w:hAnsi="Calibri" w:cs="Calibri"/>
                <w:color w:val="000000"/>
                <w:sz w:val="20"/>
              </w:rPr>
            </w:pPr>
            <w:r w:rsidRPr="009C6C84">
              <w:rPr>
                <w:rFonts w:ascii="Calibri" w:eastAsia="Times New Roman" w:hAnsi="Calibri" w:cs="Calibri"/>
                <w:color w:val="000000"/>
                <w:sz w:val="20"/>
              </w:rPr>
              <w:t>6x</w:t>
            </w:r>
          </w:p>
        </w:tc>
        <w:tc>
          <w:tcPr>
            <w:tcW w:w="725" w:type="dxa"/>
            <w:tcBorders>
              <w:top w:val="nil"/>
              <w:bottom w:val="nil"/>
              <w:right w:val="single" w:sz="4" w:space="0" w:color="auto"/>
            </w:tcBorders>
            <w:vAlign w:val="center"/>
          </w:tcPr>
          <w:p w:rsidR="004551E6" w:rsidRPr="009C6C84" w:rsidRDefault="001E4612" w:rsidP="004551E6">
            <w:pPr>
              <w:spacing w:after="0"/>
              <w:jc w:val="center"/>
              <w:rPr>
                <w:rFonts w:ascii="Calibri" w:eastAsia="Times New Roman" w:hAnsi="Calibri" w:cs="Calibri"/>
                <w:color w:val="000000"/>
                <w:sz w:val="20"/>
              </w:rPr>
            </w:pPr>
            <w:r>
              <w:rPr>
                <w:rFonts w:ascii="Calibri" w:eastAsia="Times New Roman" w:hAnsi="Calibri" w:cs="Calibri"/>
                <w:color w:val="000000"/>
                <w:sz w:val="20"/>
              </w:rPr>
              <w:t>10.7</w:t>
            </w:r>
            <w:r w:rsidR="004551E6">
              <w:rPr>
                <w:rFonts w:ascii="Calibri" w:eastAsia="Times New Roman" w:hAnsi="Calibri" w:cs="Calibri"/>
                <w:color w:val="000000"/>
                <w:sz w:val="20"/>
              </w:rPr>
              <w:t>x</w:t>
            </w:r>
          </w:p>
        </w:tc>
      </w:tr>
      <w:tr w:rsidR="004551E6" w:rsidRPr="009C6C84" w:rsidTr="004551E6">
        <w:trPr>
          <w:trHeight w:val="288"/>
          <w:jc w:val="right"/>
        </w:trPr>
        <w:tc>
          <w:tcPr>
            <w:tcW w:w="630" w:type="dxa"/>
            <w:tcBorders>
              <w:top w:val="nil"/>
              <w:left w:val="single" w:sz="4" w:space="0" w:color="auto"/>
              <w:bottom w:val="single" w:sz="4" w:space="0" w:color="auto"/>
            </w:tcBorders>
            <w:shd w:val="clear" w:color="auto" w:fill="auto"/>
            <w:noWrap/>
            <w:vAlign w:val="center"/>
            <w:hideMark/>
          </w:tcPr>
          <w:p w:rsidR="004551E6" w:rsidRPr="009C6C84" w:rsidRDefault="004551E6" w:rsidP="004551E6">
            <w:pPr>
              <w:spacing w:after="0"/>
              <w:jc w:val="center"/>
              <w:rPr>
                <w:rFonts w:ascii="Calibri" w:eastAsia="Times New Roman" w:hAnsi="Calibri" w:cs="Calibri"/>
                <w:color w:val="000000"/>
                <w:sz w:val="20"/>
              </w:rPr>
            </w:pPr>
            <w:r w:rsidRPr="009C6C84">
              <w:rPr>
                <w:rFonts w:ascii="Calibri" w:eastAsia="Times New Roman" w:hAnsi="Calibri" w:cs="Calibri"/>
                <w:color w:val="000000"/>
                <w:sz w:val="20"/>
              </w:rPr>
              <w:t>67</w:t>
            </w:r>
          </w:p>
        </w:tc>
        <w:tc>
          <w:tcPr>
            <w:tcW w:w="874" w:type="dxa"/>
            <w:tcBorders>
              <w:top w:val="nil"/>
              <w:bottom w:val="single" w:sz="4" w:space="0" w:color="auto"/>
            </w:tcBorders>
            <w:shd w:val="clear" w:color="auto" w:fill="auto"/>
            <w:noWrap/>
            <w:vAlign w:val="center"/>
            <w:hideMark/>
          </w:tcPr>
          <w:p w:rsidR="004551E6" w:rsidRPr="009C6C84" w:rsidRDefault="004551E6" w:rsidP="004551E6">
            <w:pPr>
              <w:spacing w:after="0"/>
              <w:jc w:val="center"/>
              <w:rPr>
                <w:rFonts w:ascii="Calibri" w:eastAsia="Times New Roman" w:hAnsi="Calibri" w:cs="Calibri"/>
                <w:color w:val="000000"/>
                <w:sz w:val="20"/>
              </w:rPr>
            </w:pPr>
            <w:r w:rsidRPr="009C6C84">
              <w:rPr>
                <w:rFonts w:ascii="Calibri" w:eastAsia="Times New Roman" w:hAnsi="Calibri" w:cs="Calibri"/>
                <w:color w:val="000000"/>
                <w:sz w:val="20"/>
              </w:rPr>
              <w:t>8x</w:t>
            </w:r>
          </w:p>
        </w:tc>
        <w:tc>
          <w:tcPr>
            <w:tcW w:w="725" w:type="dxa"/>
            <w:tcBorders>
              <w:top w:val="nil"/>
              <w:bottom w:val="single" w:sz="4" w:space="0" w:color="auto"/>
              <w:right w:val="single" w:sz="4" w:space="0" w:color="auto"/>
            </w:tcBorders>
            <w:vAlign w:val="center"/>
          </w:tcPr>
          <w:p w:rsidR="004551E6" w:rsidRPr="009C6C84" w:rsidRDefault="004551E6" w:rsidP="004551E6">
            <w:pPr>
              <w:spacing w:after="0"/>
              <w:jc w:val="center"/>
              <w:rPr>
                <w:rFonts w:ascii="Calibri" w:eastAsia="Times New Roman" w:hAnsi="Calibri" w:cs="Calibri"/>
                <w:color w:val="000000"/>
                <w:sz w:val="20"/>
              </w:rPr>
            </w:pPr>
            <w:r>
              <w:rPr>
                <w:rFonts w:ascii="Calibri" w:eastAsia="Times New Roman" w:hAnsi="Calibri" w:cs="Calibri"/>
                <w:color w:val="000000"/>
                <w:sz w:val="20"/>
              </w:rPr>
              <w:t>13.9x</w:t>
            </w:r>
          </w:p>
        </w:tc>
      </w:tr>
    </w:tbl>
    <w:p w:rsidR="00A809DD" w:rsidRDefault="00A809DD" w:rsidP="00A809DD">
      <w:r>
        <w:t xml:space="preserve">Creating a retirement </w:t>
      </w:r>
      <w:r w:rsidRPr="00A809DD">
        <w:t>savings</w:t>
      </w:r>
      <w:r w:rsidR="008602EF">
        <w:t xml:space="preserve"> plan can be a challenging endeavor</w:t>
      </w:r>
      <w:r>
        <w:t>.  Really, we want answers to the following questions:</w:t>
      </w:r>
    </w:p>
    <w:p w:rsidR="008A26F7" w:rsidRDefault="00A809DD" w:rsidP="00A809DD">
      <w:pPr>
        <w:pStyle w:val="ListParagraph"/>
        <w:numPr>
          <w:ilvl w:val="0"/>
          <w:numId w:val="1"/>
        </w:numPr>
      </w:pPr>
      <w:r>
        <w:t>How much money do I need to retire?</w:t>
      </w:r>
    </w:p>
    <w:p w:rsidR="008A26F7" w:rsidRDefault="008A26F7" w:rsidP="00A809DD">
      <w:pPr>
        <w:pStyle w:val="ListParagraph"/>
        <w:numPr>
          <w:ilvl w:val="0"/>
          <w:numId w:val="1"/>
        </w:numPr>
      </w:pPr>
      <w:r>
        <w:t>H</w:t>
      </w:r>
      <w:bookmarkStart w:id="0" w:name="_GoBack"/>
      <w:bookmarkEnd w:id="0"/>
      <w:r w:rsidRPr="008A26F7">
        <w:t>ow do I plan my lifetime savings to reach this goal?</w:t>
      </w:r>
    </w:p>
    <w:p w:rsidR="004551E6" w:rsidRDefault="00A809DD" w:rsidP="00A809DD">
      <w:r>
        <w:t xml:space="preserve">Answering these questions is no simple task.  It involves financial planning over a time range of several decades and includes </w:t>
      </w:r>
      <w:r w:rsidR="004E066E">
        <w:t xml:space="preserve">many </w:t>
      </w:r>
      <w:r>
        <w:t xml:space="preserve">unknown parameters including: investment returns, inflation, taxes, and Social Security changes.  If you are actively managing your retirement funds (or trying to estimate the performance of someone else who is managing them) you also have to understand how (and why) retirement investments change over time and build a plan that adapts to include these changes.  The mathematics involved can be very complicated, but this brief fact sheet will summarize </w:t>
      </w:r>
      <w:r w:rsidR="008602EF">
        <w:t>some key results to help everyone plan for retirement.</w:t>
      </w:r>
    </w:p>
    <w:p w:rsidR="008602EF" w:rsidRPr="008602EF" w:rsidRDefault="008602EF" w:rsidP="008602EF">
      <w:pPr>
        <w:pStyle w:val="Heading1"/>
      </w:pPr>
      <w:r w:rsidRPr="008602EF">
        <w:t>Question 1: How much money do I need to retire?</w:t>
      </w:r>
    </w:p>
    <w:p w:rsidR="00E84C2A" w:rsidRDefault="008602EF" w:rsidP="00A809DD">
      <w:r>
        <w:t>The answer to this question depends on how much money you will require in retirement and how long you expect to live.  Fidelity financial advisors</w:t>
      </w:r>
      <w:r w:rsidRPr="008602EF">
        <w:rPr>
          <w:vertAlign w:val="superscript"/>
        </w:rPr>
        <w:t>1</w:t>
      </w:r>
      <w:r>
        <w:t xml:space="preserve"> suggest that you plan on retiring at age 67 (the age required </w:t>
      </w:r>
      <w:r w:rsidR="00E84C2A">
        <w:t>to earn</w:t>
      </w:r>
      <w:r>
        <w:t xml:space="preserve"> full Social Security benefits), spending 85% of your pre-retirement income during retirement, and living about 25 years to the age of 92.  Under these assumptions, they also suggest that you retire with 8 times your final, pre-retirement savings.  For someone who retires making $</w:t>
      </w:r>
      <w:r w:rsidR="00E84C2A">
        <w:t>60,000 this would be $480,000.</w:t>
      </w:r>
    </w:p>
    <w:p w:rsidR="008602EF" w:rsidRDefault="00E84C2A" w:rsidP="00A809DD">
      <w:r>
        <w:t>It is important to note that these advisors are assuming that you withdrawal full Social Security benefits.  Currently, this would provide about 40%</w:t>
      </w:r>
      <w:r w:rsidR="00AE506A" w:rsidRPr="00AE506A">
        <w:rPr>
          <w:vertAlign w:val="superscript"/>
        </w:rPr>
        <w:t>2</w:t>
      </w:r>
      <w:r>
        <w:t xml:space="preserve"> of your pre-retirement income, meaning that your savings are only required to provide 45%</w:t>
      </w:r>
      <w:r w:rsidR="002F7A75">
        <w:t xml:space="preserve"> to reach a total of 85%</w:t>
      </w:r>
      <w:r>
        <w:t xml:space="preserve">.   If you take </w:t>
      </w:r>
      <w:r w:rsidR="0068339C">
        <w:t>a</w:t>
      </w:r>
      <w:r>
        <w:t xml:space="preserve"> more pessimistic view </w:t>
      </w:r>
      <w:r w:rsidR="0068339C">
        <w:t xml:space="preserve">and assume </w:t>
      </w:r>
      <w:r>
        <w:t>that your savings will be required to cover a</w:t>
      </w:r>
      <w:r w:rsidR="0068339C">
        <w:t>l</w:t>
      </w:r>
      <w:r w:rsidR="008A26F7">
        <w:t xml:space="preserve">l of your retirement costs, the goal from Fidelity </w:t>
      </w:r>
      <w:r>
        <w:t>would nearly double to 1</w:t>
      </w:r>
      <w:r w:rsidR="00947812">
        <w:t>5.11</w:t>
      </w:r>
      <w:r>
        <w:t xml:space="preserve"> times your final earnings (or $906,667</w:t>
      </w:r>
      <w:r w:rsidR="00947812">
        <w:t xml:space="preserve"> in the example</w:t>
      </w:r>
      <w:r w:rsidR="008A26F7">
        <w:t xml:space="preserve"> of someone making $60,000</w:t>
      </w:r>
      <w:r>
        <w:t>).</w:t>
      </w:r>
    </w:p>
    <w:p w:rsidR="00E84C2A" w:rsidRDefault="00947812" w:rsidP="00A809DD">
      <w:r>
        <w:t xml:space="preserve">Fidelity does not provide </w:t>
      </w:r>
      <w:r w:rsidR="0068339C">
        <w:t>much</w:t>
      </w:r>
      <w:r>
        <w:t xml:space="preserve"> detail about how they arrived at this number nor do they assess the risk that you might </w:t>
      </w:r>
      <w:r w:rsidR="0068339C">
        <w:t>reach this savings goal</w:t>
      </w:r>
      <w:r>
        <w:t xml:space="preserve"> and still run out of money during retirement.  For a better understanding of the risk, we must turn to quantitative analysts</w:t>
      </w:r>
      <w:r w:rsidR="00467940">
        <w:rPr>
          <w:vertAlign w:val="superscript"/>
        </w:rPr>
        <w:t>3</w:t>
      </w:r>
      <w:r>
        <w:t xml:space="preserve"> who provide us with the following table</w:t>
      </w:r>
      <w:r w:rsidR="0068339C">
        <w:t>.  This table</w:t>
      </w:r>
      <w:r>
        <w:t xml:space="preserve"> depict</w:t>
      </w:r>
      <w:r w:rsidR="0068339C">
        <w:t>s</w:t>
      </w:r>
      <w:r>
        <w:t xml:space="preserve"> the probability of survival (</w:t>
      </w:r>
      <w:proofErr w:type="spellStart"/>
      <w:r w:rsidR="002F7A75">
        <w:t>PoS</w:t>
      </w:r>
      <w:proofErr w:type="spellEnd"/>
      <w:r w:rsidR="002F7A75">
        <w:t xml:space="preserve">, </w:t>
      </w:r>
      <w:r>
        <w:t>i.e. probability of not running out of money</w:t>
      </w:r>
      <w:r w:rsidR="008A26F7">
        <w:t>) during retirement</w:t>
      </w:r>
      <w:r>
        <w:t xml:space="preserve"> given different withdrawal rates and time spans:</w:t>
      </w:r>
    </w:p>
    <w:tbl>
      <w:tblPr>
        <w:tblW w:w="8140"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40"/>
        <w:gridCol w:w="700"/>
        <w:gridCol w:w="700"/>
        <w:gridCol w:w="700"/>
        <w:gridCol w:w="600"/>
        <w:gridCol w:w="600"/>
        <w:gridCol w:w="600"/>
        <w:gridCol w:w="600"/>
        <w:gridCol w:w="600"/>
        <w:gridCol w:w="600"/>
        <w:gridCol w:w="600"/>
      </w:tblGrid>
      <w:tr w:rsidR="00947812" w:rsidRPr="00947812" w:rsidTr="00947812">
        <w:trPr>
          <w:trHeight w:val="300"/>
        </w:trPr>
        <w:tc>
          <w:tcPr>
            <w:tcW w:w="1840" w:type="dxa"/>
            <w:tcBorders>
              <w:top w:val="nil"/>
              <w:left w:val="nil"/>
              <w:bottom w:val="single" w:sz="4" w:space="0" w:color="auto"/>
              <w:right w:val="single" w:sz="4" w:space="0" w:color="auto"/>
            </w:tcBorders>
            <w:noWrap/>
            <w:vAlign w:val="bottom"/>
          </w:tcPr>
          <w:p w:rsidR="00947812" w:rsidRPr="00947812" w:rsidRDefault="00947812" w:rsidP="00947812">
            <w:pPr>
              <w:spacing w:after="0"/>
              <w:rPr>
                <w:rFonts w:ascii="Calibri" w:eastAsia="Times New Roman" w:hAnsi="Calibri" w:cs="Calibri"/>
                <w:color w:val="000000"/>
                <w:sz w:val="20"/>
                <w:szCs w:val="20"/>
              </w:rPr>
            </w:pPr>
          </w:p>
        </w:tc>
        <w:tc>
          <w:tcPr>
            <w:tcW w:w="6300" w:type="dxa"/>
            <w:gridSpan w:val="10"/>
            <w:tcBorders>
              <w:top w:val="single" w:sz="4" w:space="0" w:color="auto"/>
              <w:left w:val="single" w:sz="4" w:space="0" w:color="auto"/>
              <w:bottom w:val="single" w:sz="4" w:space="0" w:color="auto"/>
              <w:right w:val="single" w:sz="4" w:space="0" w:color="auto"/>
            </w:tcBorders>
            <w:noWrap/>
            <w:vAlign w:val="bottom"/>
            <w:hideMark/>
          </w:tcPr>
          <w:p w:rsidR="00947812" w:rsidRPr="00947812" w:rsidRDefault="00947812" w:rsidP="00947812">
            <w:pPr>
              <w:spacing w:after="0"/>
              <w:jc w:val="center"/>
              <w:rPr>
                <w:rFonts w:ascii="Calibri" w:eastAsia="Times New Roman" w:hAnsi="Calibri" w:cs="Calibri"/>
                <w:color w:val="000000"/>
                <w:sz w:val="20"/>
                <w:szCs w:val="20"/>
              </w:rPr>
            </w:pPr>
            <w:r w:rsidRPr="00947812">
              <w:rPr>
                <w:rFonts w:ascii="Calibri" w:eastAsia="Times New Roman" w:hAnsi="Calibri" w:cs="Calibri"/>
                <w:color w:val="000000"/>
                <w:sz w:val="20"/>
                <w:szCs w:val="20"/>
              </w:rPr>
              <w:t xml:space="preserve">Annualized Withdrawal Rate </w:t>
            </w:r>
            <w:r w:rsidR="0068339C">
              <w:rPr>
                <w:rFonts w:ascii="Calibri" w:eastAsia="Times New Roman" w:hAnsi="Calibri" w:cs="Calibri"/>
                <w:color w:val="000000"/>
                <w:sz w:val="20"/>
                <w:szCs w:val="20"/>
              </w:rPr>
              <w:t>(</w:t>
            </w:r>
            <w:r w:rsidRPr="00947812">
              <w:rPr>
                <w:rFonts w:ascii="Calibri" w:eastAsia="Times New Roman" w:hAnsi="Calibri" w:cs="Calibri"/>
                <w:color w:val="000000"/>
                <w:sz w:val="20"/>
                <w:szCs w:val="20"/>
              </w:rPr>
              <w:t>as a % of Initial Portfolio Value</w:t>
            </w:r>
            <w:r w:rsidR="0068339C">
              <w:rPr>
                <w:rFonts w:ascii="Calibri" w:eastAsia="Times New Roman" w:hAnsi="Calibri" w:cs="Calibri"/>
                <w:color w:val="000000"/>
                <w:sz w:val="20"/>
                <w:szCs w:val="20"/>
              </w:rPr>
              <w:t>)</w:t>
            </w:r>
          </w:p>
        </w:tc>
      </w:tr>
      <w:tr w:rsidR="00947812" w:rsidRPr="00947812" w:rsidTr="00947812">
        <w:trPr>
          <w:trHeight w:val="300"/>
        </w:trPr>
        <w:tc>
          <w:tcPr>
            <w:tcW w:w="1840" w:type="dxa"/>
            <w:tcBorders>
              <w:top w:val="single" w:sz="4" w:space="0" w:color="auto"/>
              <w:left w:val="single" w:sz="4" w:space="0" w:color="auto"/>
              <w:bottom w:val="single" w:sz="4" w:space="0" w:color="auto"/>
              <w:right w:val="single" w:sz="4" w:space="0" w:color="auto"/>
            </w:tcBorders>
            <w:noWrap/>
            <w:vAlign w:val="bottom"/>
            <w:hideMark/>
          </w:tcPr>
          <w:p w:rsidR="00947812" w:rsidRPr="00947812" w:rsidRDefault="00947812" w:rsidP="00947812">
            <w:pPr>
              <w:spacing w:after="0"/>
              <w:rPr>
                <w:rFonts w:ascii="Calibri" w:eastAsia="Times New Roman" w:hAnsi="Calibri" w:cs="Calibri"/>
                <w:color w:val="000000"/>
                <w:sz w:val="20"/>
                <w:szCs w:val="20"/>
              </w:rPr>
            </w:pPr>
            <w:r w:rsidRPr="00947812">
              <w:rPr>
                <w:rFonts w:ascii="Calibri" w:eastAsia="Times New Roman" w:hAnsi="Calibri" w:cs="Calibri"/>
                <w:color w:val="000000"/>
                <w:sz w:val="20"/>
                <w:szCs w:val="20"/>
              </w:rPr>
              <w:t>Payout Period</w:t>
            </w:r>
          </w:p>
        </w:tc>
        <w:tc>
          <w:tcPr>
            <w:tcW w:w="700" w:type="dxa"/>
            <w:tcBorders>
              <w:top w:val="single" w:sz="4" w:space="0" w:color="auto"/>
              <w:left w:val="single" w:sz="4" w:space="0" w:color="auto"/>
              <w:bottom w:val="single" w:sz="4" w:space="0" w:color="auto"/>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3%</w:t>
            </w:r>
          </w:p>
        </w:tc>
        <w:tc>
          <w:tcPr>
            <w:tcW w:w="700" w:type="dxa"/>
            <w:tcBorders>
              <w:top w:val="single" w:sz="4" w:space="0" w:color="auto"/>
              <w:left w:val="nil"/>
              <w:bottom w:val="single" w:sz="4" w:space="0" w:color="auto"/>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4%</w:t>
            </w:r>
          </w:p>
        </w:tc>
        <w:tc>
          <w:tcPr>
            <w:tcW w:w="700" w:type="dxa"/>
            <w:tcBorders>
              <w:top w:val="single" w:sz="4" w:space="0" w:color="auto"/>
              <w:left w:val="nil"/>
              <w:bottom w:val="single" w:sz="4" w:space="0" w:color="auto"/>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5%</w:t>
            </w:r>
          </w:p>
        </w:tc>
        <w:tc>
          <w:tcPr>
            <w:tcW w:w="600" w:type="dxa"/>
            <w:tcBorders>
              <w:top w:val="single" w:sz="4" w:space="0" w:color="auto"/>
              <w:left w:val="nil"/>
              <w:bottom w:val="single" w:sz="4" w:space="0" w:color="auto"/>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6%</w:t>
            </w:r>
          </w:p>
        </w:tc>
        <w:tc>
          <w:tcPr>
            <w:tcW w:w="600" w:type="dxa"/>
            <w:tcBorders>
              <w:top w:val="single" w:sz="4" w:space="0" w:color="auto"/>
              <w:left w:val="nil"/>
              <w:bottom w:val="single" w:sz="4" w:space="0" w:color="auto"/>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7%</w:t>
            </w:r>
          </w:p>
        </w:tc>
        <w:tc>
          <w:tcPr>
            <w:tcW w:w="600" w:type="dxa"/>
            <w:tcBorders>
              <w:top w:val="single" w:sz="4" w:space="0" w:color="auto"/>
              <w:left w:val="nil"/>
              <w:bottom w:val="single" w:sz="4" w:space="0" w:color="auto"/>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8%</w:t>
            </w:r>
          </w:p>
        </w:tc>
        <w:tc>
          <w:tcPr>
            <w:tcW w:w="600" w:type="dxa"/>
            <w:tcBorders>
              <w:top w:val="single" w:sz="4" w:space="0" w:color="auto"/>
              <w:left w:val="nil"/>
              <w:bottom w:val="single" w:sz="4" w:space="0" w:color="auto"/>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9%</w:t>
            </w:r>
          </w:p>
        </w:tc>
        <w:tc>
          <w:tcPr>
            <w:tcW w:w="600" w:type="dxa"/>
            <w:tcBorders>
              <w:top w:val="single" w:sz="4" w:space="0" w:color="auto"/>
              <w:left w:val="nil"/>
              <w:bottom w:val="single" w:sz="4" w:space="0" w:color="auto"/>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10%</w:t>
            </w:r>
          </w:p>
        </w:tc>
        <w:tc>
          <w:tcPr>
            <w:tcW w:w="600" w:type="dxa"/>
            <w:tcBorders>
              <w:top w:val="single" w:sz="4" w:space="0" w:color="auto"/>
              <w:left w:val="nil"/>
              <w:bottom w:val="single" w:sz="4" w:space="0" w:color="auto"/>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11%</w:t>
            </w:r>
          </w:p>
        </w:tc>
        <w:tc>
          <w:tcPr>
            <w:tcW w:w="600" w:type="dxa"/>
            <w:tcBorders>
              <w:top w:val="single" w:sz="4" w:space="0" w:color="auto"/>
              <w:left w:val="nil"/>
              <w:bottom w:val="single" w:sz="4" w:space="0" w:color="auto"/>
              <w:right w:val="single" w:sz="4" w:space="0" w:color="auto"/>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12%</w:t>
            </w:r>
          </w:p>
        </w:tc>
      </w:tr>
      <w:tr w:rsidR="00947812" w:rsidRPr="00947812" w:rsidTr="00947812">
        <w:trPr>
          <w:trHeight w:val="300"/>
        </w:trPr>
        <w:tc>
          <w:tcPr>
            <w:tcW w:w="1840" w:type="dxa"/>
            <w:tcBorders>
              <w:top w:val="single" w:sz="4" w:space="0" w:color="auto"/>
              <w:left w:val="single" w:sz="4" w:space="0" w:color="auto"/>
              <w:bottom w:val="nil"/>
              <w:right w:val="single" w:sz="4" w:space="0" w:color="auto"/>
            </w:tcBorders>
            <w:noWrap/>
            <w:vAlign w:val="bottom"/>
            <w:hideMark/>
          </w:tcPr>
          <w:p w:rsidR="00947812" w:rsidRPr="00947812" w:rsidRDefault="00947812" w:rsidP="0068339C">
            <w:pPr>
              <w:spacing w:after="0"/>
              <w:rPr>
                <w:rFonts w:ascii="Calibri" w:eastAsia="Times New Roman" w:hAnsi="Calibri" w:cs="Calibri"/>
                <w:color w:val="000000"/>
                <w:sz w:val="20"/>
                <w:szCs w:val="20"/>
              </w:rPr>
            </w:pPr>
            <w:r w:rsidRPr="00947812">
              <w:rPr>
                <w:rFonts w:ascii="Calibri" w:eastAsia="Times New Roman" w:hAnsi="Calibri" w:cs="Calibri"/>
                <w:color w:val="000000"/>
                <w:sz w:val="20"/>
                <w:szCs w:val="20"/>
              </w:rPr>
              <w:t>15 Years</w:t>
            </w:r>
          </w:p>
        </w:tc>
        <w:tc>
          <w:tcPr>
            <w:tcW w:w="700" w:type="dxa"/>
            <w:tcBorders>
              <w:top w:val="single" w:sz="4" w:space="0" w:color="auto"/>
              <w:left w:val="single" w:sz="4" w:space="0" w:color="auto"/>
              <w:bottom w:val="nil"/>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100</w:t>
            </w:r>
          </w:p>
        </w:tc>
        <w:tc>
          <w:tcPr>
            <w:tcW w:w="700" w:type="dxa"/>
            <w:tcBorders>
              <w:top w:val="single" w:sz="4" w:space="0" w:color="auto"/>
              <w:left w:val="nil"/>
              <w:bottom w:val="nil"/>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100</w:t>
            </w:r>
          </w:p>
        </w:tc>
        <w:tc>
          <w:tcPr>
            <w:tcW w:w="700" w:type="dxa"/>
            <w:tcBorders>
              <w:top w:val="single" w:sz="4" w:space="0" w:color="auto"/>
              <w:left w:val="nil"/>
              <w:bottom w:val="nil"/>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100</w:t>
            </w:r>
          </w:p>
        </w:tc>
        <w:tc>
          <w:tcPr>
            <w:tcW w:w="600" w:type="dxa"/>
            <w:tcBorders>
              <w:top w:val="single" w:sz="4" w:space="0" w:color="auto"/>
              <w:left w:val="nil"/>
              <w:bottom w:val="nil"/>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100</w:t>
            </w:r>
          </w:p>
        </w:tc>
        <w:tc>
          <w:tcPr>
            <w:tcW w:w="600" w:type="dxa"/>
            <w:tcBorders>
              <w:top w:val="single" w:sz="4" w:space="0" w:color="auto"/>
              <w:left w:val="nil"/>
              <w:bottom w:val="nil"/>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95</w:t>
            </w:r>
          </w:p>
        </w:tc>
        <w:tc>
          <w:tcPr>
            <w:tcW w:w="600" w:type="dxa"/>
            <w:tcBorders>
              <w:top w:val="single" w:sz="4" w:space="0" w:color="auto"/>
              <w:left w:val="nil"/>
              <w:bottom w:val="nil"/>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85</w:t>
            </w:r>
          </w:p>
        </w:tc>
        <w:tc>
          <w:tcPr>
            <w:tcW w:w="600" w:type="dxa"/>
            <w:tcBorders>
              <w:top w:val="single" w:sz="4" w:space="0" w:color="auto"/>
              <w:left w:val="nil"/>
              <w:bottom w:val="nil"/>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72</w:t>
            </w:r>
          </w:p>
        </w:tc>
        <w:tc>
          <w:tcPr>
            <w:tcW w:w="600" w:type="dxa"/>
            <w:tcBorders>
              <w:top w:val="single" w:sz="4" w:space="0" w:color="auto"/>
              <w:left w:val="nil"/>
              <w:bottom w:val="nil"/>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59</w:t>
            </w:r>
          </w:p>
        </w:tc>
        <w:tc>
          <w:tcPr>
            <w:tcW w:w="600" w:type="dxa"/>
            <w:tcBorders>
              <w:top w:val="single" w:sz="4" w:space="0" w:color="auto"/>
              <w:left w:val="nil"/>
              <w:bottom w:val="nil"/>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46</w:t>
            </w:r>
          </w:p>
        </w:tc>
        <w:tc>
          <w:tcPr>
            <w:tcW w:w="600" w:type="dxa"/>
            <w:tcBorders>
              <w:top w:val="single" w:sz="4" w:space="0" w:color="auto"/>
              <w:left w:val="nil"/>
              <w:bottom w:val="nil"/>
              <w:right w:val="single" w:sz="4" w:space="0" w:color="auto"/>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35</w:t>
            </w:r>
          </w:p>
        </w:tc>
      </w:tr>
      <w:tr w:rsidR="00947812" w:rsidRPr="00947812" w:rsidTr="00947812">
        <w:trPr>
          <w:trHeight w:val="300"/>
        </w:trPr>
        <w:tc>
          <w:tcPr>
            <w:tcW w:w="1840" w:type="dxa"/>
            <w:tcBorders>
              <w:top w:val="nil"/>
              <w:left w:val="single" w:sz="4" w:space="0" w:color="auto"/>
              <w:bottom w:val="nil"/>
              <w:right w:val="single" w:sz="4" w:space="0" w:color="auto"/>
            </w:tcBorders>
            <w:noWrap/>
            <w:vAlign w:val="bottom"/>
            <w:hideMark/>
          </w:tcPr>
          <w:p w:rsidR="00947812" w:rsidRPr="00947812" w:rsidRDefault="00947812" w:rsidP="0068339C">
            <w:pPr>
              <w:spacing w:after="0"/>
              <w:rPr>
                <w:rFonts w:ascii="Calibri" w:eastAsia="Times New Roman" w:hAnsi="Calibri" w:cs="Calibri"/>
                <w:color w:val="000000"/>
                <w:sz w:val="20"/>
                <w:szCs w:val="20"/>
              </w:rPr>
            </w:pPr>
            <w:r w:rsidRPr="00947812">
              <w:rPr>
                <w:rFonts w:ascii="Calibri" w:eastAsia="Times New Roman" w:hAnsi="Calibri" w:cs="Calibri"/>
                <w:color w:val="000000"/>
                <w:sz w:val="20"/>
                <w:szCs w:val="20"/>
              </w:rPr>
              <w:t>20 Years</w:t>
            </w:r>
          </w:p>
        </w:tc>
        <w:tc>
          <w:tcPr>
            <w:tcW w:w="700" w:type="dxa"/>
            <w:tcBorders>
              <w:top w:val="nil"/>
              <w:left w:val="single" w:sz="4" w:space="0" w:color="auto"/>
              <w:bottom w:val="nil"/>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100</w:t>
            </w:r>
          </w:p>
        </w:tc>
        <w:tc>
          <w:tcPr>
            <w:tcW w:w="700" w:type="dxa"/>
            <w:tcBorders>
              <w:top w:val="nil"/>
              <w:left w:val="nil"/>
              <w:bottom w:val="nil"/>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100</w:t>
            </w:r>
          </w:p>
        </w:tc>
        <w:tc>
          <w:tcPr>
            <w:tcW w:w="700" w:type="dxa"/>
            <w:tcBorders>
              <w:top w:val="nil"/>
              <w:left w:val="nil"/>
              <w:bottom w:val="nil"/>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99</w:t>
            </w:r>
          </w:p>
        </w:tc>
        <w:tc>
          <w:tcPr>
            <w:tcW w:w="600" w:type="dxa"/>
            <w:tcBorders>
              <w:top w:val="nil"/>
              <w:left w:val="nil"/>
              <w:bottom w:val="nil"/>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91</w:t>
            </w:r>
          </w:p>
        </w:tc>
        <w:tc>
          <w:tcPr>
            <w:tcW w:w="600" w:type="dxa"/>
            <w:tcBorders>
              <w:top w:val="nil"/>
              <w:left w:val="nil"/>
              <w:bottom w:val="nil"/>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79</w:t>
            </w:r>
          </w:p>
        </w:tc>
        <w:tc>
          <w:tcPr>
            <w:tcW w:w="600" w:type="dxa"/>
            <w:tcBorders>
              <w:top w:val="nil"/>
              <w:left w:val="nil"/>
              <w:bottom w:val="nil"/>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65</w:t>
            </w:r>
          </w:p>
        </w:tc>
        <w:tc>
          <w:tcPr>
            <w:tcW w:w="600" w:type="dxa"/>
            <w:tcBorders>
              <w:top w:val="nil"/>
              <w:left w:val="nil"/>
              <w:bottom w:val="nil"/>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51</w:t>
            </w:r>
          </w:p>
        </w:tc>
        <w:tc>
          <w:tcPr>
            <w:tcW w:w="600" w:type="dxa"/>
            <w:tcBorders>
              <w:top w:val="nil"/>
              <w:left w:val="nil"/>
              <w:bottom w:val="nil"/>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40</w:t>
            </w:r>
          </w:p>
        </w:tc>
        <w:tc>
          <w:tcPr>
            <w:tcW w:w="600" w:type="dxa"/>
            <w:tcBorders>
              <w:top w:val="nil"/>
              <w:left w:val="nil"/>
              <w:bottom w:val="nil"/>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29</w:t>
            </w:r>
          </w:p>
        </w:tc>
        <w:tc>
          <w:tcPr>
            <w:tcW w:w="600" w:type="dxa"/>
            <w:tcBorders>
              <w:top w:val="nil"/>
              <w:left w:val="nil"/>
              <w:bottom w:val="nil"/>
              <w:right w:val="single" w:sz="4" w:space="0" w:color="auto"/>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21</w:t>
            </w:r>
          </w:p>
        </w:tc>
      </w:tr>
      <w:tr w:rsidR="00947812" w:rsidRPr="00947812" w:rsidTr="00947812">
        <w:trPr>
          <w:trHeight w:val="300"/>
        </w:trPr>
        <w:tc>
          <w:tcPr>
            <w:tcW w:w="1840" w:type="dxa"/>
            <w:tcBorders>
              <w:top w:val="nil"/>
              <w:left w:val="single" w:sz="4" w:space="0" w:color="auto"/>
              <w:bottom w:val="nil"/>
              <w:right w:val="single" w:sz="4" w:space="0" w:color="auto"/>
            </w:tcBorders>
            <w:noWrap/>
            <w:vAlign w:val="bottom"/>
            <w:hideMark/>
          </w:tcPr>
          <w:p w:rsidR="00947812" w:rsidRPr="00947812" w:rsidRDefault="00947812" w:rsidP="0068339C">
            <w:pPr>
              <w:spacing w:after="0"/>
              <w:rPr>
                <w:rFonts w:ascii="Calibri" w:eastAsia="Times New Roman" w:hAnsi="Calibri" w:cs="Calibri"/>
                <w:color w:val="000000"/>
                <w:sz w:val="20"/>
                <w:szCs w:val="20"/>
              </w:rPr>
            </w:pPr>
            <w:r w:rsidRPr="00947812">
              <w:rPr>
                <w:rFonts w:ascii="Calibri" w:eastAsia="Times New Roman" w:hAnsi="Calibri" w:cs="Calibri"/>
                <w:color w:val="000000"/>
                <w:sz w:val="20"/>
                <w:szCs w:val="20"/>
              </w:rPr>
              <w:t>25 Years</w:t>
            </w:r>
          </w:p>
        </w:tc>
        <w:tc>
          <w:tcPr>
            <w:tcW w:w="700" w:type="dxa"/>
            <w:tcBorders>
              <w:top w:val="nil"/>
              <w:left w:val="single" w:sz="4" w:space="0" w:color="auto"/>
              <w:bottom w:val="nil"/>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100</w:t>
            </w:r>
          </w:p>
        </w:tc>
        <w:tc>
          <w:tcPr>
            <w:tcW w:w="700" w:type="dxa"/>
            <w:tcBorders>
              <w:top w:val="nil"/>
              <w:left w:val="nil"/>
              <w:bottom w:val="nil"/>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99</w:t>
            </w:r>
          </w:p>
        </w:tc>
        <w:tc>
          <w:tcPr>
            <w:tcW w:w="700" w:type="dxa"/>
            <w:tcBorders>
              <w:top w:val="nil"/>
              <w:left w:val="nil"/>
              <w:bottom w:val="nil"/>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92</w:t>
            </w:r>
          </w:p>
        </w:tc>
        <w:tc>
          <w:tcPr>
            <w:tcW w:w="600" w:type="dxa"/>
            <w:tcBorders>
              <w:top w:val="nil"/>
              <w:left w:val="nil"/>
              <w:bottom w:val="nil"/>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80</w:t>
            </w:r>
          </w:p>
        </w:tc>
        <w:tc>
          <w:tcPr>
            <w:tcW w:w="600" w:type="dxa"/>
            <w:tcBorders>
              <w:top w:val="nil"/>
              <w:left w:val="nil"/>
              <w:bottom w:val="nil"/>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66</w:t>
            </w:r>
          </w:p>
        </w:tc>
        <w:tc>
          <w:tcPr>
            <w:tcW w:w="600" w:type="dxa"/>
            <w:tcBorders>
              <w:top w:val="nil"/>
              <w:left w:val="nil"/>
              <w:bottom w:val="nil"/>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53</w:t>
            </w:r>
          </w:p>
        </w:tc>
        <w:tc>
          <w:tcPr>
            <w:tcW w:w="600" w:type="dxa"/>
            <w:tcBorders>
              <w:top w:val="nil"/>
              <w:left w:val="nil"/>
              <w:bottom w:val="nil"/>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40</w:t>
            </w:r>
          </w:p>
        </w:tc>
        <w:tc>
          <w:tcPr>
            <w:tcW w:w="600" w:type="dxa"/>
            <w:tcBorders>
              <w:top w:val="nil"/>
              <w:left w:val="nil"/>
              <w:bottom w:val="nil"/>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30</w:t>
            </w:r>
          </w:p>
        </w:tc>
        <w:tc>
          <w:tcPr>
            <w:tcW w:w="600" w:type="dxa"/>
            <w:tcBorders>
              <w:top w:val="nil"/>
              <w:left w:val="nil"/>
              <w:bottom w:val="nil"/>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21</w:t>
            </w:r>
          </w:p>
        </w:tc>
        <w:tc>
          <w:tcPr>
            <w:tcW w:w="600" w:type="dxa"/>
            <w:tcBorders>
              <w:top w:val="nil"/>
              <w:left w:val="nil"/>
              <w:bottom w:val="nil"/>
              <w:right w:val="single" w:sz="4" w:space="0" w:color="auto"/>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14</w:t>
            </w:r>
          </w:p>
        </w:tc>
      </w:tr>
      <w:tr w:rsidR="00947812" w:rsidRPr="00947812" w:rsidTr="00947812">
        <w:trPr>
          <w:trHeight w:val="300"/>
        </w:trPr>
        <w:tc>
          <w:tcPr>
            <w:tcW w:w="1840" w:type="dxa"/>
            <w:tcBorders>
              <w:top w:val="nil"/>
              <w:left w:val="single" w:sz="4" w:space="0" w:color="auto"/>
              <w:bottom w:val="single" w:sz="4" w:space="0" w:color="auto"/>
              <w:right w:val="single" w:sz="4" w:space="0" w:color="auto"/>
            </w:tcBorders>
            <w:noWrap/>
            <w:vAlign w:val="bottom"/>
            <w:hideMark/>
          </w:tcPr>
          <w:p w:rsidR="00947812" w:rsidRPr="00947812" w:rsidRDefault="00947812" w:rsidP="0068339C">
            <w:pPr>
              <w:spacing w:after="0"/>
              <w:rPr>
                <w:rFonts w:ascii="Calibri" w:eastAsia="Times New Roman" w:hAnsi="Calibri" w:cs="Calibri"/>
                <w:color w:val="000000"/>
                <w:sz w:val="20"/>
                <w:szCs w:val="20"/>
              </w:rPr>
            </w:pPr>
            <w:r w:rsidRPr="00947812">
              <w:rPr>
                <w:rFonts w:ascii="Calibri" w:eastAsia="Times New Roman" w:hAnsi="Calibri" w:cs="Calibri"/>
                <w:color w:val="000000"/>
                <w:sz w:val="20"/>
                <w:szCs w:val="20"/>
              </w:rPr>
              <w:t>30 Years</w:t>
            </w:r>
          </w:p>
        </w:tc>
        <w:tc>
          <w:tcPr>
            <w:tcW w:w="700" w:type="dxa"/>
            <w:tcBorders>
              <w:top w:val="nil"/>
              <w:left w:val="single" w:sz="4" w:space="0" w:color="auto"/>
              <w:bottom w:val="single" w:sz="4" w:space="0" w:color="auto"/>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100</w:t>
            </w:r>
          </w:p>
        </w:tc>
        <w:tc>
          <w:tcPr>
            <w:tcW w:w="700" w:type="dxa"/>
            <w:tcBorders>
              <w:top w:val="nil"/>
              <w:left w:val="nil"/>
              <w:bottom w:val="single" w:sz="4" w:space="0" w:color="auto"/>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96</w:t>
            </w:r>
          </w:p>
        </w:tc>
        <w:tc>
          <w:tcPr>
            <w:tcW w:w="700" w:type="dxa"/>
            <w:tcBorders>
              <w:top w:val="nil"/>
              <w:left w:val="nil"/>
              <w:bottom w:val="single" w:sz="4" w:space="0" w:color="auto"/>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86</w:t>
            </w:r>
          </w:p>
        </w:tc>
        <w:tc>
          <w:tcPr>
            <w:tcW w:w="600" w:type="dxa"/>
            <w:tcBorders>
              <w:top w:val="nil"/>
              <w:left w:val="nil"/>
              <w:bottom w:val="single" w:sz="4" w:space="0" w:color="auto"/>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72</w:t>
            </w:r>
          </w:p>
        </w:tc>
        <w:tc>
          <w:tcPr>
            <w:tcW w:w="600" w:type="dxa"/>
            <w:tcBorders>
              <w:top w:val="nil"/>
              <w:left w:val="nil"/>
              <w:bottom w:val="single" w:sz="4" w:space="0" w:color="auto"/>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58</w:t>
            </w:r>
          </w:p>
        </w:tc>
        <w:tc>
          <w:tcPr>
            <w:tcW w:w="600" w:type="dxa"/>
            <w:tcBorders>
              <w:top w:val="nil"/>
              <w:left w:val="nil"/>
              <w:bottom w:val="single" w:sz="4" w:space="0" w:color="auto"/>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45</w:t>
            </w:r>
          </w:p>
        </w:tc>
        <w:tc>
          <w:tcPr>
            <w:tcW w:w="600" w:type="dxa"/>
            <w:tcBorders>
              <w:top w:val="nil"/>
              <w:left w:val="nil"/>
              <w:bottom w:val="single" w:sz="4" w:space="0" w:color="auto"/>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34</w:t>
            </w:r>
          </w:p>
        </w:tc>
        <w:tc>
          <w:tcPr>
            <w:tcW w:w="600" w:type="dxa"/>
            <w:tcBorders>
              <w:top w:val="nil"/>
              <w:left w:val="nil"/>
              <w:bottom w:val="single" w:sz="4" w:space="0" w:color="auto"/>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24</w:t>
            </w:r>
          </w:p>
        </w:tc>
        <w:tc>
          <w:tcPr>
            <w:tcW w:w="600" w:type="dxa"/>
            <w:tcBorders>
              <w:top w:val="nil"/>
              <w:left w:val="nil"/>
              <w:bottom w:val="single" w:sz="4" w:space="0" w:color="auto"/>
              <w:right w:val="nil"/>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17</w:t>
            </w:r>
          </w:p>
        </w:tc>
        <w:tc>
          <w:tcPr>
            <w:tcW w:w="600" w:type="dxa"/>
            <w:tcBorders>
              <w:top w:val="nil"/>
              <w:left w:val="nil"/>
              <w:bottom w:val="single" w:sz="4" w:space="0" w:color="auto"/>
              <w:right w:val="single" w:sz="4" w:space="0" w:color="auto"/>
            </w:tcBorders>
            <w:noWrap/>
            <w:vAlign w:val="bottom"/>
            <w:hideMark/>
          </w:tcPr>
          <w:p w:rsidR="00947812" w:rsidRPr="00947812" w:rsidRDefault="00947812" w:rsidP="00947812">
            <w:pPr>
              <w:spacing w:after="0"/>
              <w:jc w:val="right"/>
              <w:rPr>
                <w:rFonts w:ascii="Calibri" w:eastAsia="Times New Roman" w:hAnsi="Calibri" w:cs="Calibri"/>
                <w:color w:val="000000"/>
                <w:sz w:val="20"/>
                <w:szCs w:val="20"/>
              </w:rPr>
            </w:pPr>
            <w:r w:rsidRPr="00947812">
              <w:rPr>
                <w:rFonts w:ascii="Calibri" w:eastAsia="Times New Roman" w:hAnsi="Calibri" w:cs="Calibri"/>
                <w:color w:val="000000"/>
                <w:sz w:val="20"/>
                <w:szCs w:val="20"/>
              </w:rPr>
              <w:t>11</w:t>
            </w:r>
          </w:p>
        </w:tc>
      </w:tr>
    </w:tbl>
    <w:p w:rsidR="00F3130C" w:rsidRDefault="00947812" w:rsidP="00A809DD">
      <w:r>
        <w:lastRenderedPageBreak/>
        <w:t xml:space="preserve">The Fidelity assessment </w:t>
      </w:r>
      <w:r w:rsidR="004E066E">
        <w:t>implies</w:t>
      </w:r>
      <w:r>
        <w:t xml:space="preserve"> a 5.6% withdrawal rate over 25 years which the tabl</w:t>
      </w:r>
      <w:r w:rsidR="0068339C">
        <w:t>e indicates will provide</w:t>
      </w:r>
      <w:r w:rsidR="00E34415">
        <w:t xml:space="preserve"> a</w:t>
      </w:r>
      <w:r>
        <w:t xml:space="preserve"> 80-92% probability of </w:t>
      </w:r>
      <w:r w:rsidR="00E34415">
        <w:t>covering the entire retirement period.  T</w:t>
      </w:r>
      <w:r w:rsidR="002F7A75">
        <w:t>hat seems a little bit low</w:t>
      </w:r>
      <w:r w:rsidR="00E34415">
        <w:t xml:space="preserve">.  If we instead aim for a 99% probability we must limit our withdrawals to 4% of the balance at retirement.  This increases the savings goal to 11.25 </w:t>
      </w:r>
      <w:proofErr w:type="gramStart"/>
      <w:r w:rsidR="00E34415">
        <w:t>times</w:t>
      </w:r>
      <w:proofErr w:type="gramEnd"/>
      <w:r w:rsidR="00E34415">
        <w:t xml:space="preserve"> final earnings ($675,000) or 21.25 times final earnings if we expect to cover 100% of our retirement ($1,275,000).</w:t>
      </w:r>
    </w:p>
    <w:p w:rsidR="00E34415" w:rsidRDefault="00E34415" w:rsidP="00A809DD">
      <w:r>
        <w:t xml:space="preserve">In summary, the savings goal differs based upon your tolerance for risk during retirement.  The following table summarizes the different </w:t>
      </w:r>
      <w:r w:rsidR="00462346">
        <w:t>savings targets for the various levels of risk discussed:</w:t>
      </w:r>
    </w:p>
    <w:tbl>
      <w:tblPr>
        <w:tblW w:w="9285" w:type="dxa"/>
        <w:tblInd w:w="93" w:type="dxa"/>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ayout w:type="fixed"/>
        <w:tblLook w:val="04A0" w:firstRow="1" w:lastRow="0" w:firstColumn="1" w:lastColumn="0" w:noHBand="0" w:noVBand="1"/>
      </w:tblPr>
      <w:tblGrid>
        <w:gridCol w:w="2535"/>
        <w:gridCol w:w="1440"/>
        <w:gridCol w:w="1350"/>
        <w:gridCol w:w="1260"/>
        <w:gridCol w:w="1350"/>
        <w:gridCol w:w="1350"/>
      </w:tblGrid>
      <w:tr w:rsidR="00F3130C" w:rsidRPr="00A96E2F" w:rsidTr="009C6C84">
        <w:trPr>
          <w:trHeight w:val="564"/>
        </w:trPr>
        <w:tc>
          <w:tcPr>
            <w:tcW w:w="2535" w:type="dxa"/>
            <w:tcBorders>
              <w:top w:val="nil"/>
              <w:left w:val="nil"/>
              <w:bottom w:val="single" w:sz="4" w:space="0" w:color="auto"/>
              <w:right w:val="single" w:sz="4" w:space="0" w:color="auto"/>
            </w:tcBorders>
            <w:shd w:val="clear" w:color="auto" w:fill="auto"/>
            <w:vAlign w:val="center"/>
          </w:tcPr>
          <w:p w:rsidR="00F3130C" w:rsidRPr="00A96E2F" w:rsidRDefault="00F3130C" w:rsidP="00A96E2F">
            <w:pPr>
              <w:spacing w:after="0"/>
              <w:rPr>
                <w:rFonts w:ascii="Calibri" w:eastAsia="Times New Roman" w:hAnsi="Calibri" w:cs="Calibri"/>
                <w:color w:val="000000"/>
                <w:sz w:val="2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3130C" w:rsidRDefault="00F3130C" w:rsidP="00A96E2F">
            <w:pPr>
              <w:spacing w:after="0"/>
              <w:jc w:val="center"/>
              <w:rPr>
                <w:rFonts w:ascii="Calibri" w:eastAsia="Times New Roman" w:hAnsi="Calibri" w:cs="Calibri"/>
                <w:color w:val="000000"/>
                <w:sz w:val="18"/>
              </w:rPr>
            </w:pPr>
            <w:r>
              <w:rPr>
                <w:rFonts w:ascii="Calibri" w:eastAsia="Times New Roman" w:hAnsi="Calibri" w:cs="Calibri"/>
                <w:color w:val="000000"/>
                <w:sz w:val="18"/>
              </w:rPr>
              <w:t>Fidelity Baseline</w:t>
            </w:r>
          </w:p>
          <w:p w:rsidR="00F3130C" w:rsidRPr="00A96E2F" w:rsidRDefault="00F3130C" w:rsidP="00A96E2F">
            <w:pPr>
              <w:spacing w:after="0"/>
              <w:jc w:val="center"/>
              <w:rPr>
                <w:rFonts w:ascii="Calibri" w:eastAsia="Times New Roman" w:hAnsi="Calibri" w:cs="Calibri"/>
                <w:color w:val="000000"/>
                <w:sz w:val="18"/>
              </w:rPr>
            </w:pPr>
            <w:r>
              <w:rPr>
                <w:rFonts w:ascii="Calibri" w:eastAsia="Times New Roman" w:hAnsi="Calibri" w:cs="Calibri"/>
                <w:color w:val="000000"/>
                <w:sz w:val="18"/>
              </w:rPr>
              <w:t>(Most Risky)</w:t>
            </w:r>
          </w:p>
        </w:tc>
        <w:tc>
          <w:tcPr>
            <w:tcW w:w="1350" w:type="dxa"/>
            <w:tcBorders>
              <w:left w:val="single" w:sz="4" w:space="0" w:color="auto"/>
            </w:tcBorders>
            <w:shd w:val="clear" w:color="auto" w:fill="auto"/>
            <w:vAlign w:val="center"/>
          </w:tcPr>
          <w:p w:rsidR="00F3130C" w:rsidRPr="00A96E2F" w:rsidRDefault="00F3130C" w:rsidP="00A96E2F">
            <w:pPr>
              <w:spacing w:after="0"/>
              <w:jc w:val="center"/>
              <w:rPr>
                <w:rFonts w:ascii="Calibri" w:eastAsia="Times New Roman" w:hAnsi="Calibri" w:cs="Calibri"/>
                <w:color w:val="000000"/>
                <w:sz w:val="18"/>
              </w:rPr>
            </w:pPr>
            <w:r>
              <w:rPr>
                <w:rFonts w:ascii="Calibri" w:eastAsia="Times New Roman" w:hAnsi="Calibri" w:cs="Calibri"/>
                <w:color w:val="000000"/>
                <w:sz w:val="18"/>
              </w:rPr>
              <w:t xml:space="preserve">99% </w:t>
            </w:r>
            <w:proofErr w:type="spellStart"/>
            <w:r>
              <w:rPr>
                <w:rFonts w:ascii="Calibri" w:eastAsia="Times New Roman" w:hAnsi="Calibri" w:cs="Calibri"/>
                <w:color w:val="000000"/>
                <w:sz w:val="18"/>
              </w:rPr>
              <w:t>PoS</w:t>
            </w:r>
            <w:proofErr w:type="spellEnd"/>
          </w:p>
        </w:tc>
        <w:tc>
          <w:tcPr>
            <w:tcW w:w="1260" w:type="dxa"/>
            <w:shd w:val="clear" w:color="auto" w:fill="auto"/>
            <w:vAlign w:val="center"/>
          </w:tcPr>
          <w:p w:rsidR="00F3130C" w:rsidRPr="00A96E2F" w:rsidRDefault="00F3130C" w:rsidP="00F3130C">
            <w:pPr>
              <w:spacing w:after="0"/>
              <w:jc w:val="right"/>
              <w:rPr>
                <w:rFonts w:ascii="Calibri" w:eastAsia="Times New Roman" w:hAnsi="Calibri" w:cs="Calibri"/>
                <w:color w:val="000000"/>
                <w:sz w:val="18"/>
              </w:rPr>
            </w:pPr>
            <w:r>
              <w:rPr>
                <w:rFonts w:ascii="Calibri" w:eastAsia="Times New Roman" w:hAnsi="Calibri" w:cs="Calibri"/>
                <w:color w:val="000000"/>
                <w:sz w:val="18"/>
              </w:rPr>
              <w:t xml:space="preserve">No Social Sec. </w:t>
            </w:r>
          </w:p>
        </w:tc>
        <w:tc>
          <w:tcPr>
            <w:tcW w:w="1350" w:type="dxa"/>
            <w:vAlign w:val="center"/>
          </w:tcPr>
          <w:p w:rsidR="00F3130C" w:rsidRDefault="00F3130C" w:rsidP="00A51407">
            <w:pPr>
              <w:spacing w:after="0"/>
              <w:jc w:val="center"/>
              <w:rPr>
                <w:rFonts w:ascii="Calibri" w:eastAsia="Times New Roman" w:hAnsi="Calibri" w:cs="Calibri"/>
                <w:color w:val="000000"/>
                <w:sz w:val="18"/>
              </w:rPr>
            </w:pPr>
            <w:r>
              <w:rPr>
                <w:rFonts w:ascii="Calibri" w:eastAsia="Times New Roman" w:hAnsi="Calibri" w:cs="Calibri"/>
                <w:color w:val="000000"/>
                <w:sz w:val="18"/>
              </w:rPr>
              <w:t xml:space="preserve">99% </w:t>
            </w:r>
            <w:proofErr w:type="spellStart"/>
            <w:r>
              <w:rPr>
                <w:rFonts w:ascii="Calibri" w:eastAsia="Times New Roman" w:hAnsi="Calibri" w:cs="Calibri"/>
                <w:color w:val="000000"/>
                <w:sz w:val="18"/>
              </w:rPr>
              <w:t>PoS</w:t>
            </w:r>
            <w:proofErr w:type="spellEnd"/>
            <w:r>
              <w:rPr>
                <w:rFonts w:ascii="Calibri" w:eastAsia="Times New Roman" w:hAnsi="Calibri" w:cs="Calibri"/>
                <w:color w:val="000000"/>
                <w:sz w:val="18"/>
              </w:rPr>
              <w:t xml:space="preserve"> + 50% Security</w:t>
            </w:r>
          </w:p>
        </w:tc>
        <w:tc>
          <w:tcPr>
            <w:tcW w:w="1350" w:type="dxa"/>
            <w:shd w:val="clear" w:color="auto" w:fill="auto"/>
            <w:vAlign w:val="center"/>
          </w:tcPr>
          <w:p w:rsidR="00F3130C" w:rsidRPr="00A96E2F" w:rsidRDefault="00F3130C" w:rsidP="00A96E2F">
            <w:pPr>
              <w:spacing w:after="0"/>
              <w:jc w:val="center"/>
              <w:rPr>
                <w:rFonts w:ascii="Calibri" w:eastAsia="Times New Roman" w:hAnsi="Calibri" w:cs="Calibri"/>
                <w:color w:val="000000"/>
                <w:sz w:val="18"/>
              </w:rPr>
            </w:pPr>
            <w:r>
              <w:rPr>
                <w:rFonts w:ascii="Calibri" w:eastAsia="Times New Roman" w:hAnsi="Calibri" w:cs="Calibri"/>
                <w:color w:val="000000"/>
                <w:sz w:val="18"/>
              </w:rPr>
              <w:t xml:space="preserve">99% </w:t>
            </w:r>
            <w:proofErr w:type="spellStart"/>
            <w:r>
              <w:rPr>
                <w:rFonts w:ascii="Calibri" w:eastAsia="Times New Roman" w:hAnsi="Calibri" w:cs="Calibri"/>
                <w:color w:val="000000"/>
                <w:sz w:val="18"/>
              </w:rPr>
              <w:t>PoS</w:t>
            </w:r>
            <w:proofErr w:type="spellEnd"/>
            <w:r>
              <w:rPr>
                <w:rFonts w:ascii="Calibri" w:eastAsia="Times New Roman" w:hAnsi="Calibri" w:cs="Calibri"/>
                <w:color w:val="000000"/>
                <w:sz w:val="18"/>
              </w:rPr>
              <w:t xml:space="preserve"> + No Social Sec.</w:t>
            </w:r>
          </w:p>
        </w:tc>
      </w:tr>
      <w:tr w:rsidR="00F3130C" w:rsidRPr="00A96E2F" w:rsidTr="009C6C84">
        <w:trPr>
          <w:trHeight w:val="564"/>
        </w:trPr>
        <w:tc>
          <w:tcPr>
            <w:tcW w:w="2535" w:type="dxa"/>
            <w:tcBorders>
              <w:top w:val="single" w:sz="4" w:space="0" w:color="auto"/>
              <w:bottom w:val="single" w:sz="4" w:space="0" w:color="auto"/>
              <w:right w:val="single" w:sz="4" w:space="0" w:color="auto"/>
            </w:tcBorders>
            <w:shd w:val="clear" w:color="auto" w:fill="auto"/>
            <w:vAlign w:val="center"/>
            <w:hideMark/>
          </w:tcPr>
          <w:p w:rsidR="00F3130C" w:rsidRDefault="00F3130C" w:rsidP="00A96E2F">
            <w:pPr>
              <w:spacing w:after="0"/>
              <w:rPr>
                <w:rFonts w:ascii="Calibri" w:eastAsia="Times New Roman" w:hAnsi="Calibri" w:cs="Calibri"/>
                <w:color w:val="000000"/>
                <w:sz w:val="20"/>
              </w:rPr>
            </w:pPr>
            <w:r w:rsidRPr="00A96E2F">
              <w:rPr>
                <w:rFonts w:ascii="Calibri" w:eastAsia="Times New Roman" w:hAnsi="Calibri" w:cs="Calibri"/>
                <w:color w:val="000000"/>
                <w:sz w:val="20"/>
              </w:rPr>
              <w:t>Social Security Benefits</w:t>
            </w:r>
          </w:p>
          <w:p w:rsidR="00F3130C" w:rsidRPr="00A96E2F" w:rsidRDefault="00F3130C" w:rsidP="00A96E2F">
            <w:pPr>
              <w:spacing w:after="0"/>
              <w:rPr>
                <w:rFonts w:ascii="Calibri" w:eastAsia="Times New Roman" w:hAnsi="Calibri" w:cs="Calibri"/>
                <w:color w:val="000000"/>
                <w:sz w:val="20"/>
                <w:szCs w:val="20"/>
              </w:rPr>
            </w:pPr>
            <w:r w:rsidRPr="00A96E2F">
              <w:rPr>
                <w:rFonts w:ascii="Calibri" w:eastAsia="Times New Roman" w:hAnsi="Calibri" w:cs="Calibri"/>
                <w:color w:val="000000"/>
                <w:sz w:val="18"/>
              </w:rPr>
              <w:t>(% of pre-retirement earnings)</w:t>
            </w:r>
          </w:p>
        </w:tc>
        <w:tc>
          <w:tcPr>
            <w:tcW w:w="1440" w:type="dxa"/>
            <w:tcBorders>
              <w:top w:val="single" w:sz="4" w:space="0" w:color="auto"/>
              <w:left w:val="single" w:sz="4" w:space="0" w:color="auto"/>
            </w:tcBorders>
            <w:shd w:val="clear" w:color="auto" w:fill="auto"/>
            <w:vAlign w:val="center"/>
            <w:hideMark/>
          </w:tcPr>
          <w:p w:rsidR="00F3130C" w:rsidRPr="00A96E2F" w:rsidRDefault="00F3130C" w:rsidP="00A96E2F">
            <w:pPr>
              <w:spacing w:after="0"/>
              <w:jc w:val="right"/>
              <w:rPr>
                <w:rFonts w:ascii="Calibri" w:eastAsia="Times New Roman" w:hAnsi="Calibri" w:cs="Calibri"/>
                <w:color w:val="000000"/>
                <w:sz w:val="20"/>
              </w:rPr>
            </w:pPr>
            <w:r w:rsidRPr="00A96E2F">
              <w:rPr>
                <w:rFonts w:ascii="Calibri" w:eastAsia="Times New Roman" w:hAnsi="Calibri" w:cs="Calibri"/>
                <w:color w:val="000000"/>
                <w:sz w:val="20"/>
              </w:rPr>
              <w:t>40%</w:t>
            </w:r>
          </w:p>
        </w:tc>
        <w:tc>
          <w:tcPr>
            <w:tcW w:w="1350" w:type="dxa"/>
            <w:shd w:val="clear" w:color="auto" w:fill="auto"/>
            <w:vAlign w:val="center"/>
            <w:hideMark/>
          </w:tcPr>
          <w:p w:rsidR="00F3130C" w:rsidRPr="00A96E2F" w:rsidRDefault="00F3130C" w:rsidP="00A96E2F">
            <w:pPr>
              <w:spacing w:after="0"/>
              <w:jc w:val="right"/>
              <w:rPr>
                <w:rFonts w:ascii="Calibri" w:eastAsia="Times New Roman" w:hAnsi="Calibri" w:cs="Calibri"/>
                <w:color w:val="000000"/>
                <w:sz w:val="20"/>
              </w:rPr>
            </w:pPr>
            <w:r w:rsidRPr="00A96E2F">
              <w:rPr>
                <w:rFonts w:ascii="Calibri" w:eastAsia="Times New Roman" w:hAnsi="Calibri" w:cs="Calibri"/>
                <w:color w:val="000000"/>
                <w:sz w:val="20"/>
              </w:rPr>
              <w:t>40%</w:t>
            </w:r>
          </w:p>
        </w:tc>
        <w:tc>
          <w:tcPr>
            <w:tcW w:w="1260" w:type="dxa"/>
            <w:shd w:val="clear" w:color="auto" w:fill="auto"/>
            <w:vAlign w:val="center"/>
            <w:hideMark/>
          </w:tcPr>
          <w:p w:rsidR="00F3130C" w:rsidRPr="00A96E2F" w:rsidRDefault="00F3130C" w:rsidP="00A96E2F">
            <w:pPr>
              <w:spacing w:after="0"/>
              <w:jc w:val="right"/>
              <w:rPr>
                <w:rFonts w:ascii="Calibri" w:eastAsia="Times New Roman" w:hAnsi="Calibri" w:cs="Calibri"/>
                <w:color w:val="000000"/>
                <w:sz w:val="20"/>
              </w:rPr>
            </w:pPr>
            <w:r w:rsidRPr="00A96E2F">
              <w:rPr>
                <w:rFonts w:ascii="Calibri" w:eastAsia="Times New Roman" w:hAnsi="Calibri" w:cs="Calibri"/>
                <w:color w:val="000000"/>
                <w:sz w:val="20"/>
              </w:rPr>
              <w:t>0%</w:t>
            </w:r>
          </w:p>
        </w:tc>
        <w:tc>
          <w:tcPr>
            <w:tcW w:w="1350" w:type="dxa"/>
            <w:vAlign w:val="center"/>
          </w:tcPr>
          <w:p w:rsidR="00F3130C" w:rsidRPr="00A96E2F" w:rsidRDefault="00F3130C" w:rsidP="00A51407">
            <w:pPr>
              <w:spacing w:after="0"/>
              <w:jc w:val="right"/>
              <w:rPr>
                <w:rFonts w:ascii="Calibri" w:eastAsia="Times New Roman" w:hAnsi="Calibri" w:cs="Calibri"/>
                <w:color w:val="000000"/>
                <w:sz w:val="20"/>
              </w:rPr>
            </w:pPr>
            <w:r>
              <w:rPr>
                <w:rFonts w:ascii="Calibri" w:eastAsia="Times New Roman" w:hAnsi="Calibri" w:cs="Calibri"/>
                <w:color w:val="000000"/>
                <w:sz w:val="20"/>
              </w:rPr>
              <w:t>20%</w:t>
            </w:r>
          </w:p>
        </w:tc>
        <w:tc>
          <w:tcPr>
            <w:tcW w:w="1350" w:type="dxa"/>
            <w:shd w:val="clear" w:color="auto" w:fill="auto"/>
            <w:vAlign w:val="center"/>
            <w:hideMark/>
          </w:tcPr>
          <w:p w:rsidR="00F3130C" w:rsidRPr="00A96E2F" w:rsidRDefault="00F3130C" w:rsidP="00A96E2F">
            <w:pPr>
              <w:spacing w:after="0"/>
              <w:jc w:val="right"/>
              <w:rPr>
                <w:rFonts w:ascii="Calibri" w:eastAsia="Times New Roman" w:hAnsi="Calibri" w:cs="Calibri"/>
                <w:color w:val="000000"/>
                <w:sz w:val="20"/>
              </w:rPr>
            </w:pPr>
            <w:r w:rsidRPr="00A96E2F">
              <w:rPr>
                <w:rFonts w:ascii="Calibri" w:eastAsia="Times New Roman" w:hAnsi="Calibri" w:cs="Calibri"/>
                <w:color w:val="000000"/>
                <w:sz w:val="20"/>
              </w:rPr>
              <w:t>0%</w:t>
            </w:r>
          </w:p>
        </w:tc>
      </w:tr>
      <w:tr w:rsidR="00F3130C" w:rsidRPr="00A96E2F" w:rsidTr="009C6C84">
        <w:trPr>
          <w:trHeight w:val="300"/>
        </w:trPr>
        <w:tc>
          <w:tcPr>
            <w:tcW w:w="2535" w:type="dxa"/>
            <w:tcBorders>
              <w:top w:val="single" w:sz="4" w:space="0" w:color="auto"/>
            </w:tcBorders>
            <w:shd w:val="clear" w:color="auto" w:fill="auto"/>
            <w:vAlign w:val="center"/>
            <w:hideMark/>
          </w:tcPr>
          <w:p w:rsidR="00F3130C" w:rsidRPr="00A96E2F" w:rsidRDefault="00F3130C" w:rsidP="00A96E2F">
            <w:pPr>
              <w:spacing w:after="0"/>
              <w:rPr>
                <w:rFonts w:ascii="Calibri" w:eastAsia="Times New Roman" w:hAnsi="Calibri" w:cs="Calibri"/>
                <w:color w:val="000000"/>
                <w:sz w:val="20"/>
                <w:szCs w:val="20"/>
              </w:rPr>
            </w:pPr>
            <w:r w:rsidRPr="00A96E2F">
              <w:rPr>
                <w:rFonts w:ascii="Calibri" w:eastAsia="Times New Roman" w:hAnsi="Calibri" w:cs="Calibri"/>
                <w:color w:val="000000"/>
                <w:sz w:val="20"/>
              </w:rPr>
              <w:t>Withdrawal Rate</w:t>
            </w:r>
          </w:p>
        </w:tc>
        <w:tc>
          <w:tcPr>
            <w:tcW w:w="1440" w:type="dxa"/>
            <w:shd w:val="clear" w:color="auto" w:fill="auto"/>
            <w:vAlign w:val="center"/>
            <w:hideMark/>
          </w:tcPr>
          <w:p w:rsidR="00F3130C" w:rsidRPr="00A96E2F" w:rsidRDefault="00F3130C" w:rsidP="00A96E2F">
            <w:pPr>
              <w:spacing w:after="0"/>
              <w:jc w:val="right"/>
              <w:rPr>
                <w:rFonts w:ascii="Calibri" w:eastAsia="Times New Roman" w:hAnsi="Calibri" w:cs="Calibri"/>
                <w:color w:val="000000"/>
                <w:sz w:val="20"/>
              </w:rPr>
            </w:pPr>
            <w:r w:rsidRPr="00A96E2F">
              <w:rPr>
                <w:rFonts w:ascii="Calibri" w:eastAsia="Times New Roman" w:hAnsi="Calibri" w:cs="Calibri"/>
                <w:color w:val="000000"/>
                <w:sz w:val="20"/>
              </w:rPr>
              <w:t>5.60%</w:t>
            </w:r>
          </w:p>
        </w:tc>
        <w:tc>
          <w:tcPr>
            <w:tcW w:w="1350" w:type="dxa"/>
            <w:shd w:val="clear" w:color="auto" w:fill="auto"/>
            <w:vAlign w:val="center"/>
            <w:hideMark/>
          </w:tcPr>
          <w:p w:rsidR="00F3130C" w:rsidRPr="00A96E2F" w:rsidRDefault="00F3130C" w:rsidP="00A96E2F">
            <w:pPr>
              <w:spacing w:after="0"/>
              <w:jc w:val="right"/>
              <w:rPr>
                <w:rFonts w:ascii="Calibri" w:eastAsia="Times New Roman" w:hAnsi="Calibri" w:cs="Calibri"/>
                <w:color w:val="000000"/>
                <w:sz w:val="20"/>
              </w:rPr>
            </w:pPr>
            <w:r w:rsidRPr="00A96E2F">
              <w:rPr>
                <w:rFonts w:ascii="Calibri" w:eastAsia="Times New Roman" w:hAnsi="Calibri" w:cs="Calibri"/>
                <w:color w:val="000000"/>
                <w:sz w:val="20"/>
              </w:rPr>
              <w:t>4%</w:t>
            </w:r>
          </w:p>
        </w:tc>
        <w:tc>
          <w:tcPr>
            <w:tcW w:w="1260" w:type="dxa"/>
            <w:shd w:val="clear" w:color="auto" w:fill="auto"/>
            <w:vAlign w:val="center"/>
            <w:hideMark/>
          </w:tcPr>
          <w:p w:rsidR="00F3130C" w:rsidRPr="00A96E2F" w:rsidRDefault="00F3130C" w:rsidP="00A96E2F">
            <w:pPr>
              <w:spacing w:after="0"/>
              <w:jc w:val="right"/>
              <w:rPr>
                <w:rFonts w:ascii="Calibri" w:eastAsia="Times New Roman" w:hAnsi="Calibri" w:cs="Calibri"/>
                <w:color w:val="000000"/>
                <w:sz w:val="20"/>
              </w:rPr>
            </w:pPr>
            <w:r w:rsidRPr="00A96E2F">
              <w:rPr>
                <w:rFonts w:ascii="Calibri" w:eastAsia="Times New Roman" w:hAnsi="Calibri" w:cs="Calibri"/>
                <w:color w:val="000000"/>
                <w:sz w:val="20"/>
              </w:rPr>
              <w:t>5.60%</w:t>
            </w:r>
          </w:p>
        </w:tc>
        <w:tc>
          <w:tcPr>
            <w:tcW w:w="1350" w:type="dxa"/>
            <w:vAlign w:val="center"/>
          </w:tcPr>
          <w:p w:rsidR="00F3130C" w:rsidRPr="00A96E2F" w:rsidRDefault="00F3130C" w:rsidP="00A51407">
            <w:pPr>
              <w:spacing w:after="0"/>
              <w:jc w:val="right"/>
              <w:rPr>
                <w:rFonts w:ascii="Calibri" w:eastAsia="Times New Roman" w:hAnsi="Calibri" w:cs="Calibri"/>
                <w:color w:val="000000"/>
                <w:sz w:val="20"/>
              </w:rPr>
            </w:pPr>
            <w:r>
              <w:rPr>
                <w:rFonts w:ascii="Calibri" w:eastAsia="Times New Roman" w:hAnsi="Calibri" w:cs="Calibri"/>
                <w:color w:val="000000"/>
                <w:sz w:val="20"/>
              </w:rPr>
              <w:t>4%</w:t>
            </w:r>
          </w:p>
        </w:tc>
        <w:tc>
          <w:tcPr>
            <w:tcW w:w="1350" w:type="dxa"/>
            <w:shd w:val="clear" w:color="auto" w:fill="auto"/>
            <w:vAlign w:val="center"/>
            <w:hideMark/>
          </w:tcPr>
          <w:p w:rsidR="00F3130C" w:rsidRPr="00A96E2F" w:rsidRDefault="00F3130C" w:rsidP="00A96E2F">
            <w:pPr>
              <w:spacing w:after="0"/>
              <w:jc w:val="right"/>
              <w:rPr>
                <w:rFonts w:ascii="Calibri" w:eastAsia="Times New Roman" w:hAnsi="Calibri" w:cs="Calibri"/>
                <w:color w:val="000000"/>
                <w:sz w:val="20"/>
              </w:rPr>
            </w:pPr>
            <w:r w:rsidRPr="00A96E2F">
              <w:rPr>
                <w:rFonts w:ascii="Calibri" w:eastAsia="Times New Roman" w:hAnsi="Calibri" w:cs="Calibri"/>
                <w:color w:val="000000"/>
                <w:sz w:val="20"/>
              </w:rPr>
              <w:t>4%</w:t>
            </w:r>
          </w:p>
        </w:tc>
      </w:tr>
      <w:tr w:rsidR="00F3130C" w:rsidRPr="00A96E2F" w:rsidTr="009C6C84">
        <w:trPr>
          <w:trHeight w:val="300"/>
        </w:trPr>
        <w:tc>
          <w:tcPr>
            <w:tcW w:w="2535" w:type="dxa"/>
            <w:shd w:val="clear" w:color="auto" w:fill="auto"/>
            <w:vAlign w:val="center"/>
            <w:hideMark/>
          </w:tcPr>
          <w:p w:rsidR="00F3130C" w:rsidRDefault="00F3130C" w:rsidP="00A96E2F">
            <w:pPr>
              <w:spacing w:after="0"/>
              <w:rPr>
                <w:rFonts w:ascii="Calibri" w:eastAsia="Times New Roman" w:hAnsi="Calibri" w:cs="Calibri"/>
                <w:color w:val="000000"/>
                <w:sz w:val="20"/>
              </w:rPr>
            </w:pPr>
            <w:r w:rsidRPr="00A96E2F">
              <w:rPr>
                <w:rFonts w:ascii="Calibri" w:eastAsia="Times New Roman" w:hAnsi="Calibri" w:cs="Calibri"/>
                <w:color w:val="000000"/>
                <w:sz w:val="20"/>
              </w:rPr>
              <w:t xml:space="preserve">Savings Target </w:t>
            </w:r>
          </w:p>
          <w:p w:rsidR="00F3130C" w:rsidRPr="00A96E2F" w:rsidRDefault="00F3130C" w:rsidP="00A96E2F">
            <w:pPr>
              <w:spacing w:after="0"/>
              <w:rPr>
                <w:rFonts w:ascii="Calibri" w:eastAsia="Times New Roman" w:hAnsi="Calibri" w:cs="Calibri"/>
                <w:color w:val="000000"/>
                <w:sz w:val="20"/>
                <w:szCs w:val="20"/>
              </w:rPr>
            </w:pPr>
            <w:r w:rsidRPr="00A96E2F">
              <w:rPr>
                <w:rFonts w:ascii="Calibri" w:eastAsia="Times New Roman" w:hAnsi="Calibri" w:cs="Calibri"/>
                <w:color w:val="000000"/>
                <w:sz w:val="18"/>
              </w:rPr>
              <w:t>(% of final earnings)</w:t>
            </w:r>
          </w:p>
        </w:tc>
        <w:tc>
          <w:tcPr>
            <w:tcW w:w="1440" w:type="dxa"/>
            <w:shd w:val="clear" w:color="auto" w:fill="auto"/>
            <w:vAlign w:val="center"/>
            <w:hideMark/>
          </w:tcPr>
          <w:p w:rsidR="00F3130C" w:rsidRPr="00A96E2F" w:rsidRDefault="00F3130C" w:rsidP="00A96E2F">
            <w:pPr>
              <w:spacing w:after="0"/>
              <w:jc w:val="right"/>
              <w:rPr>
                <w:rFonts w:ascii="Calibri" w:eastAsia="Times New Roman" w:hAnsi="Calibri" w:cs="Calibri"/>
                <w:b/>
                <w:color w:val="000000"/>
                <w:sz w:val="22"/>
              </w:rPr>
            </w:pPr>
            <w:r w:rsidRPr="00A96E2F">
              <w:rPr>
                <w:rFonts w:ascii="Calibri" w:eastAsia="Times New Roman" w:hAnsi="Calibri" w:cs="Calibri"/>
                <w:b/>
                <w:color w:val="000000"/>
                <w:sz w:val="22"/>
              </w:rPr>
              <w:t>8</w:t>
            </w:r>
            <w:r>
              <w:rPr>
                <w:rFonts w:ascii="Calibri" w:eastAsia="Times New Roman" w:hAnsi="Calibri" w:cs="Calibri"/>
                <w:b/>
                <w:color w:val="000000"/>
                <w:sz w:val="22"/>
              </w:rPr>
              <w:t xml:space="preserve"> </w:t>
            </w:r>
            <w:r w:rsidRPr="00A96E2F">
              <w:rPr>
                <w:rFonts w:ascii="Calibri" w:eastAsia="Times New Roman" w:hAnsi="Calibri" w:cs="Calibri"/>
                <w:b/>
                <w:color w:val="000000"/>
                <w:sz w:val="22"/>
              </w:rPr>
              <w:t>x</w:t>
            </w:r>
          </w:p>
        </w:tc>
        <w:tc>
          <w:tcPr>
            <w:tcW w:w="1350" w:type="dxa"/>
            <w:shd w:val="clear" w:color="auto" w:fill="auto"/>
            <w:vAlign w:val="center"/>
            <w:hideMark/>
          </w:tcPr>
          <w:p w:rsidR="00F3130C" w:rsidRPr="00A96E2F" w:rsidRDefault="00F3130C" w:rsidP="00A96E2F">
            <w:pPr>
              <w:spacing w:after="0"/>
              <w:jc w:val="right"/>
              <w:rPr>
                <w:rFonts w:ascii="Calibri" w:eastAsia="Times New Roman" w:hAnsi="Calibri" w:cs="Calibri"/>
                <w:b/>
                <w:color w:val="000000"/>
                <w:sz w:val="22"/>
              </w:rPr>
            </w:pPr>
            <w:r w:rsidRPr="00A96E2F">
              <w:rPr>
                <w:rFonts w:ascii="Calibri" w:eastAsia="Times New Roman" w:hAnsi="Calibri" w:cs="Calibri"/>
                <w:b/>
                <w:color w:val="000000"/>
                <w:sz w:val="22"/>
              </w:rPr>
              <w:t>11.25</w:t>
            </w:r>
            <w:r>
              <w:rPr>
                <w:rFonts w:ascii="Calibri" w:eastAsia="Times New Roman" w:hAnsi="Calibri" w:cs="Calibri"/>
                <w:b/>
                <w:color w:val="000000"/>
                <w:sz w:val="22"/>
              </w:rPr>
              <w:t xml:space="preserve"> </w:t>
            </w:r>
            <w:r w:rsidRPr="00A96E2F">
              <w:rPr>
                <w:rFonts w:ascii="Calibri" w:eastAsia="Times New Roman" w:hAnsi="Calibri" w:cs="Calibri"/>
                <w:b/>
                <w:color w:val="000000"/>
                <w:sz w:val="22"/>
              </w:rPr>
              <w:t>x</w:t>
            </w:r>
          </w:p>
        </w:tc>
        <w:tc>
          <w:tcPr>
            <w:tcW w:w="1260" w:type="dxa"/>
            <w:shd w:val="clear" w:color="auto" w:fill="auto"/>
            <w:vAlign w:val="center"/>
            <w:hideMark/>
          </w:tcPr>
          <w:p w:rsidR="00F3130C" w:rsidRPr="00A96E2F" w:rsidRDefault="00F3130C" w:rsidP="00A96E2F">
            <w:pPr>
              <w:spacing w:after="0"/>
              <w:jc w:val="right"/>
              <w:rPr>
                <w:rFonts w:ascii="Calibri" w:eastAsia="Times New Roman" w:hAnsi="Calibri" w:cs="Calibri"/>
                <w:b/>
                <w:color w:val="000000"/>
                <w:sz w:val="22"/>
              </w:rPr>
            </w:pPr>
            <w:r w:rsidRPr="00A96E2F">
              <w:rPr>
                <w:rFonts w:ascii="Calibri" w:eastAsia="Times New Roman" w:hAnsi="Calibri" w:cs="Calibri"/>
                <w:b/>
                <w:color w:val="000000"/>
                <w:sz w:val="22"/>
              </w:rPr>
              <w:t>15.11</w:t>
            </w:r>
            <w:r>
              <w:rPr>
                <w:rFonts w:ascii="Calibri" w:eastAsia="Times New Roman" w:hAnsi="Calibri" w:cs="Calibri"/>
                <w:b/>
                <w:color w:val="000000"/>
                <w:sz w:val="22"/>
              </w:rPr>
              <w:t xml:space="preserve"> </w:t>
            </w:r>
            <w:r w:rsidRPr="00A96E2F">
              <w:rPr>
                <w:rFonts w:ascii="Calibri" w:eastAsia="Times New Roman" w:hAnsi="Calibri" w:cs="Calibri"/>
                <w:b/>
                <w:color w:val="000000"/>
                <w:sz w:val="22"/>
              </w:rPr>
              <w:t>x</w:t>
            </w:r>
          </w:p>
        </w:tc>
        <w:tc>
          <w:tcPr>
            <w:tcW w:w="1350" w:type="dxa"/>
            <w:vAlign w:val="center"/>
          </w:tcPr>
          <w:p w:rsidR="00F3130C" w:rsidRPr="00A96E2F" w:rsidRDefault="00F3130C" w:rsidP="00A51407">
            <w:pPr>
              <w:spacing w:after="0"/>
              <w:jc w:val="right"/>
              <w:rPr>
                <w:rFonts w:ascii="Calibri" w:eastAsia="Times New Roman" w:hAnsi="Calibri" w:cs="Calibri"/>
                <w:b/>
                <w:color w:val="000000"/>
                <w:sz w:val="22"/>
              </w:rPr>
            </w:pPr>
            <w:r>
              <w:rPr>
                <w:rFonts w:ascii="Calibri" w:eastAsia="Times New Roman" w:hAnsi="Calibri" w:cs="Calibri"/>
                <w:b/>
                <w:color w:val="000000"/>
                <w:sz w:val="22"/>
              </w:rPr>
              <w:t>16.25 x</w:t>
            </w:r>
          </w:p>
        </w:tc>
        <w:tc>
          <w:tcPr>
            <w:tcW w:w="1350" w:type="dxa"/>
            <w:shd w:val="clear" w:color="auto" w:fill="auto"/>
            <w:vAlign w:val="center"/>
            <w:hideMark/>
          </w:tcPr>
          <w:p w:rsidR="00F3130C" w:rsidRPr="00A96E2F" w:rsidRDefault="00F3130C" w:rsidP="00A96E2F">
            <w:pPr>
              <w:spacing w:after="0"/>
              <w:jc w:val="right"/>
              <w:rPr>
                <w:rFonts w:ascii="Calibri" w:eastAsia="Times New Roman" w:hAnsi="Calibri" w:cs="Calibri"/>
                <w:b/>
                <w:color w:val="000000"/>
                <w:sz w:val="22"/>
              </w:rPr>
            </w:pPr>
            <w:r w:rsidRPr="00A96E2F">
              <w:rPr>
                <w:rFonts w:ascii="Calibri" w:eastAsia="Times New Roman" w:hAnsi="Calibri" w:cs="Calibri"/>
                <w:b/>
                <w:color w:val="000000"/>
                <w:sz w:val="22"/>
              </w:rPr>
              <w:t>21.25</w:t>
            </w:r>
            <w:r>
              <w:rPr>
                <w:rFonts w:ascii="Calibri" w:eastAsia="Times New Roman" w:hAnsi="Calibri" w:cs="Calibri"/>
                <w:b/>
                <w:color w:val="000000"/>
                <w:sz w:val="22"/>
              </w:rPr>
              <w:t xml:space="preserve"> </w:t>
            </w:r>
            <w:r w:rsidRPr="00A96E2F">
              <w:rPr>
                <w:rFonts w:ascii="Calibri" w:eastAsia="Times New Roman" w:hAnsi="Calibri" w:cs="Calibri"/>
                <w:b/>
                <w:color w:val="000000"/>
                <w:sz w:val="22"/>
              </w:rPr>
              <w:t>x</w:t>
            </w:r>
          </w:p>
        </w:tc>
      </w:tr>
      <w:tr w:rsidR="00F3130C" w:rsidRPr="00A96E2F" w:rsidTr="009C6C84">
        <w:trPr>
          <w:trHeight w:val="564"/>
        </w:trPr>
        <w:tc>
          <w:tcPr>
            <w:tcW w:w="2535" w:type="dxa"/>
            <w:shd w:val="clear" w:color="auto" w:fill="auto"/>
            <w:vAlign w:val="center"/>
            <w:hideMark/>
          </w:tcPr>
          <w:p w:rsidR="00F3130C" w:rsidRPr="00A96E2F" w:rsidRDefault="00F3130C" w:rsidP="00A96E2F">
            <w:pPr>
              <w:spacing w:after="0"/>
              <w:rPr>
                <w:rFonts w:ascii="Calibri" w:eastAsia="Times New Roman" w:hAnsi="Calibri" w:cs="Calibri"/>
                <w:color w:val="000000"/>
                <w:sz w:val="20"/>
                <w:szCs w:val="20"/>
              </w:rPr>
            </w:pPr>
            <w:r w:rsidRPr="00A96E2F">
              <w:rPr>
                <w:rFonts w:ascii="Calibri" w:eastAsia="Times New Roman" w:hAnsi="Calibri" w:cs="Calibri"/>
                <w:color w:val="000000"/>
                <w:sz w:val="20"/>
              </w:rPr>
              <w:t>Savings Target for Someone Making $60k at Retirement</w:t>
            </w:r>
          </w:p>
        </w:tc>
        <w:tc>
          <w:tcPr>
            <w:tcW w:w="1440" w:type="dxa"/>
            <w:shd w:val="clear" w:color="auto" w:fill="auto"/>
            <w:vAlign w:val="center"/>
            <w:hideMark/>
          </w:tcPr>
          <w:p w:rsidR="00F3130C" w:rsidRPr="00A96E2F" w:rsidRDefault="00F3130C" w:rsidP="00A96E2F">
            <w:pPr>
              <w:spacing w:after="0"/>
              <w:jc w:val="right"/>
              <w:rPr>
                <w:rFonts w:ascii="Calibri" w:eastAsia="Times New Roman" w:hAnsi="Calibri" w:cs="Calibri"/>
                <w:color w:val="000000"/>
                <w:sz w:val="20"/>
              </w:rPr>
            </w:pPr>
            <w:r w:rsidRPr="00A96E2F">
              <w:rPr>
                <w:rFonts w:ascii="Calibri" w:eastAsia="Times New Roman" w:hAnsi="Calibri" w:cs="Calibri"/>
                <w:color w:val="000000"/>
                <w:sz w:val="20"/>
              </w:rPr>
              <w:t xml:space="preserve">$480,000 </w:t>
            </w:r>
          </w:p>
        </w:tc>
        <w:tc>
          <w:tcPr>
            <w:tcW w:w="1350" w:type="dxa"/>
            <w:shd w:val="clear" w:color="auto" w:fill="auto"/>
            <w:vAlign w:val="center"/>
            <w:hideMark/>
          </w:tcPr>
          <w:p w:rsidR="00F3130C" w:rsidRPr="00A96E2F" w:rsidRDefault="00F3130C" w:rsidP="00A96E2F">
            <w:pPr>
              <w:spacing w:after="0"/>
              <w:jc w:val="right"/>
              <w:rPr>
                <w:rFonts w:ascii="Calibri" w:eastAsia="Times New Roman" w:hAnsi="Calibri" w:cs="Calibri"/>
                <w:color w:val="000000"/>
                <w:sz w:val="20"/>
              </w:rPr>
            </w:pPr>
            <w:r w:rsidRPr="00A96E2F">
              <w:rPr>
                <w:rFonts w:ascii="Calibri" w:eastAsia="Times New Roman" w:hAnsi="Calibri" w:cs="Calibri"/>
                <w:color w:val="000000"/>
                <w:sz w:val="20"/>
              </w:rPr>
              <w:t xml:space="preserve">$675,000 </w:t>
            </w:r>
          </w:p>
        </w:tc>
        <w:tc>
          <w:tcPr>
            <w:tcW w:w="1260" w:type="dxa"/>
            <w:shd w:val="clear" w:color="auto" w:fill="auto"/>
            <w:vAlign w:val="center"/>
            <w:hideMark/>
          </w:tcPr>
          <w:p w:rsidR="00F3130C" w:rsidRPr="00A96E2F" w:rsidRDefault="00F3130C" w:rsidP="00A96E2F">
            <w:pPr>
              <w:spacing w:after="0"/>
              <w:jc w:val="right"/>
              <w:rPr>
                <w:rFonts w:ascii="Calibri" w:eastAsia="Times New Roman" w:hAnsi="Calibri" w:cs="Calibri"/>
                <w:color w:val="000000"/>
                <w:sz w:val="20"/>
              </w:rPr>
            </w:pPr>
            <w:r w:rsidRPr="00A96E2F">
              <w:rPr>
                <w:rFonts w:ascii="Calibri" w:eastAsia="Times New Roman" w:hAnsi="Calibri" w:cs="Calibri"/>
                <w:color w:val="000000"/>
                <w:sz w:val="20"/>
              </w:rPr>
              <w:t xml:space="preserve">$906,600 </w:t>
            </w:r>
          </w:p>
        </w:tc>
        <w:tc>
          <w:tcPr>
            <w:tcW w:w="1350" w:type="dxa"/>
            <w:vAlign w:val="center"/>
          </w:tcPr>
          <w:p w:rsidR="00F3130C" w:rsidRPr="00F3130C" w:rsidRDefault="00F3130C" w:rsidP="00A51407">
            <w:pPr>
              <w:spacing w:after="0"/>
              <w:jc w:val="right"/>
              <w:rPr>
                <w:rFonts w:ascii="Calibri" w:eastAsia="Times New Roman" w:hAnsi="Calibri" w:cs="Calibri"/>
                <w:color w:val="000000"/>
                <w:sz w:val="20"/>
              </w:rPr>
            </w:pPr>
            <w:r w:rsidRPr="00F3130C">
              <w:rPr>
                <w:rFonts w:ascii="Calibri" w:eastAsia="Times New Roman" w:hAnsi="Calibri" w:cs="Calibri"/>
                <w:color w:val="000000"/>
                <w:sz w:val="20"/>
              </w:rPr>
              <w:t>$975,000</w:t>
            </w:r>
          </w:p>
        </w:tc>
        <w:tc>
          <w:tcPr>
            <w:tcW w:w="1350" w:type="dxa"/>
            <w:shd w:val="clear" w:color="auto" w:fill="auto"/>
            <w:vAlign w:val="center"/>
            <w:hideMark/>
          </w:tcPr>
          <w:p w:rsidR="00F3130C" w:rsidRPr="00A96E2F" w:rsidRDefault="00F3130C" w:rsidP="00A96E2F">
            <w:pPr>
              <w:spacing w:after="0"/>
              <w:jc w:val="right"/>
              <w:rPr>
                <w:rFonts w:ascii="Calibri" w:eastAsia="Times New Roman" w:hAnsi="Calibri" w:cs="Calibri"/>
                <w:color w:val="000000"/>
                <w:sz w:val="20"/>
              </w:rPr>
            </w:pPr>
            <w:r w:rsidRPr="00A96E2F">
              <w:rPr>
                <w:rFonts w:ascii="Calibri" w:eastAsia="Times New Roman" w:hAnsi="Calibri" w:cs="Calibri"/>
                <w:color w:val="000000"/>
                <w:sz w:val="20"/>
              </w:rPr>
              <w:t xml:space="preserve">$1,275,000 </w:t>
            </w:r>
          </w:p>
        </w:tc>
      </w:tr>
    </w:tbl>
    <w:p w:rsidR="00F3130C" w:rsidRPr="00F3130C" w:rsidRDefault="00F3130C" w:rsidP="00A809DD">
      <w:pPr>
        <w:rPr>
          <w:sz w:val="6"/>
        </w:rPr>
      </w:pPr>
    </w:p>
    <w:p w:rsidR="00E34415" w:rsidRDefault="00F3130C" w:rsidP="00A809DD">
      <w:r>
        <w:t>Notice that a</w:t>
      </w:r>
      <w:r w:rsidR="00586858">
        <w:t xml:space="preserve">n extra scenario was added for an investor that expects Social Security benefits to be cut in half by the time he or she retires.  This seems a little bit more realistic than assuming </w:t>
      </w:r>
      <w:r w:rsidR="00462346">
        <w:t>it</w:t>
      </w:r>
      <w:r w:rsidR="00586858">
        <w:t xml:space="preserve"> will not be there at all.  If this investor still wants to maintain a 99% probability of his/her savings lasting throughout retirement the savings goal becomes 16.25 times final salary (or $975,000).  </w:t>
      </w:r>
      <w:r w:rsidR="004E066E">
        <w:t>Ultimately, we should expect the savings target to be between 11.25 and 16.25 times your final salary.</w:t>
      </w:r>
    </w:p>
    <w:p w:rsidR="00462346" w:rsidRPr="00A809DD" w:rsidRDefault="00462346" w:rsidP="00462346">
      <w:pPr>
        <w:pStyle w:val="Heading1"/>
      </w:pPr>
      <w:r>
        <w:t>Question 2: How do I plan my lifetime savings to reach this goal?</w:t>
      </w:r>
    </w:p>
    <w:p w:rsidR="00AE506A" w:rsidRDefault="00AE506A" w:rsidP="00A809DD">
      <w:r>
        <w:t xml:space="preserve">The table at the beginning of this paper shows Fidelity’s suggested savings plan required to retire with 8 times your final salary.  </w:t>
      </w:r>
      <w:r w:rsidR="0068339C">
        <w:t>As before, they do not provide</w:t>
      </w:r>
      <w:r>
        <w:t xml:space="preserve"> much detail about how these targets were obtained.  They also continue to make assumptions that seem a bit optimistic</w:t>
      </w:r>
      <w:r w:rsidR="004E066E">
        <w:t>,</w:t>
      </w:r>
      <w:r>
        <w:t xml:space="preserve"> including</w:t>
      </w:r>
      <w:r w:rsidR="004E066E">
        <w:t>:</w:t>
      </w:r>
    </w:p>
    <w:p w:rsidR="00AE506A" w:rsidRDefault="00AE506A" w:rsidP="00AE506A">
      <w:pPr>
        <w:pStyle w:val="ListParagraph"/>
        <w:numPr>
          <w:ilvl w:val="0"/>
          <w:numId w:val="4"/>
        </w:numPr>
      </w:pPr>
      <w:r>
        <w:t xml:space="preserve">Saving 6% at age 25 and then increasing by 1% each year until you reach 12% at age 31 and continue to contribute this amount. </w:t>
      </w:r>
    </w:p>
    <w:p w:rsidR="00947812" w:rsidRDefault="00AE506A" w:rsidP="00AE506A">
      <w:pPr>
        <w:pStyle w:val="ListParagraph"/>
        <w:numPr>
          <w:ilvl w:val="0"/>
          <w:numId w:val="4"/>
        </w:numPr>
      </w:pPr>
      <w:r>
        <w:t>3% employer matching of savings</w:t>
      </w:r>
    </w:p>
    <w:p w:rsidR="00AE506A" w:rsidRDefault="00AE506A" w:rsidP="00AE506A">
      <w:pPr>
        <w:pStyle w:val="ListParagraph"/>
        <w:numPr>
          <w:ilvl w:val="0"/>
          <w:numId w:val="4"/>
        </w:numPr>
      </w:pPr>
      <w:r>
        <w:t>1.5% annual increase in salary</w:t>
      </w:r>
    </w:p>
    <w:p w:rsidR="00AE506A" w:rsidRDefault="00AE506A" w:rsidP="00AE506A">
      <w:pPr>
        <w:pStyle w:val="ListParagraph"/>
        <w:numPr>
          <w:ilvl w:val="0"/>
          <w:numId w:val="4"/>
        </w:numPr>
      </w:pPr>
      <w:r>
        <w:t>5.5% average annual portfolio growth rate</w:t>
      </w:r>
    </w:p>
    <w:p w:rsidR="00AE506A" w:rsidRDefault="00AE506A" w:rsidP="00AE506A">
      <w:r>
        <w:t>This last assumption seems to be the most dangerous, since any planning that uses an average rate of return is ignoring the variations in returns and the risks of making less than th</w:t>
      </w:r>
      <w:r w:rsidR="004E066E">
        <w:t>e average</w:t>
      </w:r>
      <w:r>
        <w:t xml:space="preserve"> return.</w:t>
      </w:r>
    </w:p>
    <w:p w:rsidR="002F7A75" w:rsidRDefault="00AE506A" w:rsidP="00AE506A">
      <w:r>
        <w:t>Again, we can look at the work of quantitative analysts</w:t>
      </w:r>
      <w:r w:rsidR="00467940">
        <w:rPr>
          <w:vertAlign w:val="superscript"/>
        </w:rPr>
        <w:t>3</w:t>
      </w:r>
      <w:r>
        <w:t xml:space="preserve"> to provide more detail and build a savings plan that protects us against more of the risk</w:t>
      </w:r>
      <w:r w:rsidR="00467940">
        <w:t>s</w:t>
      </w:r>
      <w:r>
        <w:t xml:space="preserve"> inherent in our investments.</w:t>
      </w:r>
      <w:r w:rsidR="00467940">
        <w:t xml:space="preserve">  The following results come from an analysis </w:t>
      </w:r>
      <w:r w:rsidR="004E066E">
        <w:t xml:space="preserve">of </w:t>
      </w:r>
      <w:r w:rsidR="00467940">
        <w:t>a market with 3 potential investments:</w:t>
      </w:r>
    </w:p>
    <w:p w:rsidR="002F7A75" w:rsidRDefault="002F7A75" w:rsidP="002F7A75">
      <w:r>
        <w:br w:type="page"/>
      </w:r>
    </w:p>
    <w:tbl>
      <w:tblPr>
        <w:tblStyle w:val="TableGrid"/>
        <w:tblW w:w="6210" w:type="dxa"/>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1422"/>
      </w:tblGrid>
      <w:tr w:rsidR="00467940" w:rsidRPr="00467940" w:rsidTr="009D3675">
        <w:tc>
          <w:tcPr>
            <w:tcW w:w="4788" w:type="dxa"/>
            <w:tcBorders>
              <w:bottom w:val="single" w:sz="4" w:space="0" w:color="auto"/>
            </w:tcBorders>
          </w:tcPr>
          <w:p w:rsidR="00467940" w:rsidRPr="00467940" w:rsidRDefault="00467940" w:rsidP="00AE506A">
            <w:pPr>
              <w:rPr>
                <w:sz w:val="22"/>
              </w:rPr>
            </w:pPr>
            <w:r w:rsidRPr="00467940">
              <w:rPr>
                <w:sz w:val="22"/>
              </w:rPr>
              <w:lastRenderedPageBreak/>
              <w:t>Investment</w:t>
            </w:r>
          </w:p>
        </w:tc>
        <w:tc>
          <w:tcPr>
            <w:tcW w:w="1422" w:type="dxa"/>
            <w:tcBorders>
              <w:bottom w:val="single" w:sz="4" w:space="0" w:color="auto"/>
            </w:tcBorders>
          </w:tcPr>
          <w:p w:rsidR="00467940" w:rsidRPr="00467940" w:rsidRDefault="00467940" w:rsidP="009D3675">
            <w:pPr>
              <w:jc w:val="center"/>
              <w:rPr>
                <w:sz w:val="22"/>
              </w:rPr>
            </w:pPr>
            <w:r w:rsidRPr="00467940">
              <w:rPr>
                <w:sz w:val="22"/>
              </w:rPr>
              <w:t>Avg. Return</w:t>
            </w:r>
          </w:p>
        </w:tc>
      </w:tr>
      <w:tr w:rsidR="00467940" w:rsidRPr="00467940" w:rsidTr="009D3675">
        <w:tc>
          <w:tcPr>
            <w:tcW w:w="4788" w:type="dxa"/>
            <w:tcBorders>
              <w:top w:val="single" w:sz="4" w:space="0" w:color="auto"/>
            </w:tcBorders>
          </w:tcPr>
          <w:p w:rsidR="00467940" w:rsidRPr="00467940" w:rsidRDefault="00467940" w:rsidP="00AE506A">
            <w:pPr>
              <w:rPr>
                <w:sz w:val="22"/>
              </w:rPr>
            </w:pPr>
            <w:r w:rsidRPr="00467940">
              <w:rPr>
                <w:sz w:val="22"/>
              </w:rPr>
              <w:t>Stocks  (S&amp;P 500)</w:t>
            </w:r>
          </w:p>
        </w:tc>
        <w:tc>
          <w:tcPr>
            <w:tcW w:w="1422" w:type="dxa"/>
            <w:tcBorders>
              <w:top w:val="single" w:sz="4" w:space="0" w:color="auto"/>
            </w:tcBorders>
          </w:tcPr>
          <w:p w:rsidR="00467940" w:rsidRPr="00467940" w:rsidRDefault="00467940" w:rsidP="009D3675">
            <w:pPr>
              <w:jc w:val="center"/>
              <w:rPr>
                <w:sz w:val="22"/>
              </w:rPr>
            </w:pPr>
            <w:r w:rsidRPr="00467940">
              <w:rPr>
                <w:sz w:val="22"/>
              </w:rPr>
              <w:t>8.64%</w:t>
            </w:r>
          </w:p>
        </w:tc>
      </w:tr>
      <w:tr w:rsidR="00467940" w:rsidRPr="00467940" w:rsidTr="009D3675">
        <w:tc>
          <w:tcPr>
            <w:tcW w:w="4788" w:type="dxa"/>
          </w:tcPr>
          <w:p w:rsidR="00467940" w:rsidRPr="00467940" w:rsidRDefault="00467940" w:rsidP="00AE506A">
            <w:pPr>
              <w:rPr>
                <w:sz w:val="22"/>
              </w:rPr>
            </w:pPr>
            <w:r w:rsidRPr="00467940">
              <w:rPr>
                <w:sz w:val="22"/>
              </w:rPr>
              <w:t>Bonds (long-term, 20 year, Treasury bonds)</w:t>
            </w:r>
          </w:p>
        </w:tc>
        <w:tc>
          <w:tcPr>
            <w:tcW w:w="1422" w:type="dxa"/>
          </w:tcPr>
          <w:p w:rsidR="00467940" w:rsidRPr="00467940" w:rsidRDefault="00467940" w:rsidP="009D3675">
            <w:pPr>
              <w:jc w:val="center"/>
              <w:rPr>
                <w:sz w:val="22"/>
              </w:rPr>
            </w:pPr>
            <w:r w:rsidRPr="00467940">
              <w:rPr>
                <w:sz w:val="22"/>
              </w:rPr>
              <w:t>2.88%</w:t>
            </w:r>
          </w:p>
        </w:tc>
      </w:tr>
      <w:tr w:rsidR="00467940" w:rsidRPr="00467940" w:rsidTr="009D3675">
        <w:tc>
          <w:tcPr>
            <w:tcW w:w="4788" w:type="dxa"/>
          </w:tcPr>
          <w:p w:rsidR="00467940" w:rsidRPr="00467940" w:rsidRDefault="00467940" w:rsidP="00AE506A">
            <w:pPr>
              <w:rPr>
                <w:sz w:val="22"/>
              </w:rPr>
            </w:pPr>
            <w:r w:rsidRPr="00467940">
              <w:rPr>
                <w:sz w:val="22"/>
              </w:rPr>
              <w:t>T-Bills (short-term, 30 day, Treasury Bills)</w:t>
            </w:r>
          </w:p>
        </w:tc>
        <w:tc>
          <w:tcPr>
            <w:tcW w:w="1422" w:type="dxa"/>
          </w:tcPr>
          <w:p w:rsidR="00467940" w:rsidRPr="00467940" w:rsidRDefault="00467940" w:rsidP="009D3675">
            <w:pPr>
              <w:jc w:val="center"/>
              <w:rPr>
                <w:sz w:val="22"/>
              </w:rPr>
            </w:pPr>
            <w:r w:rsidRPr="00467940">
              <w:rPr>
                <w:sz w:val="22"/>
              </w:rPr>
              <w:t>0.72%</w:t>
            </w:r>
          </w:p>
        </w:tc>
      </w:tr>
    </w:tbl>
    <w:p w:rsidR="009D3675" w:rsidRDefault="009D3675" w:rsidP="009D3675">
      <w:pPr>
        <w:spacing w:before="240" w:line="276" w:lineRule="auto"/>
      </w:pPr>
      <w:r>
        <w:t>All returns are inflation-adjusted, and they are a</w:t>
      </w:r>
      <w:r w:rsidR="004E066E">
        <w:t>lso simulated with the variance/</w:t>
      </w:r>
      <w:r>
        <w:t xml:space="preserve">risk relevant to each investment.  The simulation continues the earlier </w:t>
      </w:r>
      <w:r w:rsidR="004E066E">
        <w:t>assumption</w:t>
      </w:r>
      <w:r>
        <w:t xml:space="preserve"> of an investor who requires 85% of his pre-retirement income during retirement and is only willing to plan on Social Security delivering half of its currently promised benefits.  The investor begins saving when he </w:t>
      </w:r>
      <w:r w:rsidR="001E4612">
        <w:t>is 25</w:t>
      </w:r>
      <w:r>
        <w:t xml:space="preserve"> years old, contributing </w:t>
      </w:r>
      <w:r w:rsidR="001E4612">
        <w:t>1</w:t>
      </w:r>
      <w:r>
        <w:t>5% of his salary to savings</w:t>
      </w:r>
      <w:r w:rsidR="001E4612">
        <w:t>.  This 15% matches the final savings level in the Fidelity assessment (12% savings with a 3% matching from employer</w:t>
      </w:r>
      <w:r w:rsidR="004E066E">
        <w:t>), but it could be obtained in multiple ways (example: saving 10% with employer matching of 5%)</w:t>
      </w:r>
      <w:r w:rsidR="001E4612">
        <w:t xml:space="preserve">.  </w:t>
      </w:r>
      <w:r>
        <w:t>The optimal savings plan under these assumptions</w:t>
      </w:r>
      <w:r w:rsidR="00BE0ED1">
        <w:t xml:space="preserve"> (and providing a 95% probability of not running out of money during retirement)</w:t>
      </w:r>
      <w:r>
        <w:t xml:space="preserve"> is shown in the charts below:</w:t>
      </w:r>
    </w:p>
    <w:p w:rsidR="00E06AA8" w:rsidRDefault="0047487E" w:rsidP="009D3675">
      <w:pPr>
        <w:spacing w:before="240" w:line="276" w:lineRule="auto"/>
      </w:pPr>
      <w:r>
        <w:rPr>
          <w:noProof/>
        </w:rPr>
        <w:drawing>
          <wp:inline distT="0" distB="0" distL="0" distR="0" wp14:anchorId="423CE5B0">
            <wp:extent cx="5300133" cy="1874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661" t="5445" r="1508" b="1154"/>
                    <a:stretch/>
                  </pic:blipFill>
                  <pic:spPr bwMode="auto">
                    <a:xfrm>
                      <a:off x="0" y="0"/>
                      <a:ext cx="5312586" cy="1878924"/>
                    </a:xfrm>
                    <a:prstGeom prst="rect">
                      <a:avLst/>
                    </a:prstGeom>
                    <a:noFill/>
                    <a:ln>
                      <a:noFill/>
                    </a:ln>
                    <a:extLst>
                      <a:ext uri="{53640926-AAD7-44D8-BBD7-CCE9431645EC}">
                        <a14:shadowObscured xmlns:a14="http://schemas.microsoft.com/office/drawing/2010/main"/>
                      </a:ext>
                    </a:extLst>
                  </pic:spPr>
                </pic:pic>
              </a:graphicData>
            </a:graphic>
          </wp:inline>
        </w:drawing>
      </w:r>
    </w:p>
    <w:p w:rsidR="00E06AA8" w:rsidRDefault="00E06AA8" w:rsidP="009D3675">
      <w:pPr>
        <w:spacing w:before="240" w:line="276" w:lineRule="auto"/>
      </w:pPr>
      <w:r>
        <w:rPr>
          <w:noProof/>
        </w:rPr>
        <w:drawing>
          <wp:inline distT="0" distB="0" distL="0" distR="0" wp14:anchorId="7308739F" wp14:editId="26488D2E">
            <wp:extent cx="5300133" cy="822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900" t="8969" r="593" b="8992"/>
                    <a:stretch/>
                  </pic:blipFill>
                  <pic:spPr bwMode="auto">
                    <a:xfrm>
                      <a:off x="0" y="0"/>
                      <a:ext cx="5314415" cy="825178"/>
                    </a:xfrm>
                    <a:prstGeom prst="rect">
                      <a:avLst/>
                    </a:prstGeom>
                    <a:noFill/>
                    <a:ln>
                      <a:noFill/>
                    </a:ln>
                    <a:extLst>
                      <a:ext uri="{53640926-AAD7-44D8-BBD7-CCE9431645EC}">
                        <a14:shadowObscured xmlns:a14="http://schemas.microsoft.com/office/drawing/2010/main"/>
                      </a:ext>
                    </a:extLst>
                  </pic:spPr>
                </pic:pic>
              </a:graphicData>
            </a:graphic>
          </wp:inline>
        </w:drawing>
      </w:r>
    </w:p>
    <w:p w:rsidR="00E06AA8" w:rsidRDefault="00E06AA8" w:rsidP="009D3675">
      <w:pPr>
        <w:spacing w:before="240" w:line="276" w:lineRule="auto"/>
      </w:pPr>
      <w:r>
        <w:rPr>
          <w:noProof/>
        </w:rPr>
        <w:drawing>
          <wp:inline distT="0" distB="0" distL="0" distR="0" wp14:anchorId="00FBDEF4" wp14:editId="59A4DA75">
            <wp:extent cx="5300133"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901" t="14223" r="714" b="14244"/>
                    <a:stretch/>
                  </pic:blipFill>
                  <pic:spPr bwMode="auto">
                    <a:xfrm>
                      <a:off x="0" y="0"/>
                      <a:ext cx="5307850" cy="457866"/>
                    </a:xfrm>
                    <a:prstGeom prst="rect">
                      <a:avLst/>
                    </a:prstGeom>
                    <a:noFill/>
                    <a:ln>
                      <a:noFill/>
                    </a:ln>
                    <a:extLst>
                      <a:ext uri="{53640926-AAD7-44D8-BBD7-CCE9431645EC}">
                        <a14:shadowObscured xmlns:a14="http://schemas.microsoft.com/office/drawing/2010/main"/>
                      </a:ext>
                    </a:extLst>
                  </pic:spPr>
                </pic:pic>
              </a:graphicData>
            </a:graphic>
          </wp:inline>
        </w:drawing>
      </w:r>
    </w:p>
    <w:p w:rsidR="00341404" w:rsidRDefault="009D3675" w:rsidP="009D3675">
      <w:pPr>
        <w:spacing w:before="240" w:line="276" w:lineRule="auto"/>
      </w:pPr>
      <w:r>
        <w:t xml:space="preserve">The savings goals for this plan are included in the table at the beginning of this fact sheet (in the column labeled “Alt”).  This </w:t>
      </w:r>
      <w:r w:rsidR="001E4612">
        <w:t>savings plan starts out similar to the Fidelity plan, but the savings target quickly increases (due to the larger potential returns on stocks) and has a final savings target of 13.9 times salary instead of just 8.</w:t>
      </w:r>
      <w:r>
        <w:t xml:space="preserve">  The middle graph also shows how the optimal solution is expected to vary its investments over time: investing entirely in high-risk/high-reward investments early in life and later moving towards more conservative, risk-adverse investments.  In retirement, the risk-profile is substantially reduced so that the accumulated savings will la</w:t>
      </w:r>
      <w:r w:rsidR="00341404">
        <w:t>st throughout retirement.</w:t>
      </w:r>
    </w:p>
    <w:p w:rsidR="009D3675" w:rsidRDefault="009D3675" w:rsidP="009D3675">
      <w:pPr>
        <w:spacing w:before="240" w:line="276" w:lineRule="auto"/>
      </w:pPr>
      <w:r>
        <w:lastRenderedPageBreak/>
        <w:t>It is interesting to note how th</w:t>
      </w:r>
      <w:r w:rsidR="00341404">
        <w:t>is investment advic</w:t>
      </w:r>
      <w:r>
        <w:t>e compares with that given by traditional re</w:t>
      </w:r>
      <w:r w:rsidR="00700A40">
        <w:t xml:space="preserve">tirement-based investment funds.  The chart below shows the portfolio allocations recommended by </w:t>
      </w:r>
      <w:r w:rsidR="0068339C">
        <w:t>Merrill</w:t>
      </w:r>
      <w:r w:rsidR="00700A40">
        <w:t xml:space="preserve"> Lynch:</w:t>
      </w:r>
    </w:p>
    <w:p w:rsidR="00341404" w:rsidRDefault="009D3675" w:rsidP="009D3675">
      <w:pPr>
        <w:spacing w:before="240" w:line="276" w:lineRule="auto"/>
      </w:pPr>
      <w:r w:rsidRPr="00341404">
        <w:rPr>
          <w:noProof/>
          <w:sz w:val="20"/>
        </w:rPr>
        <w:drawing>
          <wp:anchor distT="0" distB="0" distL="114300" distR="114300" simplePos="0" relativeHeight="251658240" behindDoc="0" locked="0" layoutInCell="1" allowOverlap="1" wp14:anchorId="01F290D9" wp14:editId="51AB987E">
            <wp:simplePos x="0" y="0"/>
            <wp:positionH relativeFrom="column">
              <wp:posOffset>0</wp:posOffset>
            </wp:positionH>
            <wp:positionV relativeFrom="paragraph">
              <wp:posOffset>3810</wp:posOffset>
            </wp:positionV>
            <wp:extent cx="5819775" cy="150495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9775"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00341404" w:rsidRPr="00341404">
        <w:rPr>
          <w:sz w:val="20"/>
        </w:rPr>
        <w:t>SOURCE: Merrill Lynch Retirement Date Fund 2050 Prospectus</w:t>
      </w:r>
      <w:r w:rsidR="00341404" w:rsidRPr="00341404">
        <w:rPr>
          <w:vertAlign w:val="superscript"/>
        </w:rPr>
        <w:t>4</w:t>
      </w:r>
    </w:p>
    <w:p w:rsidR="00341404" w:rsidRDefault="009D3675" w:rsidP="009D3675">
      <w:pPr>
        <w:spacing w:before="240" w:line="276" w:lineRule="auto"/>
      </w:pPr>
      <w:r>
        <w:t>Th</w:t>
      </w:r>
      <w:r w:rsidR="00700A40">
        <w:t>e investment profile is similar.  It begins</w:t>
      </w:r>
      <w:r>
        <w:t xml:space="preserve"> with a large allocation in stocks </w:t>
      </w:r>
      <w:r w:rsidR="00700A40">
        <w:t>and moves slowly</w:t>
      </w:r>
      <w:r>
        <w:t xml:space="preserve"> into bonds and </w:t>
      </w:r>
      <w:r w:rsidR="00341404">
        <w:t>cash.  Whether one is investing one’s own money or leaving it to professional investors to manage the allocation of investments, the above allocation guidelines provide an overall view of how retirement savings should be allocated among potential investments.  These guidelines, combined with the savings amounts and targets by age provide a basic plan for any investor to use and against which progress towards one’s goal can be measured.</w:t>
      </w:r>
    </w:p>
    <w:p w:rsidR="00341404" w:rsidRDefault="00341404" w:rsidP="00341404">
      <w:pPr>
        <w:pStyle w:val="Heading1"/>
      </w:pPr>
      <w:r>
        <w:t>Conclusion</w:t>
      </w:r>
    </w:p>
    <w:p w:rsidR="009D6F19" w:rsidRDefault="001E4612" w:rsidP="00341404">
      <w:r>
        <w:t xml:space="preserve">While retirement plans can (and should) be tailored to every individual, this brief fact sheet presents a quick overview for a hypothetical investor.  This investor is rather conservative, and requires a 95-99% chance of making it through retirement on his savings.  He also is conservative in that he only expects half of the promised Social Security benefits to be available to help him achieve this goal.  The result is a savings target of 13.9 </w:t>
      </w:r>
      <w:proofErr w:type="gramStart"/>
      <w:r>
        <w:t>times</w:t>
      </w:r>
      <w:proofErr w:type="gramEnd"/>
      <w:r>
        <w:t xml:space="preserve"> final earnings and a savings plan that begins saving 15% of his income at age 25.  While the 15% savings for retirement does match the Fidelity assumptions, it might seem a bit high to some.  In fact, one can still attain the same retirement goals by only saving 10% of their salary, but they will have to begin at age 20 instead of age 25.</w:t>
      </w:r>
    </w:p>
    <w:p w:rsidR="009D6F19" w:rsidRDefault="009D6F19" w:rsidP="00341404">
      <w:r>
        <w:t xml:space="preserve">We have also looked at how retirement investments should be allocated among different asset classes, beginning with high-risk/high-reward investments in stocks at an early age and moving into safer investments as retirement approaches.  This </w:t>
      </w:r>
      <w:r w:rsidR="0068339C">
        <w:t xml:space="preserve">is good </w:t>
      </w:r>
      <w:r>
        <w:t>advice in general and provides a solid baseline for investment decisions.  Most investors who take an active interest in their</w:t>
      </w:r>
      <w:r w:rsidR="00700A40">
        <w:t xml:space="preserve"> retirement and actively manage</w:t>
      </w:r>
      <w:r>
        <w:t xml:space="preserve"> their own investments will be tempted to make more targeted investments in specific stocks or funds that they believe will increase their returns.  Personally, I think this should be encouraged, especially at an early age when the goal is to take on as much risk/reward as possible.  However, it is important to keep in mind that if your savings do fall short of </w:t>
      </w:r>
      <w:r w:rsidR="00700A40">
        <w:t>your savings goals</w:t>
      </w:r>
      <w:r>
        <w:t xml:space="preserve">, you will need to make up the difference by increasing your savings </w:t>
      </w:r>
      <w:r w:rsidR="00700A40">
        <w:t xml:space="preserve">contributions </w:t>
      </w:r>
      <w:r>
        <w:t xml:space="preserve">each year.  Also, if you do manage to receive returns in excess of those outlined here, you can choose to either reduce your annual savings for retirement or decide to retire early.  </w:t>
      </w:r>
    </w:p>
    <w:p w:rsidR="008602EF" w:rsidRDefault="009D6F19" w:rsidP="00341404">
      <w:r>
        <w:lastRenderedPageBreak/>
        <w:t>The baseline case outlined above is rather conservative and is built to include the possibility of extremely poor returns.  It is very likely that if you follow this savings plan you will obtain savings in excess of the goals above.  The average investor who follows this plan can actually expect to leave about 8 times his pre-retirement salary to his estate if he reaches the age of 92.  Half of the investors will even leave behind more than that (assuming they don’t realize this before-hand and spend it in retirement).  Ultima</w:t>
      </w:r>
      <w:r w:rsidR="00E0071B">
        <w:t>tely, the best advic</w:t>
      </w:r>
      <w:r>
        <w:t>e is to plan wisely</w:t>
      </w:r>
      <w:r w:rsidR="00E0071B">
        <w:t xml:space="preserve"> and be conservative in your estimates</w:t>
      </w:r>
      <w:r>
        <w:t xml:space="preserve">.  Use the savings goals in this fact sheet to see how you are doing in saving for retirement and adjust your savings accordingly.  </w:t>
      </w:r>
      <w:r w:rsidR="00E0071B">
        <w:t>If you do this, you will likely find that you have more money than you need in retirement and you can choose to either spend lavishly or leave behind wealth for future generations.</w:t>
      </w:r>
    </w:p>
    <w:p w:rsidR="009D6F19" w:rsidRDefault="009D6F19" w:rsidP="00341404"/>
    <w:p w:rsidR="008602EF" w:rsidRDefault="008602EF" w:rsidP="008602EF">
      <w:pPr>
        <w:pStyle w:val="Heading1"/>
      </w:pPr>
      <w:r>
        <w:t>References</w:t>
      </w:r>
    </w:p>
    <w:p w:rsidR="008602EF" w:rsidRPr="008602EF" w:rsidRDefault="008602EF" w:rsidP="008602EF">
      <w:pPr>
        <w:ind w:left="720" w:hanging="720"/>
        <w:rPr>
          <w:sz w:val="20"/>
        </w:rPr>
      </w:pPr>
      <w:r>
        <w:t>1</w:t>
      </w:r>
      <w:r>
        <w:tab/>
      </w:r>
      <w:proofErr w:type="spellStart"/>
      <w:r>
        <w:t>Carrns</w:t>
      </w:r>
      <w:proofErr w:type="spellEnd"/>
      <w:r>
        <w:t xml:space="preserve">, Ann.  </w:t>
      </w:r>
      <w:proofErr w:type="gramStart"/>
      <w:r>
        <w:t>Suggested Retirement Savings Goals by Age.</w:t>
      </w:r>
      <w:proofErr w:type="gramEnd"/>
      <w:r>
        <w:t xml:space="preserve">  </w:t>
      </w:r>
      <w:proofErr w:type="gramStart"/>
      <w:r>
        <w:t>NY Times Blogs.</w:t>
      </w:r>
      <w:proofErr w:type="gramEnd"/>
      <w:r>
        <w:t xml:space="preserve">  September 12, 2012.  </w:t>
      </w:r>
      <w:hyperlink r:id="rId13" w:history="1">
        <w:r w:rsidRPr="008602EF">
          <w:rPr>
            <w:rStyle w:val="Hyperlink"/>
            <w:sz w:val="20"/>
          </w:rPr>
          <w:t>http://bucks.blogs.nytimes.com/2012/09/12/suggested-retirement-savings-goals-by-age/?_php=true&amp;_type=blogs&amp;_r=0</w:t>
        </w:r>
      </w:hyperlink>
    </w:p>
    <w:p w:rsidR="00AE506A" w:rsidRPr="00467940" w:rsidRDefault="00AE506A" w:rsidP="00467940">
      <w:pPr>
        <w:ind w:left="720" w:hanging="720"/>
        <w:rPr>
          <w:rFonts w:ascii="Calibri" w:eastAsia="Times New Roman" w:hAnsi="Calibri" w:cs="Calibri"/>
          <w:color w:val="000000"/>
          <w:sz w:val="18"/>
          <w:szCs w:val="18"/>
        </w:rPr>
      </w:pPr>
      <w:proofErr w:type="gramStart"/>
      <w:r>
        <w:t>2</w:t>
      </w:r>
      <w:r>
        <w:tab/>
      </w:r>
      <w:r w:rsidR="00467940">
        <w:t>Social Security Agency.</w:t>
      </w:r>
      <w:proofErr w:type="gramEnd"/>
      <w:r w:rsidR="00467940">
        <w:t xml:space="preserve">  </w:t>
      </w:r>
      <w:proofErr w:type="gramStart"/>
      <w:r w:rsidR="00467940">
        <w:t>Social Security Benefits Amounts.</w:t>
      </w:r>
      <w:proofErr w:type="gramEnd"/>
      <w:r w:rsidR="00467940">
        <w:t xml:space="preserve">  </w:t>
      </w:r>
      <w:hyperlink r:id="rId14" w:history="1">
        <w:r w:rsidR="00467940" w:rsidRPr="00921F40">
          <w:rPr>
            <w:rStyle w:val="Hyperlink"/>
            <w:rFonts w:ascii="Calibri" w:eastAsia="Times New Roman" w:hAnsi="Calibri" w:cs="Calibri"/>
            <w:sz w:val="18"/>
            <w:szCs w:val="18"/>
          </w:rPr>
          <w:t>http://www.ssa.gov/oact/cola/Benefits.html</w:t>
        </w:r>
      </w:hyperlink>
      <w:r w:rsidR="00467940">
        <w:rPr>
          <w:rFonts w:ascii="Calibri" w:eastAsia="Times New Roman" w:hAnsi="Calibri" w:cs="Calibri"/>
          <w:color w:val="000000"/>
          <w:sz w:val="18"/>
          <w:szCs w:val="18"/>
        </w:rPr>
        <w:t xml:space="preserve">  Accessed: July 12, 2014.</w:t>
      </w:r>
    </w:p>
    <w:p w:rsidR="008602EF" w:rsidRDefault="00467940" w:rsidP="00700A40">
      <w:pPr>
        <w:ind w:left="720" w:hanging="720"/>
      </w:pPr>
      <w:r>
        <w:t>3</w:t>
      </w:r>
      <w:r w:rsidR="00AE506A">
        <w:tab/>
        <w:t xml:space="preserve">Rogers, Daniel.  </w:t>
      </w:r>
      <w:proofErr w:type="gramStart"/>
      <w:r w:rsidR="00AE506A">
        <w:t>Optimizing Retirement Portfolios.</w:t>
      </w:r>
      <w:proofErr w:type="gramEnd"/>
      <w:r w:rsidR="00AE506A">
        <w:t xml:space="preserve">  [</w:t>
      </w:r>
      <w:proofErr w:type="gramStart"/>
      <w:r w:rsidR="00AE506A">
        <w:t>unpublished</w:t>
      </w:r>
      <w:proofErr w:type="gramEnd"/>
      <w:r w:rsidR="00700A40">
        <w:t>, email author for a copy: bodhi.root@gmail.com</w:t>
      </w:r>
      <w:r w:rsidR="00AE506A">
        <w:t xml:space="preserve">].  </w:t>
      </w:r>
    </w:p>
    <w:p w:rsidR="00341404" w:rsidRPr="00A809DD" w:rsidRDefault="00341404" w:rsidP="00A809DD">
      <w:r>
        <w:t>4</w:t>
      </w:r>
      <w:r>
        <w:tab/>
        <w:t xml:space="preserve">Merrill Lynch.  </w:t>
      </w:r>
      <w:proofErr w:type="gramStart"/>
      <w:r w:rsidRPr="00341404">
        <w:t>Retirement Date Fund 2050 Prospectus</w:t>
      </w:r>
      <w:r>
        <w:t>.</w:t>
      </w:r>
      <w:proofErr w:type="gramEnd"/>
    </w:p>
    <w:sectPr w:rsidR="00341404" w:rsidRPr="00A809DD" w:rsidSect="004551E6">
      <w:footerReference w:type="default" r:id="rId15"/>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E3D" w:rsidRDefault="00C64E3D" w:rsidP="0006559D">
      <w:pPr>
        <w:spacing w:after="0"/>
      </w:pPr>
      <w:r>
        <w:separator/>
      </w:r>
    </w:p>
  </w:endnote>
  <w:endnote w:type="continuationSeparator" w:id="0">
    <w:p w:rsidR="00C64E3D" w:rsidRDefault="00C64E3D" w:rsidP="000655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59D" w:rsidRDefault="0006559D" w:rsidP="0006559D">
    <w:pPr>
      <w:pStyle w:val="Footer"/>
      <w:jc w:val="right"/>
    </w:pPr>
    <w:r>
      <w:t>Dan Rogers,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E3D" w:rsidRDefault="00C64E3D" w:rsidP="0006559D">
      <w:pPr>
        <w:spacing w:after="0"/>
      </w:pPr>
      <w:r>
        <w:separator/>
      </w:r>
    </w:p>
  </w:footnote>
  <w:footnote w:type="continuationSeparator" w:id="0">
    <w:p w:rsidR="00C64E3D" w:rsidRDefault="00C64E3D" w:rsidP="0006559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06713"/>
    <w:multiLevelType w:val="hybridMultilevel"/>
    <w:tmpl w:val="11CAF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D5F72B7"/>
    <w:multiLevelType w:val="hybridMultilevel"/>
    <w:tmpl w:val="BEAAF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C57626"/>
    <w:multiLevelType w:val="hybridMultilevel"/>
    <w:tmpl w:val="BEAAF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D44D7C"/>
    <w:multiLevelType w:val="hybridMultilevel"/>
    <w:tmpl w:val="BEAAF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3A063D"/>
    <w:multiLevelType w:val="hybridMultilevel"/>
    <w:tmpl w:val="1166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224FEE"/>
    <w:multiLevelType w:val="hybridMultilevel"/>
    <w:tmpl w:val="331E8A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FA6"/>
    <w:rsid w:val="0006559D"/>
    <w:rsid w:val="001E4612"/>
    <w:rsid w:val="00262032"/>
    <w:rsid w:val="002F7A75"/>
    <w:rsid w:val="00341404"/>
    <w:rsid w:val="004551E6"/>
    <w:rsid w:val="00462346"/>
    <w:rsid w:val="00467940"/>
    <w:rsid w:val="0047487E"/>
    <w:rsid w:val="004E066E"/>
    <w:rsid w:val="004F5722"/>
    <w:rsid w:val="00574FA6"/>
    <w:rsid w:val="00586858"/>
    <w:rsid w:val="0068339C"/>
    <w:rsid w:val="00700A40"/>
    <w:rsid w:val="008051E2"/>
    <w:rsid w:val="008602EF"/>
    <w:rsid w:val="008A26F7"/>
    <w:rsid w:val="00947812"/>
    <w:rsid w:val="009C6C84"/>
    <w:rsid w:val="009D3675"/>
    <w:rsid w:val="009D6F19"/>
    <w:rsid w:val="00A809DD"/>
    <w:rsid w:val="00A96E2F"/>
    <w:rsid w:val="00AE506A"/>
    <w:rsid w:val="00BE0ED1"/>
    <w:rsid w:val="00C64E3D"/>
    <w:rsid w:val="00E0071B"/>
    <w:rsid w:val="00E06AA8"/>
    <w:rsid w:val="00E34415"/>
    <w:rsid w:val="00E84C2A"/>
    <w:rsid w:val="00F3130C"/>
    <w:rsid w:val="00FB5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9DD"/>
    <w:pPr>
      <w:spacing w:line="240" w:lineRule="auto"/>
    </w:pPr>
    <w:rPr>
      <w:sz w:val="24"/>
    </w:rPr>
  </w:style>
  <w:style w:type="paragraph" w:styleId="Heading1">
    <w:name w:val="heading 1"/>
    <w:basedOn w:val="Normal"/>
    <w:next w:val="Normal"/>
    <w:link w:val="Heading1Char"/>
    <w:uiPriority w:val="9"/>
    <w:qFormat/>
    <w:rsid w:val="008602EF"/>
    <w:pPr>
      <w:keepNext/>
      <w:keepLines/>
      <w:spacing w:before="240" w:after="240"/>
      <w:outlineLvl w:val="0"/>
    </w:pPr>
    <w:rPr>
      <w:rFonts w:asciiTheme="majorHAnsi" w:eastAsiaTheme="majorEastAsia" w:hAnsiTheme="majorHAnsi" w:cstheme="majorBidi"/>
      <w:b/>
      <w:bCs/>
      <w:color w:val="244061" w:themeColor="accent1" w:themeShade="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9DD"/>
    <w:pPr>
      <w:ind w:left="720"/>
      <w:contextualSpacing/>
    </w:pPr>
  </w:style>
  <w:style w:type="paragraph" w:styleId="Title">
    <w:name w:val="Title"/>
    <w:basedOn w:val="Normal"/>
    <w:next w:val="Normal"/>
    <w:link w:val="TitleChar"/>
    <w:uiPriority w:val="10"/>
    <w:qFormat/>
    <w:rsid w:val="00A809DD"/>
    <w:pPr>
      <w:pBdr>
        <w:bottom w:val="single" w:sz="8" w:space="4" w:color="4F81BD" w:themeColor="accent1"/>
      </w:pBdr>
      <w:spacing w:after="300"/>
      <w:contextualSpacing/>
    </w:pPr>
    <w:rPr>
      <w:rFonts w:asciiTheme="majorHAnsi" w:eastAsiaTheme="majorEastAsia" w:hAnsiTheme="majorHAnsi" w:cstheme="majorBidi"/>
      <w:b/>
      <w:color w:val="17365D" w:themeColor="text2" w:themeShade="BF"/>
      <w:spacing w:val="5"/>
      <w:kern w:val="28"/>
      <w:sz w:val="36"/>
      <w:szCs w:val="52"/>
    </w:rPr>
  </w:style>
  <w:style w:type="character" w:customStyle="1" w:styleId="TitleChar">
    <w:name w:val="Title Char"/>
    <w:basedOn w:val="DefaultParagraphFont"/>
    <w:link w:val="Title"/>
    <w:uiPriority w:val="10"/>
    <w:rsid w:val="00A809DD"/>
    <w:rPr>
      <w:rFonts w:asciiTheme="majorHAnsi" w:eastAsiaTheme="majorEastAsia" w:hAnsiTheme="majorHAnsi" w:cstheme="majorBidi"/>
      <w:b/>
      <w:color w:val="17365D" w:themeColor="text2" w:themeShade="BF"/>
      <w:spacing w:val="5"/>
      <w:kern w:val="28"/>
      <w:sz w:val="36"/>
      <w:szCs w:val="52"/>
    </w:rPr>
  </w:style>
  <w:style w:type="character" w:customStyle="1" w:styleId="Heading1Char">
    <w:name w:val="Heading 1 Char"/>
    <w:basedOn w:val="DefaultParagraphFont"/>
    <w:link w:val="Heading1"/>
    <w:uiPriority w:val="9"/>
    <w:rsid w:val="008602EF"/>
    <w:rPr>
      <w:rFonts w:asciiTheme="majorHAnsi" w:eastAsiaTheme="majorEastAsia" w:hAnsiTheme="majorHAnsi" w:cstheme="majorBidi"/>
      <w:b/>
      <w:bCs/>
      <w:color w:val="244061" w:themeColor="accent1" w:themeShade="80"/>
      <w:sz w:val="28"/>
      <w:szCs w:val="28"/>
    </w:rPr>
  </w:style>
  <w:style w:type="character" w:styleId="Hyperlink">
    <w:name w:val="Hyperlink"/>
    <w:basedOn w:val="DefaultParagraphFont"/>
    <w:uiPriority w:val="99"/>
    <w:unhideWhenUsed/>
    <w:rsid w:val="008602EF"/>
    <w:rPr>
      <w:color w:val="0000FF" w:themeColor="hyperlink"/>
      <w:u w:val="single"/>
    </w:rPr>
  </w:style>
  <w:style w:type="table" w:styleId="TableGrid">
    <w:name w:val="Table Grid"/>
    <w:basedOn w:val="TableNormal"/>
    <w:uiPriority w:val="59"/>
    <w:rsid w:val="00E34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367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675"/>
    <w:rPr>
      <w:rFonts w:ascii="Tahoma" w:hAnsi="Tahoma" w:cs="Tahoma"/>
      <w:sz w:val="16"/>
      <w:szCs w:val="16"/>
    </w:rPr>
  </w:style>
  <w:style w:type="paragraph" w:styleId="Header">
    <w:name w:val="header"/>
    <w:basedOn w:val="Normal"/>
    <w:link w:val="HeaderChar"/>
    <w:uiPriority w:val="99"/>
    <w:unhideWhenUsed/>
    <w:rsid w:val="0006559D"/>
    <w:pPr>
      <w:tabs>
        <w:tab w:val="center" w:pos="4680"/>
        <w:tab w:val="right" w:pos="9360"/>
      </w:tabs>
      <w:spacing w:after="0"/>
    </w:pPr>
  </w:style>
  <w:style w:type="character" w:customStyle="1" w:styleId="HeaderChar">
    <w:name w:val="Header Char"/>
    <w:basedOn w:val="DefaultParagraphFont"/>
    <w:link w:val="Header"/>
    <w:uiPriority w:val="99"/>
    <w:rsid w:val="0006559D"/>
    <w:rPr>
      <w:sz w:val="24"/>
    </w:rPr>
  </w:style>
  <w:style w:type="paragraph" w:styleId="Footer">
    <w:name w:val="footer"/>
    <w:basedOn w:val="Normal"/>
    <w:link w:val="FooterChar"/>
    <w:uiPriority w:val="99"/>
    <w:unhideWhenUsed/>
    <w:rsid w:val="0006559D"/>
    <w:pPr>
      <w:tabs>
        <w:tab w:val="center" w:pos="4680"/>
        <w:tab w:val="right" w:pos="9360"/>
      </w:tabs>
      <w:spacing w:after="0"/>
    </w:pPr>
  </w:style>
  <w:style w:type="character" w:customStyle="1" w:styleId="FooterChar">
    <w:name w:val="Footer Char"/>
    <w:basedOn w:val="DefaultParagraphFont"/>
    <w:link w:val="Footer"/>
    <w:uiPriority w:val="99"/>
    <w:rsid w:val="0006559D"/>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9DD"/>
    <w:pPr>
      <w:spacing w:line="240" w:lineRule="auto"/>
    </w:pPr>
    <w:rPr>
      <w:sz w:val="24"/>
    </w:rPr>
  </w:style>
  <w:style w:type="paragraph" w:styleId="Heading1">
    <w:name w:val="heading 1"/>
    <w:basedOn w:val="Normal"/>
    <w:next w:val="Normal"/>
    <w:link w:val="Heading1Char"/>
    <w:uiPriority w:val="9"/>
    <w:qFormat/>
    <w:rsid w:val="008602EF"/>
    <w:pPr>
      <w:keepNext/>
      <w:keepLines/>
      <w:spacing w:before="240" w:after="240"/>
      <w:outlineLvl w:val="0"/>
    </w:pPr>
    <w:rPr>
      <w:rFonts w:asciiTheme="majorHAnsi" w:eastAsiaTheme="majorEastAsia" w:hAnsiTheme="majorHAnsi" w:cstheme="majorBidi"/>
      <w:b/>
      <w:bCs/>
      <w:color w:val="244061" w:themeColor="accent1" w:themeShade="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9DD"/>
    <w:pPr>
      <w:ind w:left="720"/>
      <w:contextualSpacing/>
    </w:pPr>
  </w:style>
  <w:style w:type="paragraph" w:styleId="Title">
    <w:name w:val="Title"/>
    <w:basedOn w:val="Normal"/>
    <w:next w:val="Normal"/>
    <w:link w:val="TitleChar"/>
    <w:uiPriority w:val="10"/>
    <w:qFormat/>
    <w:rsid w:val="00A809DD"/>
    <w:pPr>
      <w:pBdr>
        <w:bottom w:val="single" w:sz="8" w:space="4" w:color="4F81BD" w:themeColor="accent1"/>
      </w:pBdr>
      <w:spacing w:after="300"/>
      <w:contextualSpacing/>
    </w:pPr>
    <w:rPr>
      <w:rFonts w:asciiTheme="majorHAnsi" w:eastAsiaTheme="majorEastAsia" w:hAnsiTheme="majorHAnsi" w:cstheme="majorBidi"/>
      <w:b/>
      <w:color w:val="17365D" w:themeColor="text2" w:themeShade="BF"/>
      <w:spacing w:val="5"/>
      <w:kern w:val="28"/>
      <w:sz w:val="36"/>
      <w:szCs w:val="52"/>
    </w:rPr>
  </w:style>
  <w:style w:type="character" w:customStyle="1" w:styleId="TitleChar">
    <w:name w:val="Title Char"/>
    <w:basedOn w:val="DefaultParagraphFont"/>
    <w:link w:val="Title"/>
    <w:uiPriority w:val="10"/>
    <w:rsid w:val="00A809DD"/>
    <w:rPr>
      <w:rFonts w:asciiTheme="majorHAnsi" w:eastAsiaTheme="majorEastAsia" w:hAnsiTheme="majorHAnsi" w:cstheme="majorBidi"/>
      <w:b/>
      <w:color w:val="17365D" w:themeColor="text2" w:themeShade="BF"/>
      <w:spacing w:val="5"/>
      <w:kern w:val="28"/>
      <w:sz w:val="36"/>
      <w:szCs w:val="52"/>
    </w:rPr>
  </w:style>
  <w:style w:type="character" w:customStyle="1" w:styleId="Heading1Char">
    <w:name w:val="Heading 1 Char"/>
    <w:basedOn w:val="DefaultParagraphFont"/>
    <w:link w:val="Heading1"/>
    <w:uiPriority w:val="9"/>
    <w:rsid w:val="008602EF"/>
    <w:rPr>
      <w:rFonts w:asciiTheme="majorHAnsi" w:eastAsiaTheme="majorEastAsia" w:hAnsiTheme="majorHAnsi" w:cstheme="majorBidi"/>
      <w:b/>
      <w:bCs/>
      <w:color w:val="244061" w:themeColor="accent1" w:themeShade="80"/>
      <w:sz w:val="28"/>
      <w:szCs w:val="28"/>
    </w:rPr>
  </w:style>
  <w:style w:type="character" w:styleId="Hyperlink">
    <w:name w:val="Hyperlink"/>
    <w:basedOn w:val="DefaultParagraphFont"/>
    <w:uiPriority w:val="99"/>
    <w:unhideWhenUsed/>
    <w:rsid w:val="008602EF"/>
    <w:rPr>
      <w:color w:val="0000FF" w:themeColor="hyperlink"/>
      <w:u w:val="single"/>
    </w:rPr>
  </w:style>
  <w:style w:type="table" w:styleId="TableGrid">
    <w:name w:val="Table Grid"/>
    <w:basedOn w:val="TableNormal"/>
    <w:uiPriority w:val="59"/>
    <w:rsid w:val="00E34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367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675"/>
    <w:rPr>
      <w:rFonts w:ascii="Tahoma" w:hAnsi="Tahoma" w:cs="Tahoma"/>
      <w:sz w:val="16"/>
      <w:szCs w:val="16"/>
    </w:rPr>
  </w:style>
  <w:style w:type="paragraph" w:styleId="Header">
    <w:name w:val="header"/>
    <w:basedOn w:val="Normal"/>
    <w:link w:val="HeaderChar"/>
    <w:uiPriority w:val="99"/>
    <w:unhideWhenUsed/>
    <w:rsid w:val="0006559D"/>
    <w:pPr>
      <w:tabs>
        <w:tab w:val="center" w:pos="4680"/>
        <w:tab w:val="right" w:pos="9360"/>
      </w:tabs>
      <w:spacing w:after="0"/>
    </w:pPr>
  </w:style>
  <w:style w:type="character" w:customStyle="1" w:styleId="HeaderChar">
    <w:name w:val="Header Char"/>
    <w:basedOn w:val="DefaultParagraphFont"/>
    <w:link w:val="Header"/>
    <w:uiPriority w:val="99"/>
    <w:rsid w:val="0006559D"/>
    <w:rPr>
      <w:sz w:val="24"/>
    </w:rPr>
  </w:style>
  <w:style w:type="paragraph" w:styleId="Footer">
    <w:name w:val="footer"/>
    <w:basedOn w:val="Normal"/>
    <w:link w:val="FooterChar"/>
    <w:uiPriority w:val="99"/>
    <w:unhideWhenUsed/>
    <w:rsid w:val="0006559D"/>
    <w:pPr>
      <w:tabs>
        <w:tab w:val="center" w:pos="4680"/>
        <w:tab w:val="right" w:pos="9360"/>
      </w:tabs>
      <w:spacing w:after="0"/>
    </w:pPr>
  </w:style>
  <w:style w:type="character" w:customStyle="1" w:styleId="FooterChar">
    <w:name w:val="Footer Char"/>
    <w:basedOn w:val="DefaultParagraphFont"/>
    <w:link w:val="Footer"/>
    <w:uiPriority w:val="99"/>
    <w:rsid w:val="0006559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935079">
      <w:bodyDiv w:val="1"/>
      <w:marLeft w:val="0"/>
      <w:marRight w:val="0"/>
      <w:marTop w:val="0"/>
      <w:marBottom w:val="0"/>
      <w:divBdr>
        <w:top w:val="none" w:sz="0" w:space="0" w:color="auto"/>
        <w:left w:val="none" w:sz="0" w:space="0" w:color="auto"/>
        <w:bottom w:val="none" w:sz="0" w:space="0" w:color="auto"/>
        <w:right w:val="none" w:sz="0" w:space="0" w:color="auto"/>
      </w:divBdr>
    </w:div>
    <w:div w:id="260725021">
      <w:bodyDiv w:val="1"/>
      <w:marLeft w:val="0"/>
      <w:marRight w:val="0"/>
      <w:marTop w:val="0"/>
      <w:marBottom w:val="0"/>
      <w:divBdr>
        <w:top w:val="none" w:sz="0" w:space="0" w:color="auto"/>
        <w:left w:val="none" w:sz="0" w:space="0" w:color="auto"/>
        <w:bottom w:val="none" w:sz="0" w:space="0" w:color="auto"/>
        <w:right w:val="none" w:sz="0" w:space="0" w:color="auto"/>
      </w:divBdr>
    </w:div>
    <w:div w:id="382755155">
      <w:bodyDiv w:val="1"/>
      <w:marLeft w:val="0"/>
      <w:marRight w:val="0"/>
      <w:marTop w:val="0"/>
      <w:marBottom w:val="0"/>
      <w:divBdr>
        <w:top w:val="none" w:sz="0" w:space="0" w:color="auto"/>
        <w:left w:val="none" w:sz="0" w:space="0" w:color="auto"/>
        <w:bottom w:val="none" w:sz="0" w:space="0" w:color="auto"/>
        <w:right w:val="none" w:sz="0" w:space="0" w:color="auto"/>
      </w:divBdr>
    </w:div>
    <w:div w:id="867109802">
      <w:bodyDiv w:val="1"/>
      <w:marLeft w:val="0"/>
      <w:marRight w:val="0"/>
      <w:marTop w:val="0"/>
      <w:marBottom w:val="0"/>
      <w:divBdr>
        <w:top w:val="none" w:sz="0" w:space="0" w:color="auto"/>
        <w:left w:val="none" w:sz="0" w:space="0" w:color="auto"/>
        <w:bottom w:val="none" w:sz="0" w:space="0" w:color="auto"/>
        <w:right w:val="none" w:sz="0" w:space="0" w:color="auto"/>
      </w:divBdr>
    </w:div>
    <w:div w:id="1246571244">
      <w:bodyDiv w:val="1"/>
      <w:marLeft w:val="0"/>
      <w:marRight w:val="0"/>
      <w:marTop w:val="0"/>
      <w:marBottom w:val="0"/>
      <w:divBdr>
        <w:top w:val="none" w:sz="0" w:space="0" w:color="auto"/>
        <w:left w:val="none" w:sz="0" w:space="0" w:color="auto"/>
        <w:bottom w:val="none" w:sz="0" w:space="0" w:color="auto"/>
        <w:right w:val="none" w:sz="0" w:space="0" w:color="auto"/>
      </w:divBdr>
    </w:div>
    <w:div w:id="157863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ucks.blogs.nytimes.com/2012/09/12/suggested-retirement-savings-goals-by-age/?_php=true&amp;_type=blogs&amp;_r=0"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ssa.gov/oact/cola/Benefi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F734E-8B77-4BFD-A27A-449605158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5</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Kroger Co.</Company>
  <LinksUpToDate>false</LinksUpToDate>
  <CharactersWithSpaces>11493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Rogers, Daniel A</dc:creator>
  <cp:lastModifiedBy>Rogers, Daniel A</cp:lastModifiedBy>
  <cp:revision>14</cp:revision>
  <dcterms:created xsi:type="dcterms:W3CDTF">2014-07-12T21:08:00Z</dcterms:created>
  <dcterms:modified xsi:type="dcterms:W3CDTF">2016-06-11T17:38:00Z</dcterms:modified>
</cp:coreProperties>
</file>