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684539" w:rsidP="000E6FA2">
      <w:pPr>
        <w:pStyle w:val="Title"/>
      </w:pPr>
      <w:r>
        <w:t>Persistence of Returns</w:t>
      </w:r>
    </w:p>
    <w:p w:rsidR="000D5E20" w:rsidRDefault="000D5E20" w:rsidP="000E6FA2"/>
    <w:p w:rsidR="000E6FA2" w:rsidRPr="007D13D4" w:rsidRDefault="007D13D4" w:rsidP="007D13D4">
      <w:pPr>
        <w:pStyle w:val="Heading1"/>
      </w:pPr>
      <w:r w:rsidRPr="007D13D4">
        <w:t>Overview</w:t>
      </w:r>
    </w:p>
    <w:p w:rsidR="007D13D4" w:rsidRDefault="007D13D4" w:rsidP="000E6FA2"/>
    <w:p w:rsidR="007D13D4" w:rsidRDefault="00E546A6" w:rsidP="000E6FA2">
      <w:r>
        <w:t xml:space="preserve">Modern Portfolio Theory (and other methods of stock assessment) </w:t>
      </w:r>
      <w:proofErr w:type="gramStart"/>
      <w:r>
        <w:t>require</w:t>
      </w:r>
      <w:proofErr w:type="gramEnd"/>
      <w:r>
        <w:t xml:space="preserve"> us to estimate the average expected return on an asset as well as the volatility of those stocks.  While the mean return and standard deviation </w:t>
      </w:r>
      <w:proofErr w:type="gramStart"/>
      <w:r>
        <w:t>can easily be obtained</w:t>
      </w:r>
      <w:proofErr w:type="gramEnd"/>
      <w:r>
        <w:t xml:space="preserve"> from historical data, we have to ask whether these are relevant to future performance.  Of course, we frequently hear in stock analysis that “past performance is not necessarily indicative of future results.”  This begs the question: </w:t>
      </w:r>
      <w:proofErr w:type="gramStart"/>
      <w:r>
        <w:t>can historical returns be used</w:t>
      </w:r>
      <w:proofErr w:type="gramEnd"/>
      <w:r>
        <w:t xml:space="preserve"> to estimate future ones?  This analysis will show that the answer is a </w:t>
      </w:r>
      <w:proofErr w:type="gramStart"/>
      <w:r>
        <w:t>pretty emphatic</w:t>
      </w:r>
      <w:proofErr w:type="gramEnd"/>
      <w:r>
        <w:t xml:space="preserve"> “no.”  However, volatility of a stock does seem to be more persistent.</w:t>
      </w:r>
      <w:r w:rsidR="003B63D3">
        <w:t xml:space="preserve"> A similar analysis </w:t>
      </w:r>
      <w:proofErr w:type="gramStart"/>
      <w:r w:rsidR="003B63D3">
        <w:t>is performed</w:t>
      </w:r>
      <w:proofErr w:type="gramEnd"/>
      <w:r w:rsidR="003B63D3">
        <w:t xml:space="preserve"> for alpha and beta to determine if past performance can be used to estimate future results.  The result is similar in that beta persists across year, but alpha does not.</w:t>
      </w:r>
    </w:p>
    <w:p w:rsidR="00E546A6" w:rsidRDefault="00E546A6" w:rsidP="000E6FA2"/>
    <w:p w:rsidR="00E546A6" w:rsidRPr="00E546A6" w:rsidRDefault="00E546A6" w:rsidP="00E546A6">
      <w:pPr>
        <w:pStyle w:val="Heading1"/>
      </w:pPr>
      <w:r w:rsidRPr="00E546A6">
        <w:t>Data</w:t>
      </w:r>
    </w:p>
    <w:p w:rsidR="00E546A6" w:rsidRDefault="00E546A6" w:rsidP="000E6FA2"/>
    <w:p w:rsidR="00E546A6" w:rsidRDefault="00E546A6" w:rsidP="000E6FA2">
      <w:r>
        <w:t xml:space="preserve">Historical data from 2008 to the present for stocks in the S&amp;P 500 </w:t>
      </w:r>
      <w:proofErr w:type="gramStart"/>
      <w:r>
        <w:t>was obtained</w:t>
      </w:r>
      <w:proofErr w:type="gramEnd"/>
      <w:r>
        <w:t xml:space="preserve"> from Yahoo.  Adjusted closing </w:t>
      </w:r>
      <w:proofErr w:type="gramStart"/>
      <w:r>
        <w:t>prices which</w:t>
      </w:r>
      <w:proofErr w:type="gramEnd"/>
      <w:r>
        <w:t xml:space="preserve"> account for dividends and splits were used.  Daily returns were calculated both using arithmetic and logarithmic returns.</w:t>
      </w:r>
    </w:p>
    <w:p w:rsidR="00E546A6" w:rsidRDefault="00E546A6" w:rsidP="00D24FD4"/>
    <w:p w:rsidR="00E546A6" w:rsidRDefault="00E546A6" w:rsidP="00FF1E43">
      <w:pPr>
        <w:pStyle w:val="Heading1"/>
      </w:pPr>
      <w:r>
        <w:t>Average Returns and Standard Deviations</w:t>
      </w:r>
    </w:p>
    <w:p w:rsidR="00E546A6" w:rsidRDefault="00E546A6" w:rsidP="00D24FD4"/>
    <w:p w:rsidR="00E546A6" w:rsidRDefault="00E546A6" w:rsidP="00D24FD4">
      <w:r>
        <w:t xml:space="preserve">First, we took </w:t>
      </w:r>
      <w:r w:rsidR="00FF1E43">
        <w:t>two</w:t>
      </w:r>
      <w:r>
        <w:t xml:space="preserve"> sample year</w:t>
      </w:r>
      <w:r w:rsidR="00FF1E43">
        <w:t>s (2015 &amp; 2016</w:t>
      </w:r>
      <w:r>
        <w:t xml:space="preserve">) and calculated the average daily return and standard deviation of returns for the 469 stocks in the data set.  Results </w:t>
      </w:r>
      <w:proofErr w:type="gramStart"/>
      <w:r>
        <w:t>are plotted</w:t>
      </w:r>
      <w:proofErr w:type="gramEnd"/>
      <w:r>
        <w:t xml:space="preserve"> below with the market portfolio (The S&amp;P 500) plotted in red:</w:t>
      </w:r>
    </w:p>
    <w:p w:rsidR="00E546A6" w:rsidRDefault="00E546A6" w:rsidP="00D24FD4"/>
    <w:p w:rsidR="00E546A6" w:rsidRDefault="00FF1E43" w:rsidP="00D24FD4">
      <w:r>
        <w:rPr>
          <w:noProof/>
        </w:rPr>
        <w:drawing>
          <wp:inline distT="0" distB="0" distL="0" distR="0" wp14:anchorId="6B5F6C19">
            <wp:extent cx="2914650" cy="26957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762" cy="2702306"/>
                    </a:xfrm>
                    <a:prstGeom prst="rect">
                      <a:avLst/>
                    </a:prstGeom>
                    <a:noFill/>
                  </pic:spPr>
                </pic:pic>
              </a:graphicData>
            </a:graphic>
          </wp:inline>
        </w:drawing>
      </w:r>
      <w:r>
        <w:rPr>
          <w:noProof/>
        </w:rPr>
        <w:drawing>
          <wp:inline distT="0" distB="0" distL="0" distR="0" wp14:anchorId="61A8CD85">
            <wp:extent cx="2892991" cy="26756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166" cy="2674007"/>
                    </a:xfrm>
                    <a:prstGeom prst="rect">
                      <a:avLst/>
                    </a:prstGeom>
                    <a:noFill/>
                  </pic:spPr>
                </pic:pic>
              </a:graphicData>
            </a:graphic>
          </wp:inline>
        </w:drawing>
      </w:r>
    </w:p>
    <w:p w:rsidR="00FF1E43" w:rsidRDefault="00E546A6" w:rsidP="00D24FD4">
      <w:r>
        <w:t xml:space="preserve">Note that the market portfolio does have very low variability (due to its large diversification). Its return is </w:t>
      </w:r>
      <w:r w:rsidR="00FF1E43">
        <w:t xml:space="preserve">also </w:t>
      </w:r>
      <w:proofErr w:type="gramStart"/>
      <w:r w:rsidR="00FF1E43">
        <w:t>just about equal</w:t>
      </w:r>
      <w:proofErr w:type="gramEnd"/>
      <w:r w:rsidR="00FF1E43">
        <w:t xml:space="preserve"> to the average return of all assets. </w:t>
      </w:r>
      <w:proofErr w:type="gramStart"/>
      <w:r w:rsidR="00FF1E43">
        <w:t>When we order stocks from largest to smallest returns, the market portfolio ranks 245 out of 469 in 2016 and 290 out of 469 in 2015.</w:t>
      </w:r>
      <w:proofErr w:type="gramEnd"/>
      <w:r w:rsidR="00FF1E43">
        <w:t xml:space="preserve">  Neither of these years </w:t>
      </w:r>
      <w:proofErr w:type="gramStart"/>
      <w:r w:rsidR="00FF1E43">
        <w:t>show</w:t>
      </w:r>
      <w:proofErr w:type="gramEnd"/>
      <w:r w:rsidR="00FF1E43">
        <w:t xml:space="preserve"> a strong correlation between average returns and volatility.</w:t>
      </w:r>
    </w:p>
    <w:p w:rsidR="00FF1E43" w:rsidRDefault="00FF1E43" w:rsidP="00D24FD4"/>
    <w:p w:rsidR="00FF1E43" w:rsidRDefault="00FF1E43" w:rsidP="00D24FD4">
      <w:r>
        <w:t xml:space="preserve">When we compare the stock returns and volatility between the two </w:t>
      </w:r>
      <w:proofErr w:type="gramStart"/>
      <w:r>
        <w:t>years</w:t>
      </w:r>
      <w:proofErr w:type="gramEnd"/>
      <w:r>
        <w:t xml:space="preserve"> we see the following:</w:t>
      </w:r>
    </w:p>
    <w:p w:rsidR="001972AB" w:rsidRDefault="007D13D4" w:rsidP="00D24FD4">
      <w:r>
        <w:br/>
      </w:r>
      <w:r w:rsidR="00FF1E43">
        <w:rPr>
          <w:noProof/>
        </w:rPr>
        <w:drawing>
          <wp:inline distT="0" distB="0" distL="0" distR="0" wp14:anchorId="22DAB4B4">
            <wp:extent cx="2943608"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444" cy="2506638"/>
                    </a:xfrm>
                    <a:prstGeom prst="rect">
                      <a:avLst/>
                    </a:prstGeom>
                    <a:noFill/>
                  </pic:spPr>
                </pic:pic>
              </a:graphicData>
            </a:graphic>
          </wp:inline>
        </w:drawing>
      </w:r>
      <w:r w:rsidR="00FF1E43">
        <w:rPr>
          <w:noProof/>
        </w:rPr>
        <w:drawing>
          <wp:inline distT="0" distB="0" distL="0" distR="0" wp14:anchorId="335EA3C8">
            <wp:extent cx="2938401" cy="250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105" cy="2507380"/>
                    </a:xfrm>
                    <a:prstGeom prst="rect">
                      <a:avLst/>
                    </a:prstGeom>
                    <a:noFill/>
                  </pic:spPr>
                </pic:pic>
              </a:graphicData>
            </a:graphic>
          </wp:inline>
        </w:drawing>
      </w:r>
    </w:p>
    <w:p w:rsidR="00EA39C5" w:rsidRDefault="00EA39C5" w:rsidP="00D24FD4">
      <w:r>
        <w:t xml:space="preserve">Individual stock returns from 2015 do not appear to </w:t>
      </w:r>
      <w:proofErr w:type="gramStart"/>
      <w:r>
        <w:t>be correlated</w:t>
      </w:r>
      <w:proofErr w:type="gramEnd"/>
      <w:r>
        <w:t xml:space="preserve"> with 2016 returns at all.  If anything, there might signs of a negative correlation as we do see a long tail in the second quadrant corresponding with stocks that had negative returns in 2015 and positive returns in 2016.  Unlike returns, volatility does seem to be very persistent between years.  The correlation is 0.7085, implying that last year’s volatility can be predictive of this </w:t>
      </w:r>
      <w:proofErr w:type="gramStart"/>
      <w:r>
        <w:t>year’s</w:t>
      </w:r>
      <w:proofErr w:type="gramEnd"/>
      <w:r>
        <w:t>.</w:t>
      </w:r>
    </w:p>
    <w:p w:rsidR="00EA39C5" w:rsidRDefault="00EA39C5" w:rsidP="00D24FD4"/>
    <w:p w:rsidR="00EA39C5" w:rsidRDefault="00EA39C5" w:rsidP="00D24FD4">
      <w:r>
        <w:t xml:space="preserve">The same analysis </w:t>
      </w:r>
      <w:proofErr w:type="gramStart"/>
      <w:r>
        <w:t>was repeated</w:t>
      </w:r>
      <w:proofErr w:type="gramEnd"/>
      <w:r>
        <w:t xml:space="preserve"> for all years in the data set.  First, we find that correlation between average returns and volatility is spurious, appearing positive in some years, negative in others, and rarely exceeds 0.4 in magnitude:</w:t>
      </w:r>
    </w:p>
    <w:p w:rsidR="00EA39C5" w:rsidRDefault="00EA39C5" w:rsidP="00D24FD4"/>
    <w:p w:rsidR="00EA39C5" w:rsidRPr="00274A1A" w:rsidRDefault="00EA39C5" w:rsidP="00D24FD4">
      <w:pPr>
        <w:rPr>
          <w:i/>
        </w:rPr>
      </w:pPr>
      <w:r w:rsidRPr="00274A1A">
        <w:rPr>
          <w:i/>
        </w:rPr>
        <w:t>Table 1: Average Returns, Standard Deviations, and Correlation between them</w:t>
      </w:r>
    </w:p>
    <w:p w:rsidR="00EA39C5" w:rsidRDefault="00EA39C5" w:rsidP="00D24FD4"/>
    <w:tbl>
      <w:tblPr>
        <w:tblW w:w="8565" w:type="dxa"/>
        <w:tblInd w:w="93" w:type="dxa"/>
        <w:tblLook w:val="04A0" w:firstRow="1" w:lastRow="0" w:firstColumn="1" w:lastColumn="0" w:noHBand="0" w:noVBand="1"/>
      </w:tblPr>
      <w:tblGrid>
        <w:gridCol w:w="825"/>
        <w:gridCol w:w="786"/>
        <w:gridCol w:w="1374"/>
        <w:gridCol w:w="1180"/>
        <w:gridCol w:w="1224"/>
        <w:gridCol w:w="580"/>
        <w:gridCol w:w="663"/>
        <w:gridCol w:w="1933"/>
      </w:tblGrid>
      <w:tr w:rsidR="00EA39C5" w:rsidRPr="00EA39C5" w:rsidTr="00EA39C5">
        <w:trPr>
          <w:trHeight w:val="300"/>
        </w:trPr>
        <w:tc>
          <w:tcPr>
            <w:tcW w:w="825"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Year</w:t>
            </w:r>
          </w:p>
        </w:tc>
        <w:tc>
          <w:tcPr>
            <w:tcW w:w="786"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Stocks</w:t>
            </w:r>
          </w:p>
        </w:tc>
        <w:tc>
          <w:tcPr>
            <w:tcW w:w="1374"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Avg</w:t>
            </w:r>
            <w:r>
              <w:rPr>
                <w:rFonts w:ascii="Calibri" w:eastAsia="Times New Roman" w:hAnsi="Calibri" w:cs="Calibri"/>
                <w:color w:val="000000"/>
                <w:sz w:val="22"/>
              </w:rPr>
              <w:t>. Return</w:t>
            </w:r>
          </w:p>
        </w:tc>
        <w:tc>
          <w:tcPr>
            <w:tcW w:w="118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Avg</w:t>
            </w:r>
            <w:r>
              <w:rPr>
                <w:rFonts w:ascii="Calibri" w:eastAsia="Times New Roman" w:hAnsi="Calibri" w:cs="Calibri"/>
                <w:color w:val="000000"/>
                <w:sz w:val="22"/>
              </w:rPr>
              <w:t>.</w:t>
            </w:r>
            <w:r w:rsidRPr="00EA39C5">
              <w:rPr>
                <w:rFonts w:ascii="Calibri" w:eastAsia="Times New Roman" w:hAnsi="Calibri" w:cs="Calibri"/>
                <w:color w:val="000000"/>
                <w:sz w:val="22"/>
              </w:rPr>
              <w:t xml:space="preserve"> </w:t>
            </w:r>
            <w:proofErr w:type="spellStart"/>
            <w:r w:rsidRPr="00EA39C5">
              <w:rPr>
                <w:rFonts w:ascii="Calibri" w:eastAsia="Times New Roman" w:hAnsi="Calibri" w:cs="Calibri"/>
                <w:color w:val="000000"/>
                <w:sz w:val="22"/>
              </w:rPr>
              <w:t>Stdev</w:t>
            </w:r>
            <w:proofErr w:type="spellEnd"/>
          </w:p>
        </w:tc>
        <w:tc>
          <w:tcPr>
            <w:tcW w:w="1224"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Correlation</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Year</w:t>
            </w:r>
          </w:p>
        </w:tc>
        <w:tc>
          <w:tcPr>
            <w:tcW w:w="1933"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Pr>
                <w:rFonts w:ascii="Calibri" w:eastAsia="Times New Roman" w:hAnsi="Calibri" w:cs="Calibri"/>
                <w:color w:val="000000"/>
                <w:sz w:val="22"/>
              </w:rPr>
              <w:t>Annualized Return</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2007</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449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0.00048</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0.01819</w:t>
            </w:r>
          </w:p>
        </w:tc>
        <w:tc>
          <w:tcPr>
            <w:tcW w:w="1224" w:type="dxa"/>
            <w:tcBorders>
              <w:top w:val="nil"/>
              <w:left w:val="nil"/>
              <w:bottom w:val="nil"/>
              <w:right w:val="nil"/>
            </w:tcBorders>
            <w:shd w:val="clear" w:color="000000" w:fill="F0F7F5"/>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0.0832</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2007</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12.7%</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2008</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453</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-0.00115</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0.03982</w:t>
            </w:r>
          </w:p>
        </w:tc>
        <w:tc>
          <w:tcPr>
            <w:tcW w:w="1224" w:type="dxa"/>
            <w:tcBorders>
              <w:top w:val="nil"/>
              <w:left w:val="nil"/>
              <w:bottom w:val="nil"/>
              <w:right w:val="nil"/>
            </w:tcBorders>
            <w:shd w:val="clear" w:color="000000" w:fill="FBDBDE"/>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-0.2179</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2008</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-25.0%</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2009</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456</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0.00195</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0.03157</w:t>
            </w:r>
          </w:p>
        </w:tc>
        <w:tc>
          <w:tcPr>
            <w:tcW w:w="1224" w:type="dxa"/>
            <w:tcBorders>
              <w:top w:val="nil"/>
              <w:left w:val="nil"/>
              <w:bottom w:val="nil"/>
              <w:right w:val="nil"/>
            </w:tcBorders>
            <w:shd w:val="clear" w:color="000000" w:fill="A0D7A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0.6066</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2009</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62.7%</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2010</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0.00098</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0.01856</w:t>
            </w:r>
          </w:p>
        </w:tc>
        <w:tc>
          <w:tcPr>
            <w:tcW w:w="1224" w:type="dxa"/>
            <w:tcBorders>
              <w:top w:val="nil"/>
              <w:left w:val="nil"/>
              <w:bottom w:val="nil"/>
              <w:right w:val="nil"/>
            </w:tcBorders>
            <w:shd w:val="clear" w:color="000000" w:fill="CAE8D4"/>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0.3289</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2010</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27.9%</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2011</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466</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0.00024</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0.02178</w:t>
            </w:r>
          </w:p>
        </w:tc>
        <w:tc>
          <w:tcPr>
            <w:tcW w:w="1224" w:type="dxa"/>
            <w:tcBorders>
              <w:top w:val="nil"/>
              <w:left w:val="nil"/>
              <w:bottom w:val="nil"/>
              <w:right w:val="nil"/>
            </w:tcBorders>
            <w:shd w:val="clear" w:color="000000" w:fill="FAC7CA"/>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-0.3575</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2011</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6.3%</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2012</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0.00082</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0.01590</w:t>
            </w:r>
          </w:p>
        </w:tc>
        <w:tc>
          <w:tcPr>
            <w:tcW w:w="1224" w:type="dxa"/>
            <w:tcBorders>
              <w:top w:val="nil"/>
              <w:left w:val="nil"/>
              <w:bottom w:val="nil"/>
              <w:right w:val="nil"/>
            </w:tcBorders>
            <w:shd w:val="clear" w:color="000000" w:fill="D1EBDA"/>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0.2866</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2012</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22.7%</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2013</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0.00134</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0.01406</w:t>
            </w:r>
          </w:p>
        </w:tc>
        <w:tc>
          <w:tcPr>
            <w:tcW w:w="1224" w:type="dxa"/>
            <w:tcBorders>
              <w:top w:val="nil"/>
              <w:left w:val="nil"/>
              <w:bottom w:val="nil"/>
              <w:right w:val="nil"/>
            </w:tcBorders>
            <w:shd w:val="clear" w:color="000000" w:fill="C3E5CE"/>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0.3775</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2013</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39.7%</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2014</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0.00060</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0.01384</w:t>
            </w:r>
          </w:p>
        </w:tc>
        <w:tc>
          <w:tcPr>
            <w:tcW w:w="1224" w:type="dxa"/>
            <w:tcBorders>
              <w:top w:val="nil"/>
              <w:left w:val="nil"/>
              <w:bottom w:val="nil"/>
              <w:right w:val="nil"/>
            </w:tcBorders>
            <w:shd w:val="clear" w:color="000000" w:fill="FBF3F6"/>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-0.0582</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2014</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16.2%</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2015</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-0.00009</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0.01677</w:t>
            </w:r>
          </w:p>
        </w:tc>
        <w:tc>
          <w:tcPr>
            <w:tcW w:w="1224" w:type="dxa"/>
            <w:tcBorders>
              <w:top w:val="nil"/>
              <w:left w:val="nil"/>
              <w:bottom w:val="nil"/>
              <w:right w:val="nil"/>
            </w:tcBorders>
            <w:shd w:val="clear" w:color="000000" w:fill="FABEC1"/>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-0.4169</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2015</w:t>
            </w:r>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-2.1%</w:t>
            </w:r>
          </w:p>
        </w:tc>
      </w:tr>
      <w:tr w:rsidR="00EA39C5" w:rsidRPr="00EA39C5" w:rsidTr="00EA39C5">
        <w:trPr>
          <w:trHeight w:val="300"/>
        </w:trPr>
        <w:tc>
          <w:tcPr>
            <w:tcW w:w="825"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2016</w:t>
            </w:r>
            <w:r w:rsidR="00274A1A">
              <w:rPr>
                <w:rFonts w:ascii="Calibri" w:eastAsia="Times New Roman" w:hAnsi="Calibri" w:cs="Calibri"/>
                <w:color w:val="000000"/>
                <w:sz w:val="22"/>
              </w:rPr>
              <w:t>*</w:t>
            </w:r>
          </w:p>
        </w:tc>
        <w:tc>
          <w:tcPr>
            <w:tcW w:w="786"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374"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0.00050</w:t>
            </w:r>
          </w:p>
        </w:tc>
        <w:tc>
          <w:tcPr>
            <w:tcW w:w="118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0.01813</w:t>
            </w:r>
          </w:p>
        </w:tc>
        <w:tc>
          <w:tcPr>
            <w:tcW w:w="1224" w:type="dxa"/>
            <w:tcBorders>
              <w:top w:val="nil"/>
              <w:left w:val="nil"/>
              <w:bottom w:val="single" w:sz="4" w:space="0" w:color="auto"/>
              <w:right w:val="nil"/>
            </w:tcBorders>
            <w:shd w:val="clear" w:color="000000" w:fill="DBEFE3"/>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0.2197</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2016</w:t>
            </w:r>
          </w:p>
        </w:tc>
        <w:tc>
          <w:tcPr>
            <w:tcW w:w="1933"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13.4%</w:t>
            </w:r>
          </w:p>
        </w:tc>
      </w:tr>
      <w:tr w:rsidR="00EA39C5" w:rsidRPr="00EA39C5" w:rsidTr="00EA39C5">
        <w:trPr>
          <w:trHeight w:val="300"/>
        </w:trPr>
        <w:tc>
          <w:tcPr>
            <w:tcW w:w="825"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Avg</w:t>
            </w:r>
            <w:r>
              <w:rPr>
                <w:rFonts w:ascii="Calibri" w:eastAsia="Times New Roman" w:hAnsi="Calibri" w:cs="Calibri"/>
                <w:color w:val="000000"/>
                <w:sz w:val="22"/>
              </w:rPr>
              <w:t>.</w:t>
            </w:r>
          </w:p>
        </w:tc>
        <w:tc>
          <w:tcPr>
            <w:tcW w:w="786"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463</w:t>
            </w:r>
          </w:p>
        </w:tc>
        <w:tc>
          <w:tcPr>
            <w:tcW w:w="1374"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0.00057</w:t>
            </w:r>
          </w:p>
        </w:tc>
        <w:tc>
          <w:tcPr>
            <w:tcW w:w="118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0.02086</w:t>
            </w:r>
          </w:p>
        </w:tc>
        <w:tc>
          <w:tcPr>
            <w:tcW w:w="1224" w:type="dxa"/>
            <w:tcBorders>
              <w:top w:val="nil"/>
              <w:left w:val="nil"/>
              <w:bottom w:val="nil"/>
              <w:right w:val="nil"/>
            </w:tcBorders>
            <w:shd w:val="clear" w:color="000000" w:fill="EFF7F4"/>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0.0852</w:t>
            </w:r>
          </w:p>
        </w:tc>
        <w:tc>
          <w:tcPr>
            <w:tcW w:w="5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663"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roofErr w:type="spellStart"/>
            <w:r w:rsidRPr="00EA39C5">
              <w:rPr>
                <w:rFonts w:ascii="Calibri" w:eastAsia="Times New Roman" w:hAnsi="Calibri" w:cs="Calibri"/>
                <w:color w:val="000000"/>
                <w:sz w:val="22"/>
              </w:rPr>
              <w:t>Avg</w:t>
            </w:r>
            <w:proofErr w:type="spellEnd"/>
          </w:p>
        </w:tc>
        <w:tc>
          <w:tcPr>
            <w:tcW w:w="1933"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17.4%</w:t>
            </w:r>
          </w:p>
        </w:tc>
      </w:tr>
    </w:tbl>
    <w:p w:rsidR="00EA39C5" w:rsidRDefault="00EA39C5" w:rsidP="00D24FD4"/>
    <w:p w:rsidR="00274A1A" w:rsidRDefault="00274A1A" w:rsidP="00D24FD4">
      <w:r>
        <w:t>* Partial year</w:t>
      </w:r>
    </w:p>
    <w:p w:rsidR="00274A1A" w:rsidRDefault="00274A1A" w:rsidP="00D24FD4"/>
    <w:p w:rsidR="00EA39C5" w:rsidRDefault="00EA39C5" w:rsidP="00D24FD4">
      <w:r>
        <w:lastRenderedPageBreak/>
        <w:t xml:space="preserve">The correlation between years </w:t>
      </w:r>
      <w:proofErr w:type="gramStart"/>
      <w:r>
        <w:t>is shown</w:t>
      </w:r>
      <w:proofErr w:type="gramEnd"/>
      <w:r>
        <w:t xml:space="preserve"> in the table below.</w:t>
      </w:r>
      <w:r w:rsidR="00274A1A">
        <w:t xml:space="preserve">  As we saw with the sample years (2015 &amp; 2016), volatility – as measured by the standard deviation – is highly persistent between years.  Last year’s volatility does seem to be a related to this </w:t>
      </w:r>
      <w:proofErr w:type="gramStart"/>
      <w:r w:rsidR="00274A1A">
        <w:t>year’s</w:t>
      </w:r>
      <w:proofErr w:type="gramEnd"/>
      <w:r w:rsidR="00274A1A">
        <w:t xml:space="preserve">.  However, the average return </w:t>
      </w:r>
      <w:proofErr w:type="gramStart"/>
      <w:r w:rsidR="00274A1A">
        <w:t>is not related</w:t>
      </w:r>
      <w:proofErr w:type="gramEnd"/>
      <w:r w:rsidR="00274A1A">
        <w:t xml:space="preserve"> in this way.  In half the years, the correlation is negative.  This is especially true in 2009 and 2016, two years that occurred after large losses in the market.  In these years, large losses actually appear to be indicative or large recoveries the following year.</w:t>
      </w:r>
    </w:p>
    <w:p w:rsidR="00EA39C5" w:rsidRDefault="00EA39C5" w:rsidP="00D24FD4"/>
    <w:p w:rsidR="00EA39C5" w:rsidRPr="00EA39C5" w:rsidRDefault="00274A1A" w:rsidP="00D24FD4">
      <w:pPr>
        <w:rPr>
          <w:i/>
        </w:rPr>
      </w:pPr>
      <w:r>
        <w:rPr>
          <w:i/>
        </w:rPr>
        <w:t xml:space="preserve">Table 2: </w:t>
      </w:r>
      <w:r w:rsidR="00EA39C5">
        <w:rPr>
          <w:i/>
        </w:rPr>
        <w:t xml:space="preserve">Correlation </w:t>
      </w:r>
      <w:r>
        <w:rPr>
          <w:i/>
        </w:rPr>
        <w:t xml:space="preserve">of Mean and Std. Deviation </w:t>
      </w:r>
      <w:r w:rsidR="00EA39C5">
        <w:rPr>
          <w:i/>
        </w:rPr>
        <w:t>with Previous Year</w:t>
      </w:r>
    </w:p>
    <w:p w:rsidR="00EA39C5" w:rsidRDefault="00EA39C5" w:rsidP="00D24FD4"/>
    <w:tbl>
      <w:tblPr>
        <w:tblW w:w="7020" w:type="dxa"/>
        <w:tblInd w:w="93" w:type="dxa"/>
        <w:tblLook w:val="04A0" w:firstRow="1" w:lastRow="0" w:firstColumn="1" w:lastColumn="0" w:noHBand="0" w:noVBand="1"/>
      </w:tblPr>
      <w:tblGrid>
        <w:gridCol w:w="880"/>
        <w:gridCol w:w="860"/>
        <w:gridCol w:w="1207"/>
        <w:gridCol w:w="1093"/>
        <w:gridCol w:w="340"/>
        <w:gridCol w:w="1385"/>
        <w:gridCol w:w="1255"/>
      </w:tblGrid>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2300" w:type="dxa"/>
            <w:gridSpan w:val="2"/>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center"/>
              <w:rPr>
                <w:rFonts w:ascii="Calibri" w:eastAsia="Times New Roman" w:hAnsi="Calibri" w:cs="Calibri"/>
                <w:color w:val="000000"/>
                <w:sz w:val="22"/>
              </w:rPr>
            </w:pPr>
            <w:r w:rsidRPr="00EA39C5">
              <w:rPr>
                <w:rFonts w:ascii="Calibri" w:eastAsia="Times New Roman" w:hAnsi="Calibri" w:cs="Calibri"/>
                <w:color w:val="000000"/>
                <w:sz w:val="22"/>
              </w:rPr>
              <w:t>Arithmetic Returns</w:t>
            </w:r>
          </w:p>
        </w:tc>
        <w:tc>
          <w:tcPr>
            <w:tcW w:w="34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center"/>
              <w:rPr>
                <w:rFonts w:ascii="Calibri" w:eastAsia="Times New Roman" w:hAnsi="Calibri" w:cs="Calibri"/>
                <w:color w:val="000000"/>
                <w:sz w:val="22"/>
              </w:rPr>
            </w:pPr>
          </w:p>
        </w:tc>
        <w:tc>
          <w:tcPr>
            <w:tcW w:w="2640" w:type="dxa"/>
            <w:gridSpan w:val="2"/>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center"/>
              <w:rPr>
                <w:rFonts w:ascii="Calibri" w:eastAsia="Times New Roman" w:hAnsi="Calibri" w:cs="Calibri"/>
                <w:color w:val="000000"/>
                <w:sz w:val="22"/>
              </w:rPr>
            </w:pPr>
            <w:r w:rsidRPr="00EA39C5">
              <w:rPr>
                <w:rFonts w:ascii="Calibri" w:eastAsia="Times New Roman" w:hAnsi="Calibri" w:cs="Calibri"/>
                <w:color w:val="000000"/>
                <w:sz w:val="22"/>
              </w:rPr>
              <w:t>Logarithmic Returns</w:t>
            </w:r>
          </w:p>
        </w:tc>
      </w:tr>
      <w:tr w:rsidR="00EA39C5" w:rsidRPr="00EA39C5" w:rsidTr="00EA39C5">
        <w:trPr>
          <w:trHeight w:val="300"/>
        </w:trPr>
        <w:tc>
          <w:tcPr>
            <w:tcW w:w="88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Year</w:t>
            </w:r>
          </w:p>
        </w:tc>
        <w:tc>
          <w:tcPr>
            <w:tcW w:w="86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Stocks</w:t>
            </w:r>
          </w:p>
        </w:tc>
        <w:tc>
          <w:tcPr>
            <w:tcW w:w="1207"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Mean</w:t>
            </w:r>
          </w:p>
        </w:tc>
        <w:tc>
          <w:tcPr>
            <w:tcW w:w="1093"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proofErr w:type="spellStart"/>
            <w:r w:rsidRPr="00EA39C5">
              <w:rPr>
                <w:rFonts w:ascii="Calibri" w:eastAsia="Times New Roman" w:hAnsi="Calibri" w:cs="Calibri"/>
                <w:color w:val="000000"/>
                <w:sz w:val="22"/>
              </w:rPr>
              <w:t>Stdev</w:t>
            </w:r>
            <w:proofErr w:type="spellEnd"/>
          </w:p>
        </w:tc>
        <w:tc>
          <w:tcPr>
            <w:tcW w:w="34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 </w:t>
            </w:r>
          </w:p>
        </w:tc>
        <w:tc>
          <w:tcPr>
            <w:tcW w:w="1385"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Mean</w:t>
            </w:r>
          </w:p>
        </w:tc>
        <w:tc>
          <w:tcPr>
            <w:tcW w:w="1255"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proofErr w:type="spellStart"/>
            <w:r w:rsidRPr="00EA39C5">
              <w:rPr>
                <w:rFonts w:ascii="Calibri" w:eastAsia="Times New Roman" w:hAnsi="Calibri" w:cs="Calibri"/>
                <w:color w:val="000000"/>
                <w:sz w:val="22"/>
              </w:rPr>
              <w:t>Stdev</w:t>
            </w:r>
            <w:proofErr w:type="spellEnd"/>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2008</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449</w:t>
            </w:r>
          </w:p>
        </w:tc>
        <w:tc>
          <w:tcPr>
            <w:tcW w:w="1207" w:type="dxa"/>
            <w:tcBorders>
              <w:top w:val="nil"/>
              <w:left w:val="nil"/>
              <w:bottom w:val="nil"/>
              <w:right w:val="nil"/>
            </w:tcBorders>
            <w:shd w:val="clear" w:color="000000" w:fill="FBE7EA"/>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-0.1369</w:t>
            </w:r>
          </w:p>
        </w:tc>
        <w:tc>
          <w:tcPr>
            <w:tcW w:w="1093" w:type="dxa"/>
            <w:tcBorders>
              <w:top w:val="nil"/>
              <w:left w:val="nil"/>
              <w:bottom w:val="nil"/>
              <w:right w:val="nil"/>
            </w:tcBorders>
            <w:shd w:val="clear" w:color="000000" w:fill="ADDCBB"/>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0.5201</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BFAFD"/>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-0.0118</w:t>
            </w:r>
          </w:p>
        </w:tc>
        <w:tc>
          <w:tcPr>
            <w:tcW w:w="1255" w:type="dxa"/>
            <w:tcBorders>
              <w:top w:val="nil"/>
              <w:left w:val="nil"/>
              <w:bottom w:val="nil"/>
              <w:right w:val="nil"/>
            </w:tcBorders>
            <w:shd w:val="clear" w:color="000000" w:fill="B1DEBE"/>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0.4925</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2009</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453</w:t>
            </w:r>
          </w:p>
        </w:tc>
        <w:tc>
          <w:tcPr>
            <w:tcW w:w="1207" w:type="dxa"/>
            <w:tcBorders>
              <w:top w:val="nil"/>
              <w:left w:val="nil"/>
              <w:bottom w:val="nil"/>
              <w:right w:val="nil"/>
            </w:tcBorders>
            <w:shd w:val="clear" w:color="000000" w:fill="F9ADA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-0.5338</w:t>
            </w:r>
          </w:p>
        </w:tc>
        <w:tc>
          <w:tcPr>
            <w:tcW w:w="1093" w:type="dxa"/>
            <w:tcBorders>
              <w:top w:val="nil"/>
              <w:left w:val="nil"/>
              <w:bottom w:val="nil"/>
              <w:right w:val="nil"/>
            </w:tcBorders>
            <w:shd w:val="clear" w:color="000000" w:fill="79C78E"/>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0.8612</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9ADA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-0.5346</w:t>
            </w:r>
          </w:p>
        </w:tc>
        <w:tc>
          <w:tcPr>
            <w:tcW w:w="1255" w:type="dxa"/>
            <w:tcBorders>
              <w:top w:val="nil"/>
              <w:left w:val="nil"/>
              <w:bottom w:val="nil"/>
              <w:right w:val="nil"/>
            </w:tcBorders>
            <w:shd w:val="clear" w:color="000000" w:fill="78C78D"/>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0.8639</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2010</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456</w:t>
            </w:r>
          </w:p>
        </w:tc>
        <w:tc>
          <w:tcPr>
            <w:tcW w:w="1207" w:type="dxa"/>
            <w:tcBorders>
              <w:top w:val="nil"/>
              <w:left w:val="nil"/>
              <w:bottom w:val="nil"/>
              <w:right w:val="nil"/>
            </w:tcBorders>
            <w:shd w:val="clear" w:color="000000" w:fill="DAEEE1"/>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0.2287</w:t>
            </w:r>
          </w:p>
        </w:tc>
        <w:tc>
          <w:tcPr>
            <w:tcW w:w="1093" w:type="dxa"/>
            <w:tcBorders>
              <w:top w:val="nil"/>
              <w:left w:val="nil"/>
              <w:bottom w:val="nil"/>
              <w:right w:val="nil"/>
            </w:tcBorders>
            <w:shd w:val="clear" w:color="000000" w:fill="8ED0A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0.7215</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EEF6F3"/>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0.0974</w:t>
            </w:r>
          </w:p>
        </w:tc>
        <w:tc>
          <w:tcPr>
            <w:tcW w:w="1255" w:type="dxa"/>
            <w:tcBorders>
              <w:top w:val="nil"/>
              <w:left w:val="nil"/>
              <w:bottom w:val="nil"/>
              <w:right w:val="nil"/>
            </w:tcBorders>
            <w:shd w:val="clear" w:color="000000" w:fill="8ED0A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0.7226</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2011</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459</w:t>
            </w:r>
          </w:p>
        </w:tc>
        <w:tc>
          <w:tcPr>
            <w:tcW w:w="1207" w:type="dxa"/>
            <w:tcBorders>
              <w:top w:val="nil"/>
              <w:left w:val="nil"/>
              <w:bottom w:val="nil"/>
              <w:right w:val="nil"/>
            </w:tcBorders>
            <w:shd w:val="clear" w:color="000000" w:fill="FBF5F8"/>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-0.0464</w:t>
            </w:r>
          </w:p>
        </w:tc>
        <w:tc>
          <w:tcPr>
            <w:tcW w:w="1093" w:type="dxa"/>
            <w:tcBorders>
              <w:top w:val="nil"/>
              <w:left w:val="nil"/>
              <w:bottom w:val="nil"/>
              <w:right w:val="nil"/>
            </w:tcBorders>
            <w:shd w:val="clear" w:color="000000" w:fill="7BC88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0.8485</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BF5F8"/>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-0.0412</w:t>
            </w:r>
          </w:p>
        </w:tc>
        <w:tc>
          <w:tcPr>
            <w:tcW w:w="1255" w:type="dxa"/>
            <w:tcBorders>
              <w:top w:val="nil"/>
              <w:left w:val="nil"/>
              <w:bottom w:val="nil"/>
              <w:right w:val="nil"/>
            </w:tcBorders>
            <w:shd w:val="clear" w:color="000000" w:fill="7AC88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0.8511</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2012</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466</w:t>
            </w:r>
          </w:p>
        </w:tc>
        <w:tc>
          <w:tcPr>
            <w:tcW w:w="1207" w:type="dxa"/>
            <w:tcBorders>
              <w:top w:val="nil"/>
              <w:left w:val="nil"/>
              <w:bottom w:val="nil"/>
              <w:right w:val="nil"/>
            </w:tcBorders>
            <w:shd w:val="clear" w:color="000000" w:fill="FBFAFD"/>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-0.0127</w:t>
            </w:r>
          </w:p>
        </w:tc>
        <w:tc>
          <w:tcPr>
            <w:tcW w:w="1093" w:type="dxa"/>
            <w:tcBorders>
              <w:top w:val="nil"/>
              <w:left w:val="nil"/>
              <w:bottom w:val="nil"/>
              <w:right w:val="nil"/>
            </w:tcBorders>
            <w:shd w:val="clear" w:color="000000" w:fill="81CB95"/>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0.8042</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BF9FC"/>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-0.0170</w:t>
            </w:r>
          </w:p>
        </w:tc>
        <w:tc>
          <w:tcPr>
            <w:tcW w:w="1255" w:type="dxa"/>
            <w:tcBorders>
              <w:top w:val="nil"/>
              <w:left w:val="nil"/>
              <w:bottom w:val="nil"/>
              <w:right w:val="nil"/>
            </w:tcBorders>
            <w:shd w:val="clear" w:color="000000" w:fill="81CB95"/>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0.8062</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2013</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207" w:type="dxa"/>
            <w:tcBorders>
              <w:top w:val="nil"/>
              <w:left w:val="nil"/>
              <w:bottom w:val="nil"/>
              <w:right w:val="nil"/>
            </w:tcBorders>
            <w:shd w:val="clear" w:color="000000" w:fill="F0F7F5"/>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0.0821</w:t>
            </w:r>
          </w:p>
        </w:tc>
        <w:tc>
          <w:tcPr>
            <w:tcW w:w="1093" w:type="dxa"/>
            <w:tcBorders>
              <w:top w:val="nil"/>
              <w:left w:val="nil"/>
              <w:bottom w:val="nil"/>
              <w:right w:val="nil"/>
            </w:tcBorders>
            <w:shd w:val="clear" w:color="000000" w:fill="7EC992"/>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0.8284</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9FBFD"/>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0.0212</w:t>
            </w:r>
          </w:p>
        </w:tc>
        <w:tc>
          <w:tcPr>
            <w:tcW w:w="1255" w:type="dxa"/>
            <w:tcBorders>
              <w:top w:val="nil"/>
              <w:left w:val="nil"/>
              <w:bottom w:val="nil"/>
              <w:right w:val="nil"/>
            </w:tcBorders>
            <w:shd w:val="clear" w:color="000000" w:fill="7EC993"/>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0.8245</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2014</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207" w:type="dxa"/>
            <w:tcBorders>
              <w:top w:val="nil"/>
              <w:left w:val="nil"/>
              <w:bottom w:val="nil"/>
              <w:right w:val="nil"/>
            </w:tcBorders>
            <w:shd w:val="clear" w:color="000000" w:fill="F3F9F8"/>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0.0603</w:t>
            </w:r>
          </w:p>
        </w:tc>
        <w:tc>
          <w:tcPr>
            <w:tcW w:w="1093" w:type="dxa"/>
            <w:tcBorders>
              <w:top w:val="nil"/>
              <w:left w:val="nil"/>
              <w:bottom w:val="nil"/>
              <w:right w:val="nil"/>
            </w:tcBorders>
            <w:shd w:val="clear" w:color="000000" w:fill="86CD99"/>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0.7730</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9FBFC"/>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0.0245</w:t>
            </w:r>
          </w:p>
        </w:tc>
        <w:tc>
          <w:tcPr>
            <w:tcW w:w="1255" w:type="dxa"/>
            <w:tcBorders>
              <w:top w:val="nil"/>
              <w:left w:val="nil"/>
              <w:bottom w:val="nil"/>
              <w:right w:val="nil"/>
            </w:tcBorders>
            <w:shd w:val="clear" w:color="000000" w:fill="87CD9A"/>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0.7673</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2015</w:t>
            </w:r>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207" w:type="dxa"/>
            <w:tcBorders>
              <w:top w:val="nil"/>
              <w:left w:val="nil"/>
              <w:bottom w:val="nil"/>
              <w:right w:val="nil"/>
            </w:tcBorders>
            <w:shd w:val="clear" w:color="000000" w:fill="CAE8D4"/>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0.3268</w:t>
            </w:r>
          </w:p>
        </w:tc>
        <w:tc>
          <w:tcPr>
            <w:tcW w:w="1093" w:type="dxa"/>
            <w:tcBorders>
              <w:top w:val="nil"/>
              <w:left w:val="nil"/>
              <w:bottom w:val="nil"/>
              <w:right w:val="nil"/>
            </w:tcBorders>
            <w:shd w:val="clear" w:color="000000" w:fill="8ED0A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0.7213</w:t>
            </w:r>
          </w:p>
        </w:tc>
        <w:tc>
          <w:tcPr>
            <w:tcW w:w="340" w:type="dxa"/>
            <w:tcBorders>
              <w:top w:val="nil"/>
              <w:left w:val="nil"/>
              <w:bottom w:val="nil"/>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C5E6D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0.3608</w:t>
            </w:r>
          </w:p>
        </w:tc>
        <w:tc>
          <w:tcPr>
            <w:tcW w:w="1255" w:type="dxa"/>
            <w:tcBorders>
              <w:top w:val="nil"/>
              <w:left w:val="nil"/>
              <w:bottom w:val="nil"/>
              <w:right w:val="nil"/>
            </w:tcBorders>
            <w:shd w:val="clear" w:color="000000" w:fill="8CCF9F"/>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0.7327</w:t>
            </w:r>
          </w:p>
        </w:tc>
      </w:tr>
      <w:tr w:rsidR="00EA39C5" w:rsidRPr="00EA39C5" w:rsidTr="00EA39C5">
        <w:trPr>
          <w:trHeight w:val="300"/>
        </w:trPr>
        <w:tc>
          <w:tcPr>
            <w:tcW w:w="88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2016*</w:t>
            </w:r>
          </w:p>
        </w:tc>
        <w:tc>
          <w:tcPr>
            <w:tcW w:w="860" w:type="dxa"/>
            <w:tcBorders>
              <w:top w:val="nil"/>
              <w:left w:val="nil"/>
              <w:bottom w:val="single" w:sz="4" w:space="0" w:color="auto"/>
              <w:right w:val="nil"/>
            </w:tcBorders>
            <w:shd w:val="clear" w:color="auto" w:fill="auto"/>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469</w:t>
            </w:r>
          </w:p>
        </w:tc>
        <w:tc>
          <w:tcPr>
            <w:tcW w:w="1207" w:type="dxa"/>
            <w:tcBorders>
              <w:top w:val="nil"/>
              <w:left w:val="nil"/>
              <w:bottom w:val="single" w:sz="4" w:space="0" w:color="auto"/>
              <w:right w:val="nil"/>
            </w:tcBorders>
            <w:shd w:val="clear" w:color="000000" w:fill="FAC2C5"/>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-0.3896</w:t>
            </w:r>
          </w:p>
        </w:tc>
        <w:tc>
          <w:tcPr>
            <w:tcW w:w="1093" w:type="dxa"/>
            <w:tcBorders>
              <w:top w:val="nil"/>
              <w:left w:val="nil"/>
              <w:bottom w:val="single" w:sz="4" w:space="0" w:color="auto"/>
              <w:right w:val="nil"/>
            </w:tcBorders>
            <w:shd w:val="clear" w:color="000000" w:fill="7CC89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0.8417</w:t>
            </w:r>
          </w:p>
        </w:tc>
        <w:tc>
          <w:tcPr>
            <w:tcW w:w="340" w:type="dxa"/>
            <w:tcBorders>
              <w:top w:val="nil"/>
              <w:left w:val="nil"/>
              <w:bottom w:val="single" w:sz="4" w:space="0" w:color="auto"/>
              <w:right w:val="nil"/>
            </w:tcBorders>
            <w:shd w:val="clear" w:color="auto" w:fill="auto"/>
            <w:noWrap/>
            <w:vAlign w:val="center"/>
            <w:hideMark/>
          </w:tcPr>
          <w:p w:rsidR="00EA39C5" w:rsidRPr="00EA39C5" w:rsidRDefault="00EA39C5" w:rsidP="00EA39C5">
            <w:pPr>
              <w:contextualSpacing w:val="0"/>
              <w:rPr>
                <w:rFonts w:ascii="Calibri" w:eastAsia="Times New Roman" w:hAnsi="Calibri" w:cs="Calibri"/>
                <w:color w:val="000000"/>
                <w:sz w:val="22"/>
              </w:rPr>
            </w:pPr>
            <w:r w:rsidRPr="00EA39C5">
              <w:rPr>
                <w:rFonts w:ascii="Calibri" w:eastAsia="Times New Roman" w:hAnsi="Calibri" w:cs="Calibri"/>
                <w:color w:val="000000"/>
                <w:sz w:val="22"/>
              </w:rPr>
              <w:t> </w:t>
            </w:r>
          </w:p>
        </w:tc>
        <w:tc>
          <w:tcPr>
            <w:tcW w:w="1385" w:type="dxa"/>
            <w:tcBorders>
              <w:top w:val="nil"/>
              <w:left w:val="nil"/>
              <w:bottom w:val="single" w:sz="4" w:space="0" w:color="auto"/>
              <w:right w:val="nil"/>
            </w:tcBorders>
            <w:shd w:val="clear" w:color="000000" w:fill="FAD6D8"/>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-0.2584</w:t>
            </w:r>
          </w:p>
        </w:tc>
        <w:tc>
          <w:tcPr>
            <w:tcW w:w="1255" w:type="dxa"/>
            <w:tcBorders>
              <w:top w:val="nil"/>
              <w:left w:val="nil"/>
              <w:bottom w:val="single" w:sz="4" w:space="0" w:color="auto"/>
              <w:right w:val="nil"/>
            </w:tcBorders>
            <w:shd w:val="clear" w:color="000000" w:fill="7BC890"/>
            <w:noWrap/>
            <w:vAlign w:val="center"/>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0.8476</w:t>
            </w:r>
          </w:p>
        </w:tc>
      </w:tr>
      <w:tr w:rsidR="00EA39C5" w:rsidRPr="00EA39C5" w:rsidTr="00EA39C5">
        <w:trPr>
          <w:trHeight w:val="300"/>
        </w:trPr>
        <w:tc>
          <w:tcPr>
            <w:tcW w:w="88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roofErr w:type="spellStart"/>
            <w:r w:rsidRPr="00EA39C5">
              <w:rPr>
                <w:rFonts w:ascii="Calibri" w:eastAsia="Times New Roman" w:hAnsi="Calibri" w:cs="Calibri"/>
                <w:color w:val="000000"/>
                <w:sz w:val="22"/>
              </w:rPr>
              <w:t>Avg</w:t>
            </w:r>
            <w:proofErr w:type="spellEnd"/>
          </w:p>
        </w:tc>
        <w:tc>
          <w:tcPr>
            <w:tcW w:w="86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1207" w:type="dxa"/>
            <w:tcBorders>
              <w:top w:val="nil"/>
              <w:left w:val="nil"/>
              <w:bottom w:val="nil"/>
              <w:right w:val="nil"/>
            </w:tcBorders>
            <w:shd w:val="clear" w:color="000000" w:fill="FBF5F8"/>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-0.0468</w:t>
            </w:r>
          </w:p>
        </w:tc>
        <w:tc>
          <w:tcPr>
            <w:tcW w:w="1093" w:type="dxa"/>
            <w:tcBorders>
              <w:top w:val="nil"/>
              <w:left w:val="nil"/>
              <w:bottom w:val="nil"/>
              <w:right w:val="nil"/>
            </w:tcBorders>
            <w:shd w:val="clear" w:color="000000" w:fill="87CD9A"/>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0.7689</w:t>
            </w:r>
          </w:p>
        </w:tc>
        <w:tc>
          <w:tcPr>
            <w:tcW w:w="340" w:type="dxa"/>
            <w:tcBorders>
              <w:top w:val="nil"/>
              <w:left w:val="nil"/>
              <w:bottom w:val="nil"/>
              <w:right w:val="nil"/>
            </w:tcBorders>
            <w:shd w:val="clear" w:color="auto" w:fill="auto"/>
            <w:noWrap/>
            <w:vAlign w:val="bottom"/>
            <w:hideMark/>
          </w:tcPr>
          <w:p w:rsidR="00EA39C5" w:rsidRPr="00EA39C5" w:rsidRDefault="00EA39C5" w:rsidP="00EA39C5">
            <w:pPr>
              <w:contextualSpacing w:val="0"/>
              <w:rPr>
                <w:rFonts w:ascii="Calibri" w:eastAsia="Times New Roman" w:hAnsi="Calibri" w:cs="Calibri"/>
                <w:color w:val="000000"/>
                <w:sz w:val="22"/>
              </w:rPr>
            </w:pPr>
          </w:p>
        </w:tc>
        <w:tc>
          <w:tcPr>
            <w:tcW w:w="1385" w:type="dxa"/>
            <w:tcBorders>
              <w:top w:val="nil"/>
              <w:left w:val="nil"/>
              <w:bottom w:val="nil"/>
              <w:right w:val="nil"/>
            </w:tcBorders>
            <w:shd w:val="clear" w:color="000000" w:fill="FBF6F9"/>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-0.0399</w:t>
            </w:r>
          </w:p>
        </w:tc>
        <w:tc>
          <w:tcPr>
            <w:tcW w:w="1255" w:type="dxa"/>
            <w:tcBorders>
              <w:top w:val="nil"/>
              <w:left w:val="nil"/>
              <w:bottom w:val="nil"/>
              <w:right w:val="nil"/>
            </w:tcBorders>
            <w:shd w:val="clear" w:color="000000" w:fill="87CD9A"/>
            <w:noWrap/>
            <w:vAlign w:val="bottom"/>
            <w:hideMark/>
          </w:tcPr>
          <w:p w:rsidR="00EA39C5" w:rsidRPr="00EA39C5" w:rsidRDefault="00EA39C5" w:rsidP="00EA39C5">
            <w:pPr>
              <w:contextualSpacing w:val="0"/>
              <w:jc w:val="right"/>
              <w:rPr>
                <w:rFonts w:ascii="Calibri" w:eastAsia="Times New Roman" w:hAnsi="Calibri" w:cs="Calibri"/>
                <w:color w:val="000000"/>
                <w:sz w:val="22"/>
              </w:rPr>
            </w:pPr>
            <w:r w:rsidRPr="00EA39C5">
              <w:rPr>
                <w:rFonts w:ascii="Calibri" w:eastAsia="Times New Roman" w:hAnsi="Calibri" w:cs="Calibri"/>
                <w:color w:val="000000"/>
                <w:sz w:val="22"/>
              </w:rPr>
              <w:t>0.7676</w:t>
            </w:r>
          </w:p>
        </w:tc>
      </w:tr>
    </w:tbl>
    <w:p w:rsidR="00EA39C5" w:rsidRDefault="00EA39C5" w:rsidP="00D24FD4"/>
    <w:p w:rsidR="0069657C" w:rsidRDefault="0069657C" w:rsidP="0069657C">
      <w:pPr>
        <w:pStyle w:val="Heading1"/>
      </w:pPr>
      <w:r>
        <w:t>Analysis of Alpha &amp; Beta</w:t>
      </w:r>
    </w:p>
    <w:p w:rsidR="0069657C" w:rsidRDefault="0069657C" w:rsidP="0069657C"/>
    <w:p w:rsidR="0069657C" w:rsidRDefault="00BD2153" w:rsidP="0069657C">
      <w:r>
        <w:t xml:space="preserve">Modern Portfolio Theory proposes that an asset’s return </w:t>
      </w:r>
      <w:proofErr w:type="gramStart"/>
      <w:r>
        <w:t>is correlated</w:t>
      </w:r>
      <w:proofErr w:type="gramEnd"/>
      <w:r>
        <w:t xml:space="preserve"> with beta rather than its own volatility.  Beta is a measurement of how volatile a stock is in comparison with the market.  It </w:t>
      </w:r>
      <w:proofErr w:type="gramStart"/>
      <w:r>
        <w:t>is estimated</w:t>
      </w:r>
      <w:proofErr w:type="gramEnd"/>
      <w:r>
        <w:t xml:space="preserve"> by performing a regression of a stock’s returns against the market’s returns using the formula:</w:t>
      </w:r>
    </w:p>
    <w:p w:rsidR="00BD2153" w:rsidRDefault="00BD2153" w:rsidP="0069657C"/>
    <w:p w:rsidR="00BD2153" w:rsidRPr="00BD2153" w:rsidRDefault="00857BFA" w:rsidP="00BD2153">
      <w:pPr>
        <w:ind w:left="720"/>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+ϵ</m:t>
          </m:r>
        </m:oMath>
      </m:oMathPara>
    </w:p>
    <w:p w:rsidR="00BD2153" w:rsidRDefault="00BD2153" w:rsidP="00BD2153">
      <w:pPr>
        <w:ind w:left="720"/>
        <w:rPr>
          <w:rFonts w:eastAsiaTheme="minorEastAsia"/>
        </w:rPr>
      </w:pPr>
    </w:p>
    <w:p w:rsidR="00BD2153" w:rsidRDefault="00857BFA" w:rsidP="00BD2153">
      <w:pPr>
        <w:tabs>
          <w:tab w:val="left" w:pos="2520"/>
        </w:tabs>
        <w:ind w:left="108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BD2153">
        <w:rPr>
          <w:rFonts w:eastAsiaTheme="minorEastAsia"/>
        </w:rPr>
        <w:tab/>
        <w:t>Excess return of asset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BD2153">
        <w:rPr>
          <w:rFonts w:eastAsiaTheme="minorEastAsia"/>
        </w:rPr>
        <w:t>) versus risk-free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BD2153">
        <w:rPr>
          <w:rFonts w:eastAsiaTheme="minorEastAsia"/>
        </w:rPr>
        <w:t>)</w:t>
      </w:r>
    </w:p>
    <w:p w:rsidR="00BD2153" w:rsidRDefault="00857BFA" w:rsidP="00BD2153">
      <w:pPr>
        <w:tabs>
          <w:tab w:val="left" w:pos="2520"/>
        </w:tabs>
        <w:ind w:left="108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BD2153">
        <w:rPr>
          <w:rFonts w:eastAsiaTheme="minorEastAsia"/>
        </w:rPr>
        <w:tab/>
        <w:t>Excess return of the market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BD2153">
        <w:rPr>
          <w:rFonts w:eastAsiaTheme="minorEastAsia"/>
        </w:rPr>
        <w:t>) versus risk-free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BD2153">
        <w:rPr>
          <w:rFonts w:eastAsiaTheme="minorEastAsia"/>
        </w:rPr>
        <w:t>)</w:t>
      </w:r>
    </w:p>
    <w:p w:rsidR="00BD2153" w:rsidRDefault="00BD2153" w:rsidP="00BD2153">
      <w:pPr>
        <w:tabs>
          <w:tab w:val="left" w:pos="2520"/>
        </w:tabs>
        <w:ind w:left="1080"/>
        <w:rPr>
          <w:rFonts w:eastAsiaTheme="minorEastAsia"/>
        </w:rPr>
      </w:pPr>
      <m:oMath>
        <m:r>
          <w:rPr>
            <w:rFonts w:ascii="Cambria Math" w:hAnsi="Cambria Math"/>
          </w:rPr>
          <m:t>α,β</m:t>
        </m:r>
      </m:oMath>
      <w:r>
        <w:rPr>
          <w:rFonts w:eastAsiaTheme="minorEastAsia"/>
        </w:rPr>
        <w:tab/>
        <w:t>Regression constants</w:t>
      </w:r>
    </w:p>
    <w:p w:rsidR="00BD2153" w:rsidRDefault="00BD2153" w:rsidP="00BD2153">
      <w:pPr>
        <w:tabs>
          <w:tab w:val="left" w:pos="2520"/>
        </w:tabs>
        <w:ind w:left="1080"/>
        <w:rPr>
          <w:rFonts w:eastAsiaTheme="minorEastAsia"/>
        </w:rPr>
      </w:pPr>
      <m:oMath>
        <m:r>
          <w:rPr>
            <w:rFonts w:ascii="Cambria Math" w:hAnsi="Cambria Math"/>
          </w:rPr>
          <m:t>ϵ</m:t>
        </m:r>
      </m:oMath>
      <w:r>
        <w:rPr>
          <w:rFonts w:eastAsiaTheme="minorEastAsia"/>
        </w:rPr>
        <w:tab/>
        <w:t>Residual error</w:t>
      </w:r>
    </w:p>
    <w:p w:rsidR="00BD2153" w:rsidRDefault="00BD2153" w:rsidP="00BD2153"/>
    <w:p w:rsidR="00BD2153" w:rsidRDefault="00BD2153" w:rsidP="00BD2153">
      <w:pPr>
        <w:rPr>
          <w:rFonts w:eastAsiaTheme="minorEastAsia"/>
        </w:rPr>
      </w:pPr>
      <w:r>
        <w:t xml:space="preserve">To simplify this, I performed the regression using daily returns and </w:t>
      </w:r>
      <w:proofErr w:type="gramStart"/>
      <w:r>
        <w:t xml:space="preserve">setting </w:t>
      </w:r>
      <w:proofErr w:type="gramEnd"/>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=0</m:t>
        </m:r>
      </m:oMath>
      <w:r>
        <w:rPr>
          <w:rFonts w:eastAsiaTheme="minorEastAsia"/>
        </w:rPr>
        <w:t>.</w:t>
      </w:r>
      <w:r w:rsidR="007F2A3F">
        <w:rPr>
          <w:rFonts w:eastAsiaTheme="minorEastAsia"/>
        </w:rPr>
        <w:t xml:space="preserve">  Daily, risk-free returns are close enough to zero that this </w:t>
      </w:r>
      <w:proofErr w:type="gramStart"/>
      <w:r w:rsidR="007F2A3F">
        <w:rPr>
          <w:rFonts w:eastAsiaTheme="minorEastAsia"/>
        </w:rPr>
        <w:t>shouldn’t</w:t>
      </w:r>
      <w:proofErr w:type="gramEnd"/>
      <w:r w:rsidR="007F2A3F">
        <w:rPr>
          <w:rFonts w:eastAsiaTheme="minorEastAsia"/>
        </w:rPr>
        <w:t xml:space="preserve"> be too bad.  Histograms for alpha and beta values in 2015 are below.  The median alpha was 0.0002733 (corresponding to a 7.07% annualized return).  </w:t>
      </w:r>
      <w:proofErr w:type="gramStart"/>
      <w:r w:rsidR="007F2A3F">
        <w:rPr>
          <w:rFonts w:eastAsiaTheme="minorEastAsia"/>
        </w:rPr>
        <w:t>I’m</w:t>
      </w:r>
      <w:proofErr w:type="gramEnd"/>
      <w:r w:rsidR="007F2A3F">
        <w:rPr>
          <w:rFonts w:eastAsiaTheme="minorEastAsia"/>
        </w:rPr>
        <w:t xml:space="preserve"> not sure what to make of this.  Theoretically, this should be zero, and 7.07% is too high for it to be trying to estimate the risk-free rate.  The median beta was 1.08, indicating that most stocks were slightly more volatile than the market.</w:t>
      </w:r>
      <w:r>
        <w:rPr>
          <w:rFonts w:eastAsiaTheme="minorEastAsia"/>
        </w:rPr>
        <w:t xml:space="preserve">  </w:t>
      </w:r>
    </w:p>
    <w:p w:rsidR="00BD2153" w:rsidRDefault="00BD2153" w:rsidP="00BD2153">
      <w:pPr>
        <w:rPr>
          <w:rFonts w:eastAsiaTheme="minorEastAsia"/>
        </w:rPr>
      </w:pPr>
    </w:p>
    <w:p w:rsidR="00BD2153" w:rsidRDefault="00BD2153" w:rsidP="00BD2153">
      <w:r>
        <w:rPr>
          <w:noProof/>
        </w:rPr>
        <w:lastRenderedPageBreak/>
        <w:drawing>
          <wp:inline distT="0" distB="0" distL="0" distR="0" wp14:anchorId="40AB4372" wp14:editId="1ABAF926">
            <wp:extent cx="2340119" cy="2238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9827" cy="2238095"/>
                    </a:xfrm>
                    <a:prstGeom prst="rect">
                      <a:avLst/>
                    </a:prstGeom>
                  </pic:spPr>
                </pic:pic>
              </a:graphicData>
            </a:graphic>
          </wp:inline>
        </w:drawing>
      </w:r>
      <w:r>
        <w:rPr>
          <w:noProof/>
        </w:rPr>
        <w:drawing>
          <wp:inline distT="0" distB="0" distL="0" distR="0" wp14:anchorId="4793F133" wp14:editId="119908F9">
            <wp:extent cx="2333625" cy="222539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3334" cy="2225122"/>
                    </a:xfrm>
                    <a:prstGeom prst="rect">
                      <a:avLst/>
                    </a:prstGeom>
                  </pic:spPr>
                </pic:pic>
              </a:graphicData>
            </a:graphic>
          </wp:inline>
        </w:drawing>
      </w:r>
    </w:p>
    <w:p w:rsidR="00BD2153" w:rsidRDefault="007F2A3F" w:rsidP="00BD2153">
      <w:r>
        <w:t xml:space="preserve">Scatter plots for alpha, beta, </w:t>
      </w:r>
      <w:r w:rsidR="007C4D50">
        <w:t xml:space="preserve">avg. returns, </w:t>
      </w:r>
      <w:r>
        <w:t>and the standard error of residuals are below:</w:t>
      </w:r>
    </w:p>
    <w:p w:rsidR="007F2A3F" w:rsidRDefault="007F2A3F" w:rsidP="00BD2153"/>
    <w:p w:rsidR="007F2A3F" w:rsidRDefault="007F2A3F" w:rsidP="00BD2153">
      <w:r>
        <w:rPr>
          <w:noProof/>
        </w:rPr>
        <w:drawing>
          <wp:inline distT="0" distB="0" distL="0" distR="0" wp14:anchorId="242E28CB">
            <wp:extent cx="2886027"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3844" cy="2139379"/>
                    </a:xfrm>
                    <a:prstGeom prst="rect">
                      <a:avLst/>
                    </a:prstGeom>
                    <a:noFill/>
                  </pic:spPr>
                </pic:pic>
              </a:graphicData>
            </a:graphic>
          </wp:inline>
        </w:drawing>
      </w:r>
      <w:r w:rsidR="001D1B8D">
        <w:rPr>
          <w:noProof/>
        </w:rPr>
        <w:drawing>
          <wp:inline distT="0" distB="0" distL="0" distR="0" wp14:anchorId="4F740B91">
            <wp:extent cx="2864335"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335" cy="2095500"/>
                    </a:xfrm>
                    <a:prstGeom prst="rect">
                      <a:avLst/>
                    </a:prstGeom>
                    <a:noFill/>
                  </pic:spPr>
                </pic:pic>
              </a:graphicData>
            </a:graphic>
          </wp:inline>
        </w:drawing>
      </w:r>
    </w:p>
    <w:p w:rsidR="00F7627F" w:rsidRDefault="007C4D50" w:rsidP="00F7627F">
      <w:r>
        <w:rPr>
          <w:noProof/>
        </w:rPr>
        <w:drawing>
          <wp:inline distT="0" distB="0" distL="0" distR="0" wp14:anchorId="1D6B0306" wp14:editId="2D5FCD81">
            <wp:extent cx="2933700" cy="214988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149887"/>
                    </a:xfrm>
                    <a:prstGeom prst="rect">
                      <a:avLst/>
                    </a:prstGeom>
                    <a:noFill/>
                  </pic:spPr>
                </pic:pic>
              </a:graphicData>
            </a:graphic>
          </wp:inline>
        </w:drawing>
      </w:r>
      <w:r w:rsidR="007F2A3F">
        <w:rPr>
          <w:noProof/>
        </w:rPr>
        <w:drawing>
          <wp:inline distT="0" distB="0" distL="0" distR="0" wp14:anchorId="7BDE2D09">
            <wp:extent cx="2972587" cy="2160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4088" cy="2161881"/>
                    </a:xfrm>
                    <a:prstGeom prst="rect">
                      <a:avLst/>
                    </a:prstGeom>
                    <a:noFill/>
                  </pic:spPr>
                </pic:pic>
              </a:graphicData>
            </a:graphic>
          </wp:inline>
        </w:drawing>
      </w:r>
      <w:r>
        <w:br/>
        <w:t>Notice that the plots of alpha versus beta and average return</w:t>
      </w:r>
      <w:r w:rsidR="001D1B8D">
        <w:t>s versus beta are nearly ident</w:t>
      </w:r>
      <w:r>
        <w:t xml:space="preserve">ical.  This is to </w:t>
      </w:r>
      <w:proofErr w:type="gramStart"/>
      <w:r>
        <w:t>be expected</w:t>
      </w:r>
      <w:proofErr w:type="gramEnd"/>
      <w:r>
        <w:t xml:space="preserve">, since alpha should just be the difference between the average return of the stock and those of the market portfolio.  However, the relationship that we might expect between </w:t>
      </w:r>
      <w:r w:rsidR="00F7627F">
        <w:t>risk and return does not appear</w:t>
      </w:r>
      <w:r>
        <w:t xml:space="preserve">.  In 2015, increased risk was associated with lower returns.  This is the opposite of what MPT predicts but </w:t>
      </w:r>
      <w:proofErr w:type="gramStart"/>
      <w:r>
        <w:t>may be explained</w:t>
      </w:r>
      <w:proofErr w:type="gramEnd"/>
      <w:r>
        <w:t xml:space="preserve"> due to negative returns in the market that year and a high degree of correlation of individual asset returns with the market.</w:t>
      </w:r>
    </w:p>
    <w:p w:rsidR="007C4D50" w:rsidRDefault="007C4D50" w:rsidP="00BD2153"/>
    <w:p w:rsidR="007C4D50" w:rsidRDefault="007C4D50" w:rsidP="00BD2153">
      <w:r>
        <w:t>Once again, we perform this analysis for each of the years in the dataset and get the following results:</w:t>
      </w:r>
    </w:p>
    <w:p w:rsidR="007C4D50" w:rsidRDefault="007C4D50" w:rsidP="00BD2153"/>
    <w:p w:rsidR="007F3835" w:rsidRPr="007F3835" w:rsidRDefault="007F3835" w:rsidP="00BD2153">
      <w:pPr>
        <w:rPr>
          <w:i/>
        </w:rPr>
      </w:pPr>
      <w:r w:rsidRPr="007F3835">
        <w:rPr>
          <w:i/>
        </w:rPr>
        <w:t>Table 3: Average values of Alpha and Beta</w:t>
      </w:r>
    </w:p>
    <w:p w:rsidR="007F3835" w:rsidRDefault="007F3835" w:rsidP="00BD2153"/>
    <w:tbl>
      <w:tblPr>
        <w:tblW w:w="8745" w:type="dxa"/>
        <w:tblInd w:w="93" w:type="dxa"/>
        <w:tblLook w:val="04A0" w:firstRow="1" w:lastRow="0" w:firstColumn="1" w:lastColumn="0" w:noHBand="0" w:noVBand="1"/>
      </w:tblPr>
      <w:tblGrid>
        <w:gridCol w:w="860"/>
        <w:gridCol w:w="1120"/>
        <w:gridCol w:w="1360"/>
        <w:gridCol w:w="1360"/>
        <w:gridCol w:w="640"/>
        <w:gridCol w:w="840"/>
        <w:gridCol w:w="1305"/>
        <w:gridCol w:w="1260"/>
      </w:tblGrid>
      <w:tr w:rsidR="00BC4B6B" w:rsidRPr="00BC4B6B" w:rsidTr="00BC4B6B">
        <w:trPr>
          <w:trHeight w:val="300"/>
        </w:trPr>
        <w:tc>
          <w:tcPr>
            <w:tcW w:w="860" w:type="dxa"/>
            <w:tcBorders>
              <w:top w:val="nil"/>
              <w:left w:val="nil"/>
              <w:right w:val="nil"/>
            </w:tcBorders>
            <w:shd w:val="clear" w:color="auto" w:fill="auto"/>
            <w:noWrap/>
            <w:vAlign w:val="bottom"/>
          </w:tcPr>
          <w:p w:rsidR="00BC4B6B" w:rsidRPr="00BC4B6B" w:rsidRDefault="00BC4B6B" w:rsidP="00BC4B6B">
            <w:pPr>
              <w:contextualSpacing w:val="0"/>
              <w:rPr>
                <w:rFonts w:ascii="Calibri" w:eastAsia="Times New Roman" w:hAnsi="Calibri" w:cs="Calibri"/>
                <w:color w:val="000000"/>
                <w:sz w:val="22"/>
              </w:rPr>
            </w:pPr>
          </w:p>
        </w:tc>
        <w:tc>
          <w:tcPr>
            <w:tcW w:w="1120" w:type="dxa"/>
            <w:tcBorders>
              <w:top w:val="nil"/>
              <w:left w:val="nil"/>
              <w:right w:val="nil"/>
            </w:tcBorders>
            <w:shd w:val="clear" w:color="auto" w:fill="auto"/>
            <w:noWrap/>
            <w:vAlign w:val="bottom"/>
          </w:tcPr>
          <w:p w:rsidR="00BC4B6B" w:rsidRPr="00BC4B6B" w:rsidRDefault="00BC4B6B" w:rsidP="00BC4B6B">
            <w:pPr>
              <w:contextualSpacing w:val="0"/>
              <w:jc w:val="center"/>
              <w:rPr>
                <w:rFonts w:ascii="Calibri" w:eastAsia="Times New Roman" w:hAnsi="Calibri" w:cs="Calibri"/>
                <w:color w:val="000000"/>
                <w:sz w:val="22"/>
              </w:rPr>
            </w:pPr>
          </w:p>
        </w:tc>
        <w:tc>
          <w:tcPr>
            <w:tcW w:w="1360" w:type="dxa"/>
            <w:tcBorders>
              <w:top w:val="nil"/>
              <w:left w:val="nil"/>
              <w:right w:val="nil"/>
            </w:tcBorders>
            <w:shd w:val="clear" w:color="auto" w:fill="auto"/>
            <w:noWrap/>
            <w:vAlign w:val="bottom"/>
          </w:tcPr>
          <w:p w:rsidR="00BC4B6B" w:rsidRPr="00BC4B6B" w:rsidRDefault="00BC4B6B" w:rsidP="00BC4B6B">
            <w:pPr>
              <w:contextualSpacing w:val="0"/>
              <w:jc w:val="right"/>
              <w:rPr>
                <w:rFonts w:ascii="Calibri" w:eastAsia="Times New Roman" w:hAnsi="Calibri" w:cs="Calibri"/>
                <w:color w:val="000000"/>
                <w:sz w:val="22"/>
              </w:rPr>
            </w:pPr>
          </w:p>
        </w:tc>
        <w:tc>
          <w:tcPr>
            <w:tcW w:w="1360" w:type="dxa"/>
            <w:tcBorders>
              <w:top w:val="nil"/>
              <w:left w:val="nil"/>
              <w:right w:val="nil"/>
            </w:tcBorders>
            <w:shd w:val="clear" w:color="auto" w:fill="auto"/>
            <w:noWrap/>
            <w:vAlign w:val="bottom"/>
          </w:tcPr>
          <w:p w:rsidR="00BC4B6B" w:rsidRPr="00BC4B6B" w:rsidRDefault="00BC4B6B" w:rsidP="00BC4B6B">
            <w:pPr>
              <w:contextualSpacing w:val="0"/>
              <w:jc w:val="right"/>
              <w:rPr>
                <w:rFonts w:ascii="Calibri" w:eastAsia="Times New Roman" w:hAnsi="Calibri" w:cs="Calibri"/>
                <w:color w:val="000000"/>
                <w:sz w:val="22"/>
              </w:rPr>
            </w:pPr>
          </w:p>
        </w:tc>
        <w:tc>
          <w:tcPr>
            <w:tcW w:w="640" w:type="dxa"/>
            <w:tcBorders>
              <w:top w:val="nil"/>
              <w:left w:val="nil"/>
              <w:right w:val="nil"/>
            </w:tcBorders>
            <w:shd w:val="clear" w:color="auto" w:fill="auto"/>
            <w:noWrap/>
            <w:vAlign w:val="bottom"/>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right w:val="nil"/>
            </w:tcBorders>
            <w:shd w:val="clear" w:color="auto" w:fill="auto"/>
            <w:noWrap/>
            <w:vAlign w:val="bottom"/>
          </w:tcPr>
          <w:p w:rsidR="00BC4B6B" w:rsidRPr="00BC4B6B" w:rsidRDefault="00BC4B6B" w:rsidP="00BC4B6B">
            <w:pPr>
              <w:contextualSpacing w:val="0"/>
              <w:rPr>
                <w:rFonts w:ascii="Calibri" w:eastAsia="Times New Roman" w:hAnsi="Calibri" w:cs="Calibri"/>
                <w:color w:val="000000"/>
                <w:sz w:val="22"/>
              </w:rPr>
            </w:pPr>
          </w:p>
        </w:tc>
        <w:tc>
          <w:tcPr>
            <w:tcW w:w="2565" w:type="dxa"/>
            <w:gridSpan w:val="2"/>
            <w:tcBorders>
              <w:top w:val="nil"/>
              <w:left w:val="nil"/>
              <w:bottom w:val="single" w:sz="4" w:space="0" w:color="auto"/>
              <w:right w:val="nil"/>
            </w:tcBorders>
            <w:shd w:val="clear" w:color="auto" w:fill="auto"/>
            <w:noWrap/>
            <w:vAlign w:val="bottom"/>
          </w:tcPr>
          <w:p w:rsidR="00BC4B6B" w:rsidRPr="00BC4B6B" w:rsidRDefault="00BC4B6B" w:rsidP="00BC4B6B">
            <w:pPr>
              <w:contextualSpacing w:val="0"/>
              <w:jc w:val="center"/>
              <w:rPr>
                <w:rFonts w:ascii="Calibri" w:eastAsia="Times New Roman" w:hAnsi="Calibri" w:cs="Calibri"/>
                <w:color w:val="000000"/>
                <w:sz w:val="22"/>
              </w:rPr>
            </w:pPr>
            <w:r>
              <w:rPr>
                <w:rFonts w:ascii="Calibri" w:eastAsia="Times New Roman" w:hAnsi="Calibri" w:cs="Calibri"/>
                <w:color w:val="000000"/>
                <w:sz w:val="22"/>
              </w:rPr>
              <w:t>Annualized</w:t>
            </w:r>
          </w:p>
        </w:tc>
      </w:tr>
      <w:tr w:rsidR="00BC4B6B" w:rsidRPr="00BC4B6B" w:rsidTr="00BC4B6B">
        <w:trPr>
          <w:trHeight w:val="300"/>
        </w:trPr>
        <w:tc>
          <w:tcPr>
            <w:tcW w:w="860" w:type="dxa"/>
            <w:tcBorders>
              <w:left w:val="nil"/>
              <w:bottom w:val="single" w:sz="4" w:space="0" w:color="auto"/>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Year</w:t>
            </w:r>
          </w:p>
        </w:tc>
        <w:tc>
          <w:tcPr>
            <w:tcW w:w="1120" w:type="dxa"/>
            <w:tcBorders>
              <w:left w:val="nil"/>
              <w:bottom w:val="single" w:sz="4" w:space="0" w:color="auto"/>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Stocks</w:t>
            </w:r>
          </w:p>
        </w:tc>
        <w:tc>
          <w:tcPr>
            <w:tcW w:w="1360" w:type="dxa"/>
            <w:tcBorders>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Avg. Alpha</w:t>
            </w:r>
          </w:p>
        </w:tc>
        <w:tc>
          <w:tcPr>
            <w:tcW w:w="1360" w:type="dxa"/>
            <w:tcBorders>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Avg. Beta</w:t>
            </w:r>
          </w:p>
        </w:tc>
        <w:tc>
          <w:tcPr>
            <w:tcW w:w="640" w:type="dxa"/>
            <w:tcBorders>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left w:val="nil"/>
              <w:bottom w:val="single" w:sz="4" w:space="0" w:color="auto"/>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Year</w:t>
            </w:r>
          </w:p>
        </w:tc>
        <w:tc>
          <w:tcPr>
            <w:tcW w:w="1305" w:type="dxa"/>
            <w:tcBorders>
              <w:top w:val="nil"/>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Avg</w:t>
            </w:r>
            <w:r>
              <w:rPr>
                <w:rFonts w:ascii="Calibri" w:eastAsia="Times New Roman" w:hAnsi="Calibri" w:cs="Calibri"/>
                <w:color w:val="000000"/>
                <w:sz w:val="22"/>
              </w:rPr>
              <w:t>.</w:t>
            </w:r>
            <w:r w:rsidRPr="00BC4B6B">
              <w:rPr>
                <w:rFonts w:ascii="Calibri" w:eastAsia="Times New Roman" w:hAnsi="Calibri" w:cs="Calibri"/>
                <w:color w:val="000000"/>
                <w:sz w:val="22"/>
              </w:rPr>
              <w:t xml:space="preserve"> Return</w:t>
            </w:r>
          </w:p>
        </w:tc>
        <w:tc>
          <w:tcPr>
            <w:tcW w:w="1260" w:type="dxa"/>
            <w:tcBorders>
              <w:top w:val="nil"/>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Avg. Alpha</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2007</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0.0003</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1.0197</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2007</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12.7%</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7.4%</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2008</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0.0006</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1.0832</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2008</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-25.0%</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15.3%</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2009</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0.0007</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1.2266</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2009</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62.7%</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20.6%</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2010</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0.0004</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1.1040</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2010</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27.9%</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10.1%</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2011</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0.0001</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1.1123</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2011</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6.3%</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3.2%</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2012</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0.0002</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1.0933</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2012</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22.7%</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6.1%</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2013</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0.0002</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1.0819</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2013</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39.7%</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5.1%</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2014</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0.0001</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1.0409</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2014</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16.2%</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3.3%</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2015</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-0.0001</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1.0009</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2015</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-2.1%</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-2.6%</w:t>
            </w:r>
          </w:p>
        </w:tc>
      </w:tr>
      <w:tr w:rsidR="00BC4B6B" w:rsidRPr="00BC4B6B" w:rsidTr="00BC4B6B">
        <w:trPr>
          <w:trHeight w:val="300"/>
        </w:trPr>
        <w:tc>
          <w:tcPr>
            <w:tcW w:w="86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2016</w:t>
            </w:r>
          </w:p>
        </w:tc>
        <w:tc>
          <w:tcPr>
            <w:tcW w:w="112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0.0002</w:t>
            </w:r>
          </w:p>
        </w:tc>
        <w:tc>
          <w:tcPr>
            <w:tcW w:w="13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1.1373</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single" w:sz="4" w:space="0" w:color="auto"/>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2016</w:t>
            </w:r>
          </w:p>
        </w:tc>
        <w:tc>
          <w:tcPr>
            <w:tcW w:w="1305" w:type="dxa"/>
            <w:tcBorders>
              <w:top w:val="nil"/>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13.4%</w:t>
            </w:r>
          </w:p>
        </w:tc>
        <w:tc>
          <w:tcPr>
            <w:tcW w:w="1260" w:type="dxa"/>
            <w:tcBorders>
              <w:top w:val="nil"/>
              <w:left w:val="nil"/>
              <w:bottom w:val="single" w:sz="4" w:space="0" w:color="auto"/>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5.6%</w:t>
            </w:r>
          </w:p>
        </w:tc>
      </w:tr>
      <w:tr w:rsidR="00BC4B6B" w:rsidRPr="00BC4B6B" w:rsidTr="00BC4B6B">
        <w:trPr>
          <w:trHeight w:val="300"/>
        </w:trPr>
        <w:tc>
          <w:tcPr>
            <w:tcW w:w="860" w:type="dxa"/>
            <w:tcBorders>
              <w:top w:val="single" w:sz="4" w:space="0" w:color="auto"/>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Avg.</w:t>
            </w:r>
          </w:p>
        </w:tc>
        <w:tc>
          <w:tcPr>
            <w:tcW w:w="1120" w:type="dxa"/>
            <w:tcBorders>
              <w:top w:val="single" w:sz="4" w:space="0" w:color="auto"/>
              <w:left w:val="nil"/>
              <w:bottom w:val="nil"/>
              <w:right w:val="nil"/>
            </w:tcBorders>
            <w:shd w:val="clear" w:color="auto" w:fill="auto"/>
            <w:noWrap/>
            <w:vAlign w:val="bottom"/>
            <w:hideMark/>
          </w:tcPr>
          <w:p w:rsidR="00BC4B6B" w:rsidRPr="00BC4B6B" w:rsidRDefault="00BC4B6B" w:rsidP="00BC4B6B">
            <w:pPr>
              <w:contextualSpacing w:val="0"/>
              <w:jc w:val="center"/>
              <w:rPr>
                <w:rFonts w:ascii="Calibri" w:eastAsia="Times New Roman" w:hAnsi="Calibri" w:cs="Calibri"/>
                <w:color w:val="000000"/>
                <w:sz w:val="22"/>
              </w:rPr>
            </w:pPr>
            <w:r w:rsidRPr="00BC4B6B">
              <w:rPr>
                <w:rFonts w:ascii="Calibri" w:eastAsia="Times New Roman" w:hAnsi="Calibri" w:cs="Calibri"/>
                <w:color w:val="000000"/>
                <w:sz w:val="22"/>
              </w:rPr>
              <w:t>468</w:t>
            </w:r>
          </w:p>
        </w:tc>
        <w:tc>
          <w:tcPr>
            <w:tcW w:w="1360" w:type="dxa"/>
            <w:tcBorders>
              <w:top w:val="single" w:sz="4" w:space="0" w:color="auto"/>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0.0003</w:t>
            </w:r>
          </w:p>
        </w:tc>
        <w:tc>
          <w:tcPr>
            <w:tcW w:w="1360" w:type="dxa"/>
            <w:tcBorders>
              <w:top w:val="single" w:sz="4" w:space="0" w:color="auto"/>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1.0900</w:t>
            </w:r>
          </w:p>
        </w:tc>
        <w:tc>
          <w:tcPr>
            <w:tcW w:w="6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p>
        </w:tc>
        <w:tc>
          <w:tcPr>
            <w:tcW w:w="840" w:type="dxa"/>
            <w:tcBorders>
              <w:top w:val="nil"/>
              <w:left w:val="nil"/>
              <w:bottom w:val="nil"/>
              <w:right w:val="nil"/>
            </w:tcBorders>
            <w:shd w:val="clear" w:color="auto" w:fill="auto"/>
            <w:noWrap/>
            <w:vAlign w:val="bottom"/>
            <w:hideMark/>
          </w:tcPr>
          <w:p w:rsidR="00BC4B6B" w:rsidRPr="00BC4B6B" w:rsidRDefault="00BC4B6B" w:rsidP="00BC4B6B">
            <w:pPr>
              <w:contextualSpacing w:val="0"/>
              <w:rPr>
                <w:rFonts w:ascii="Calibri" w:eastAsia="Times New Roman" w:hAnsi="Calibri" w:cs="Calibri"/>
                <w:color w:val="000000"/>
                <w:sz w:val="22"/>
              </w:rPr>
            </w:pPr>
            <w:r w:rsidRPr="00BC4B6B">
              <w:rPr>
                <w:rFonts w:ascii="Calibri" w:eastAsia="Times New Roman" w:hAnsi="Calibri" w:cs="Calibri"/>
                <w:color w:val="000000"/>
                <w:sz w:val="22"/>
              </w:rPr>
              <w:t>Avg</w:t>
            </w:r>
            <w:r>
              <w:rPr>
                <w:rFonts w:ascii="Calibri" w:eastAsia="Times New Roman" w:hAnsi="Calibri" w:cs="Calibri"/>
                <w:color w:val="000000"/>
                <w:sz w:val="22"/>
              </w:rPr>
              <w:t>.</w:t>
            </w:r>
          </w:p>
        </w:tc>
        <w:tc>
          <w:tcPr>
            <w:tcW w:w="1305"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17.4%</w:t>
            </w:r>
          </w:p>
        </w:tc>
        <w:tc>
          <w:tcPr>
            <w:tcW w:w="1260" w:type="dxa"/>
            <w:tcBorders>
              <w:top w:val="nil"/>
              <w:left w:val="nil"/>
              <w:bottom w:val="nil"/>
              <w:right w:val="nil"/>
            </w:tcBorders>
            <w:shd w:val="clear" w:color="auto" w:fill="auto"/>
            <w:noWrap/>
            <w:vAlign w:val="bottom"/>
            <w:hideMark/>
          </w:tcPr>
          <w:p w:rsidR="00BC4B6B" w:rsidRPr="00BC4B6B" w:rsidRDefault="00BC4B6B" w:rsidP="00BC4B6B">
            <w:pPr>
              <w:contextualSpacing w:val="0"/>
              <w:jc w:val="right"/>
              <w:rPr>
                <w:rFonts w:ascii="Calibri" w:eastAsia="Times New Roman" w:hAnsi="Calibri" w:cs="Calibri"/>
                <w:color w:val="000000"/>
                <w:sz w:val="22"/>
              </w:rPr>
            </w:pPr>
            <w:r w:rsidRPr="00BC4B6B">
              <w:rPr>
                <w:rFonts w:ascii="Calibri" w:eastAsia="Times New Roman" w:hAnsi="Calibri" w:cs="Calibri"/>
                <w:color w:val="000000"/>
                <w:sz w:val="22"/>
              </w:rPr>
              <w:t>7.4%</w:t>
            </w:r>
          </w:p>
        </w:tc>
      </w:tr>
    </w:tbl>
    <w:p w:rsidR="007F3835" w:rsidRDefault="007F3835" w:rsidP="00BD2153"/>
    <w:p w:rsidR="00BE2E87" w:rsidRPr="00BE2E87" w:rsidRDefault="007F3835" w:rsidP="00BD2153">
      <w:pPr>
        <w:rPr>
          <w:i/>
        </w:rPr>
      </w:pPr>
      <w:r>
        <w:rPr>
          <w:i/>
        </w:rPr>
        <w:t>Table 4</w:t>
      </w:r>
      <w:r w:rsidR="00BE2E87" w:rsidRPr="00BE2E87">
        <w:rPr>
          <w:i/>
        </w:rPr>
        <w:t>: Correlation between Alpha, Beta, and Residual Error</w:t>
      </w:r>
    </w:p>
    <w:p w:rsidR="00BE2E87" w:rsidRDefault="00BE2E87" w:rsidP="00BD2153"/>
    <w:tbl>
      <w:tblPr>
        <w:tblW w:w="9465" w:type="dxa"/>
        <w:tblInd w:w="93" w:type="dxa"/>
        <w:tblLook w:val="04A0" w:firstRow="1" w:lastRow="0" w:firstColumn="1" w:lastColumn="0" w:noHBand="0" w:noVBand="1"/>
      </w:tblPr>
      <w:tblGrid>
        <w:gridCol w:w="687"/>
        <w:gridCol w:w="858"/>
        <w:gridCol w:w="1224"/>
        <w:gridCol w:w="1369"/>
        <w:gridCol w:w="1263"/>
        <w:gridCol w:w="1994"/>
        <w:gridCol w:w="2070"/>
      </w:tblGrid>
      <w:tr w:rsidR="007F3835" w:rsidRPr="007F3835" w:rsidTr="007F3835">
        <w:trPr>
          <w:trHeight w:val="300"/>
        </w:trPr>
        <w:tc>
          <w:tcPr>
            <w:tcW w:w="687"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year</w:t>
            </w:r>
          </w:p>
        </w:tc>
        <w:tc>
          <w:tcPr>
            <w:tcW w:w="858"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Pr>
                <w:rFonts w:ascii="Calibri" w:eastAsia="Times New Roman" w:hAnsi="Calibri" w:cs="Calibri"/>
                <w:color w:val="000000"/>
                <w:sz w:val="22"/>
              </w:rPr>
              <w:t>Stocks</w:t>
            </w:r>
          </w:p>
        </w:tc>
        <w:tc>
          <w:tcPr>
            <w:tcW w:w="1224"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Alpha/Beta</w:t>
            </w:r>
          </w:p>
        </w:tc>
        <w:tc>
          <w:tcPr>
            <w:tcW w:w="1369"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Alpha/</w:t>
            </w:r>
            <w:proofErr w:type="spellStart"/>
            <w:r w:rsidRPr="007F3835">
              <w:rPr>
                <w:rFonts w:ascii="Calibri" w:eastAsia="Times New Roman" w:hAnsi="Calibri" w:cs="Calibri"/>
                <w:color w:val="000000"/>
                <w:sz w:val="22"/>
              </w:rPr>
              <w:t>Stderr</w:t>
            </w:r>
            <w:proofErr w:type="spellEnd"/>
          </w:p>
        </w:tc>
        <w:tc>
          <w:tcPr>
            <w:tcW w:w="1263"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Beta/</w:t>
            </w:r>
            <w:proofErr w:type="spellStart"/>
            <w:r w:rsidRPr="007F3835">
              <w:rPr>
                <w:rFonts w:ascii="Calibri" w:eastAsia="Times New Roman" w:hAnsi="Calibri" w:cs="Calibri"/>
                <w:color w:val="000000"/>
                <w:sz w:val="22"/>
              </w:rPr>
              <w:t>Stderr</w:t>
            </w:r>
            <w:proofErr w:type="spellEnd"/>
          </w:p>
        </w:tc>
        <w:tc>
          <w:tcPr>
            <w:tcW w:w="1994"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Avg. Return</w:t>
            </w:r>
            <w:r>
              <w:rPr>
                <w:rFonts w:ascii="Calibri" w:eastAsia="Times New Roman" w:hAnsi="Calibri" w:cs="Calibri"/>
                <w:color w:val="000000"/>
                <w:sz w:val="22"/>
              </w:rPr>
              <w:t xml:space="preserve">  </w:t>
            </w:r>
            <w:r w:rsidRPr="007F3835">
              <w:rPr>
                <w:rFonts w:ascii="Calibri" w:eastAsia="Times New Roman" w:hAnsi="Calibri" w:cs="Calibri"/>
                <w:color w:val="000000"/>
                <w:sz w:val="22"/>
              </w:rPr>
              <w:t>/</w:t>
            </w:r>
            <w:r>
              <w:rPr>
                <w:rFonts w:ascii="Calibri" w:eastAsia="Times New Roman" w:hAnsi="Calibri" w:cs="Calibri"/>
                <w:color w:val="000000"/>
                <w:sz w:val="22"/>
              </w:rPr>
              <w:t xml:space="preserve"> </w:t>
            </w:r>
            <w:r w:rsidRPr="007F3835">
              <w:rPr>
                <w:rFonts w:ascii="Calibri" w:eastAsia="Times New Roman" w:hAnsi="Calibri" w:cs="Calibri"/>
                <w:color w:val="000000"/>
                <w:sz w:val="22"/>
              </w:rPr>
              <w:t>Beta</w:t>
            </w:r>
          </w:p>
        </w:tc>
        <w:tc>
          <w:tcPr>
            <w:tcW w:w="2070" w:type="dxa"/>
            <w:tcBorders>
              <w:top w:val="nil"/>
              <w:left w:val="nil"/>
              <w:bottom w:val="single" w:sz="4" w:space="0" w:color="auto"/>
              <w:right w:val="nil"/>
            </w:tcBorders>
            <w:shd w:val="clear" w:color="auto" w:fill="auto"/>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Avg. Return</w:t>
            </w:r>
            <w:r>
              <w:rPr>
                <w:rFonts w:ascii="Calibri" w:eastAsia="Times New Roman" w:hAnsi="Calibri" w:cs="Calibri"/>
                <w:color w:val="000000"/>
                <w:sz w:val="22"/>
              </w:rPr>
              <w:t xml:space="preserve"> </w:t>
            </w:r>
            <w:r w:rsidRPr="007F3835">
              <w:rPr>
                <w:rFonts w:ascii="Calibri" w:eastAsia="Times New Roman" w:hAnsi="Calibri" w:cs="Calibri"/>
                <w:color w:val="000000"/>
                <w:sz w:val="22"/>
              </w:rPr>
              <w:t>/</w:t>
            </w:r>
            <w:r>
              <w:rPr>
                <w:rFonts w:ascii="Calibri" w:eastAsia="Times New Roman" w:hAnsi="Calibri" w:cs="Calibri"/>
                <w:color w:val="000000"/>
                <w:sz w:val="22"/>
              </w:rPr>
              <w:t xml:space="preserve"> </w:t>
            </w:r>
            <w:proofErr w:type="spellStart"/>
            <w:r w:rsidRPr="007F3835">
              <w:rPr>
                <w:rFonts w:ascii="Calibri" w:eastAsia="Times New Roman" w:hAnsi="Calibri" w:cs="Calibri"/>
                <w:color w:val="000000"/>
                <w:sz w:val="22"/>
              </w:rPr>
              <w:t>Stderr</w:t>
            </w:r>
            <w:proofErr w:type="spellEnd"/>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2007</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BFCF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0.0110</w:t>
            </w:r>
          </w:p>
        </w:tc>
        <w:tc>
          <w:tcPr>
            <w:tcW w:w="1369" w:type="dxa"/>
            <w:tcBorders>
              <w:top w:val="nil"/>
              <w:left w:val="nil"/>
              <w:bottom w:val="nil"/>
              <w:right w:val="nil"/>
            </w:tcBorders>
            <w:shd w:val="clear" w:color="000000" w:fill="F2F8F6"/>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0.0712</w:t>
            </w:r>
          </w:p>
        </w:tc>
        <w:tc>
          <w:tcPr>
            <w:tcW w:w="1263" w:type="dxa"/>
            <w:tcBorders>
              <w:top w:val="nil"/>
              <w:left w:val="nil"/>
              <w:bottom w:val="nil"/>
              <w:right w:val="nil"/>
            </w:tcBorders>
            <w:shd w:val="clear" w:color="000000" w:fill="B7E0C3"/>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0.4574</w:t>
            </w:r>
          </w:p>
        </w:tc>
        <w:tc>
          <w:tcPr>
            <w:tcW w:w="1994" w:type="dxa"/>
            <w:tcBorders>
              <w:top w:val="single" w:sz="4" w:space="0" w:color="auto"/>
              <w:left w:val="nil"/>
              <w:bottom w:val="nil"/>
              <w:right w:val="nil"/>
            </w:tcBorders>
            <w:shd w:val="clear" w:color="000000" w:fill="F4F9F8"/>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0.0565</w:t>
            </w:r>
          </w:p>
        </w:tc>
        <w:tc>
          <w:tcPr>
            <w:tcW w:w="2070" w:type="dxa"/>
            <w:tcBorders>
              <w:top w:val="single" w:sz="4" w:space="0" w:color="auto"/>
              <w:left w:val="nil"/>
              <w:bottom w:val="nil"/>
              <w:right w:val="nil"/>
            </w:tcBorders>
            <w:shd w:val="clear" w:color="000000" w:fill="EEF7F3"/>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0.0937</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2008</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D7EDDF"/>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0.2444</w:t>
            </w:r>
          </w:p>
        </w:tc>
        <w:tc>
          <w:tcPr>
            <w:tcW w:w="1369" w:type="dxa"/>
            <w:tcBorders>
              <w:top w:val="nil"/>
              <w:left w:val="nil"/>
              <w:bottom w:val="nil"/>
              <w:right w:val="nil"/>
            </w:tcBorders>
            <w:shd w:val="clear" w:color="000000" w:fill="E5F3E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0.1549</w:t>
            </w:r>
          </w:p>
        </w:tc>
        <w:tc>
          <w:tcPr>
            <w:tcW w:w="1263" w:type="dxa"/>
            <w:tcBorders>
              <w:top w:val="nil"/>
              <w:left w:val="nil"/>
              <w:bottom w:val="nil"/>
              <w:right w:val="nil"/>
            </w:tcBorders>
            <w:shd w:val="clear" w:color="000000" w:fill="86CC99"/>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0.7755</w:t>
            </w:r>
          </w:p>
        </w:tc>
        <w:tc>
          <w:tcPr>
            <w:tcW w:w="1994" w:type="dxa"/>
            <w:tcBorders>
              <w:top w:val="nil"/>
              <w:left w:val="nil"/>
              <w:bottom w:val="nil"/>
              <w:right w:val="nil"/>
            </w:tcBorders>
            <w:shd w:val="clear" w:color="000000" w:fill="FBDBD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-0.2234</w:t>
            </w:r>
          </w:p>
        </w:tc>
        <w:tc>
          <w:tcPr>
            <w:tcW w:w="2070" w:type="dxa"/>
            <w:tcBorders>
              <w:top w:val="nil"/>
              <w:left w:val="nil"/>
              <w:bottom w:val="nil"/>
              <w:right w:val="nil"/>
            </w:tcBorders>
            <w:shd w:val="clear" w:color="000000" w:fill="FBDFE1"/>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-0.1972</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2009</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ECF6F1"/>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0.1104</w:t>
            </w:r>
          </w:p>
        </w:tc>
        <w:tc>
          <w:tcPr>
            <w:tcW w:w="1369" w:type="dxa"/>
            <w:tcBorders>
              <w:top w:val="nil"/>
              <w:left w:val="nil"/>
              <w:bottom w:val="nil"/>
              <w:right w:val="nil"/>
            </w:tcBorders>
            <w:shd w:val="clear" w:color="000000" w:fill="C7E7D2"/>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0.3476</w:t>
            </w:r>
          </w:p>
        </w:tc>
        <w:tc>
          <w:tcPr>
            <w:tcW w:w="1263" w:type="dxa"/>
            <w:tcBorders>
              <w:top w:val="nil"/>
              <w:left w:val="nil"/>
              <w:bottom w:val="nil"/>
              <w:right w:val="nil"/>
            </w:tcBorders>
            <w:shd w:val="clear" w:color="000000" w:fill="8CCF9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0.7352</w:t>
            </w:r>
          </w:p>
        </w:tc>
        <w:tc>
          <w:tcPr>
            <w:tcW w:w="1994" w:type="dxa"/>
            <w:tcBorders>
              <w:top w:val="nil"/>
              <w:left w:val="nil"/>
              <w:bottom w:val="nil"/>
              <w:right w:val="nil"/>
            </w:tcBorders>
            <w:shd w:val="clear" w:color="000000" w:fill="ADDCB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0.5182</w:t>
            </w:r>
          </w:p>
        </w:tc>
        <w:tc>
          <w:tcPr>
            <w:tcW w:w="2070" w:type="dxa"/>
            <w:tcBorders>
              <w:top w:val="nil"/>
              <w:left w:val="nil"/>
              <w:bottom w:val="nil"/>
              <w:right w:val="nil"/>
            </w:tcBorders>
            <w:shd w:val="clear" w:color="000000" w:fill="A0D7B0"/>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0.6018</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2010</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EDF6F2"/>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0.1036</w:t>
            </w:r>
          </w:p>
        </w:tc>
        <w:tc>
          <w:tcPr>
            <w:tcW w:w="1369" w:type="dxa"/>
            <w:tcBorders>
              <w:top w:val="nil"/>
              <w:left w:val="nil"/>
              <w:bottom w:val="nil"/>
              <w:right w:val="nil"/>
            </w:tcBorders>
            <w:shd w:val="clear" w:color="000000" w:fill="E5F3E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0.1550</w:t>
            </w:r>
          </w:p>
        </w:tc>
        <w:tc>
          <w:tcPr>
            <w:tcW w:w="1263" w:type="dxa"/>
            <w:tcBorders>
              <w:top w:val="nil"/>
              <w:left w:val="nil"/>
              <w:bottom w:val="nil"/>
              <w:right w:val="nil"/>
            </w:tcBorders>
            <w:shd w:val="clear" w:color="000000" w:fill="B3DFC0"/>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0.4803</w:t>
            </w:r>
          </w:p>
        </w:tc>
        <w:tc>
          <w:tcPr>
            <w:tcW w:w="1994" w:type="dxa"/>
            <w:tcBorders>
              <w:top w:val="nil"/>
              <w:left w:val="nil"/>
              <w:bottom w:val="nil"/>
              <w:right w:val="nil"/>
            </w:tcBorders>
            <w:shd w:val="clear" w:color="000000" w:fill="CDE9D6"/>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0.3108</w:t>
            </w:r>
          </w:p>
        </w:tc>
        <w:tc>
          <w:tcPr>
            <w:tcW w:w="2070" w:type="dxa"/>
            <w:tcBorders>
              <w:top w:val="nil"/>
              <w:left w:val="nil"/>
              <w:bottom w:val="nil"/>
              <w:right w:val="nil"/>
            </w:tcBorders>
            <w:shd w:val="clear" w:color="000000" w:fill="D6EDD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0.2519</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2011</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ABDC0"/>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-0.4230</w:t>
            </w:r>
          </w:p>
        </w:tc>
        <w:tc>
          <w:tcPr>
            <w:tcW w:w="1369" w:type="dxa"/>
            <w:tcBorders>
              <w:top w:val="nil"/>
              <w:left w:val="nil"/>
              <w:bottom w:val="nil"/>
              <w:right w:val="nil"/>
            </w:tcBorders>
            <w:shd w:val="clear" w:color="000000" w:fill="FAD7D9"/>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-0.2509</w:t>
            </w:r>
          </w:p>
        </w:tc>
        <w:tc>
          <w:tcPr>
            <w:tcW w:w="1263" w:type="dxa"/>
            <w:tcBorders>
              <w:top w:val="nil"/>
              <w:left w:val="nil"/>
              <w:bottom w:val="nil"/>
              <w:right w:val="nil"/>
            </w:tcBorders>
            <w:shd w:val="clear" w:color="000000" w:fill="B7E0C4"/>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0.4530</w:t>
            </w:r>
          </w:p>
        </w:tc>
        <w:tc>
          <w:tcPr>
            <w:tcW w:w="1994" w:type="dxa"/>
            <w:tcBorders>
              <w:top w:val="nil"/>
              <w:left w:val="nil"/>
              <w:bottom w:val="nil"/>
              <w:right w:val="nil"/>
            </w:tcBorders>
            <w:shd w:val="clear" w:color="000000" w:fill="FAC1C4"/>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-0.3957</w:t>
            </w:r>
          </w:p>
        </w:tc>
        <w:tc>
          <w:tcPr>
            <w:tcW w:w="2070" w:type="dxa"/>
            <w:tcBorders>
              <w:top w:val="nil"/>
              <w:left w:val="nil"/>
              <w:bottom w:val="nil"/>
              <w:right w:val="nil"/>
            </w:tcBorders>
            <w:shd w:val="clear" w:color="000000" w:fill="FBD8D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-0.2392</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2012</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BFCFF"/>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0.0068</w:t>
            </w:r>
          </w:p>
        </w:tc>
        <w:tc>
          <w:tcPr>
            <w:tcW w:w="1369" w:type="dxa"/>
            <w:tcBorders>
              <w:top w:val="nil"/>
              <w:left w:val="nil"/>
              <w:bottom w:val="nil"/>
              <w:right w:val="nil"/>
            </w:tcBorders>
            <w:shd w:val="clear" w:color="000000" w:fill="E8F4E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0.1364</w:t>
            </w:r>
          </w:p>
        </w:tc>
        <w:tc>
          <w:tcPr>
            <w:tcW w:w="1263" w:type="dxa"/>
            <w:tcBorders>
              <w:top w:val="nil"/>
              <w:left w:val="nil"/>
              <w:bottom w:val="nil"/>
              <w:right w:val="nil"/>
            </w:tcBorders>
            <w:shd w:val="clear" w:color="000000" w:fill="B3DFC0"/>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0.4835</w:t>
            </w:r>
          </w:p>
        </w:tc>
        <w:tc>
          <w:tcPr>
            <w:tcW w:w="1994" w:type="dxa"/>
            <w:tcBorders>
              <w:top w:val="nil"/>
              <w:left w:val="nil"/>
              <w:bottom w:val="nil"/>
              <w:right w:val="nil"/>
            </w:tcBorders>
            <w:shd w:val="clear" w:color="000000" w:fill="D3ECDC"/>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0.2694</w:t>
            </w:r>
          </w:p>
        </w:tc>
        <w:tc>
          <w:tcPr>
            <w:tcW w:w="2070" w:type="dxa"/>
            <w:tcBorders>
              <w:top w:val="nil"/>
              <w:left w:val="nil"/>
              <w:bottom w:val="nil"/>
              <w:right w:val="nil"/>
            </w:tcBorders>
            <w:shd w:val="clear" w:color="000000" w:fill="D5EDD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0.2575</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2013</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6FAFA"/>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0.0402</w:t>
            </w:r>
          </w:p>
        </w:tc>
        <w:tc>
          <w:tcPr>
            <w:tcW w:w="1369" w:type="dxa"/>
            <w:tcBorders>
              <w:top w:val="nil"/>
              <w:left w:val="nil"/>
              <w:bottom w:val="nil"/>
              <w:right w:val="nil"/>
            </w:tcBorders>
            <w:shd w:val="clear" w:color="000000" w:fill="DAEFE2"/>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0.2251</w:t>
            </w:r>
          </w:p>
        </w:tc>
        <w:tc>
          <w:tcPr>
            <w:tcW w:w="1263" w:type="dxa"/>
            <w:tcBorders>
              <w:top w:val="nil"/>
              <w:left w:val="nil"/>
              <w:bottom w:val="nil"/>
              <w:right w:val="nil"/>
            </w:tcBorders>
            <w:shd w:val="clear" w:color="000000" w:fill="CEEAD7"/>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0.3047</w:t>
            </w:r>
          </w:p>
        </w:tc>
        <w:tc>
          <w:tcPr>
            <w:tcW w:w="1994" w:type="dxa"/>
            <w:tcBorders>
              <w:top w:val="nil"/>
              <w:left w:val="nil"/>
              <w:bottom w:val="nil"/>
              <w:right w:val="nil"/>
            </w:tcBorders>
            <w:shd w:val="clear" w:color="000000" w:fill="C2E5C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0.3803</w:t>
            </w:r>
          </w:p>
        </w:tc>
        <w:tc>
          <w:tcPr>
            <w:tcW w:w="2070" w:type="dxa"/>
            <w:tcBorders>
              <w:top w:val="nil"/>
              <w:left w:val="nil"/>
              <w:bottom w:val="nil"/>
              <w:right w:val="nil"/>
            </w:tcBorders>
            <w:shd w:val="clear" w:color="000000" w:fill="CDE9D6"/>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0.3129</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2014</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BDAD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-0.2262</w:t>
            </w:r>
          </w:p>
        </w:tc>
        <w:tc>
          <w:tcPr>
            <w:tcW w:w="1369" w:type="dxa"/>
            <w:tcBorders>
              <w:top w:val="nil"/>
              <w:left w:val="nil"/>
              <w:bottom w:val="nil"/>
              <w:right w:val="nil"/>
            </w:tcBorders>
            <w:shd w:val="clear" w:color="000000" w:fill="FBEAE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-0.1195</w:t>
            </w:r>
          </w:p>
        </w:tc>
        <w:tc>
          <w:tcPr>
            <w:tcW w:w="1263" w:type="dxa"/>
            <w:tcBorders>
              <w:top w:val="nil"/>
              <w:left w:val="nil"/>
              <w:bottom w:val="nil"/>
              <w:right w:val="nil"/>
            </w:tcBorders>
            <w:shd w:val="clear" w:color="000000" w:fill="BFE4CA"/>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0.4029</w:t>
            </w:r>
          </w:p>
        </w:tc>
        <w:tc>
          <w:tcPr>
            <w:tcW w:w="1994" w:type="dxa"/>
            <w:tcBorders>
              <w:top w:val="nil"/>
              <w:left w:val="nil"/>
              <w:bottom w:val="nil"/>
              <w:right w:val="nil"/>
            </w:tcBorders>
            <w:shd w:val="clear" w:color="000000" w:fill="FBF5F8"/>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-0.0445</w:t>
            </w:r>
          </w:p>
        </w:tc>
        <w:tc>
          <w:tcPr>
            <w:tcW w:w="2070" w:type="dxa"/>
            <w:tcBorders>
              <w:top w:val="nil"/>
              <w:left w:val="nil"/>
              <w:bottom w:val="nil"/>
              <w:right w:val="nil"/>
            </w:tcBorders>
            <w:shd w:val="clear" w:color="000000" w:fill="FBF5F8"/>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-0.0470</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2015</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BD8D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-0.2431</w:t>
            </w:r>
          </w:p>
        </w:tc>
        <w:tc>
          <w:tcPr>
            <w:tcW w:w="1369" w:type="dxa"/>
            <w:tcBorders>
              <w:top w:val="nil"/>
              <w:left w:val="nil"/>
              <w:bottom w:val="nil"/>
              <w:right w:val="nil"/>
            </w:tcBorders>
            <w:shd w:val="clear" w:color="000000" w:fill="FABEC1"/>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-0.4152</w:t>
            </w:r>
          </w:p>
        </w:tc>
        <w:tc>
          <w:tcPr>
            <w:tcW w:w="1263" w:type="dxa"/>
            <w:tcBorders>
              <w:top w:val="nil"/>
              <w:left w:val="nil"/>
              <w:bottom w:val="nil"/>
              <w:right w:val="nil"/>
            </w:tcBorders>
            <w:shd w:val="clear" w:color="000000" w:fill="B8E1C5"/>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0.4450</w:t>
            </w:r>
          </w:p>
        </w:tc>
        <w:tc>
          <w:tcPr>
            <w:tcW w:w="1994" w:type="dxa"/>
            <w:tcBorders>
              <w:top w:val="nil"/>
              <w:left w:val="nil"/>
              <w:bottom w:val="nil"/>
              <w:right w:val="nil"/>
            </w:tcBorders>
            <w:shd w:val="clear" w:color="000000" w:fill="FBD8D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-0.2396</w:t>
            </w:r>
          </w:p>
        </w:tc>
        <w:tc>
          <w:tcPr>
            <w:tcW w:w="2070" w:type="dxa"/>
            <w:tcBorders>
              <w:top w:val="nil"/>
              <w:left w:val="nil"/>
              <w:bottom w:val="nil"/>
              <w:right w:val="nil"/>
            </w:tcBorders>
            <w:shd w:val="clear" w:color="000000" w:fill="FABFC1"/>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-0.4139</w:t>
            </w:r>
          </w:p>
        </w:tc>
      </w:tr>
      <w:tr w:rsidR="007F3835" w:rsidRPr="007F3835" w:rsidTr="007F3835">
        <w:trPr>
          <w:trHeight w:val="300"/>
        </w:trPr>
        <w:tc>
          <w:tcPr>
            <w:tcW w:w="687" w:type="dxa"/>
            <w:tcBorders>
              <w:top w:val="nil"/>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2016</w:t>
            </w:r>
          </w:p>
        </w:tc>
        <w:tc>
          <w:tcPr>
            <w:tcW w:w="858" w:type="dxa"/>
            <w:tcBorders>
              <w:top w:val="nil"/>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nil"/>
              <w:left w:val="nil"/>
              <w:bottom w:val="nil"/>
              <w:right w:val="nil"/>
            </w:tcBorders>
            <w:shd w:val="clear" w:color="000000" w:fill="FBFCF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0.0099</w:t>
            </w:r>
          </w:p>
        </w:tc>
        <w:tc>
          <w:tcPr>
            <w:tcW w:w="1369" w:type="dxa"/>
            <w:tcBorders>
              <w:top w:val="nil"/>
              <w:left w:val="nil"/>
              <w:bottom w:val="nil"/>
              <w:right w:val="nil"/>
            </w:tcBorders>
            <w:shd w:val="clear" w:color="000000" w:fill="E6F3EC"/>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0.1501</w:t>
            </w:r>
          </w:p>
        </w:tc>
        <w:tc>
          <w:tcPr>
            <w:tcW w:w="1263" w:type="dxa"/>
            <w:tcBorders>
              <w:top w:val="nil"/>
              <w:left w:val="nil"/>
              <w:bottom w:val="nil"/>
              <w:right w:val="nil"/>
            </w:tcBorders>
            <w:shd w:val="clear" w:color="000000" w:fill="9DD6AD"/>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0.6216</w:t>
            </w:r>
          </w:p>
        </w:tc>
        <w:tc>
          <w:tcPr>
            <w:tcW w:w="1994" w:type="dxa"/>
            <w:tcBorders>
              <w:top w:val="nil"/>
              <w:left w:val="nil"/>
              <w:bottom w:val="nil"/>
              <w:right w:val="nil"/>
            </w:tcBorders>
            <w:shd w:val="clear" w:color="000000" w:fill="E8F4EE"/>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0.1320</w:t>
            </w:r>
          </w:p>
        </w:tc>
        <w:tc>
          <w:tcPr>
            <w:tcW w:w="2070" w:type="dxa"/>
            <w:tcBorders>
              <w:top w:val="nil"/>
              <w:left w:val="nil"/>
              <w:bottom w:val="nil"/>
              <w:right w:val="nil"/>
            </w:tcBorders>
            <w:shd w:val="clear" w:color="000000" w:fill="DAEFE2"/>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0.2247</w:t>
            </w:r>
          </w:p>
        </w:tc>
      </w:tr>
      <w:tr w:rsidR="007F3835" w:rsidRPr="007F3835" w:rsidTr="007F3835">
        <w:trPr>
          <w:trHeight w:val="300"/>
        </w:trPr>
        <w:tc>
          <w:tcPr>
            <w:tcW w:w="687" w:type="dxa"/>
            <w:tcBorders>
              <w:top w:val="single" w:sz="4" w:space="0" w:color="auto"/>
              <w:left w:val="nil"/>
              <w:bottom w:val="nil"/>
              <w:right w:val="nil"/>
            </w:tcBorders>
            <w:shd w:val="clear" w:color="auto" w:fill="auto"/>
            <w:noWrap/>
            <w:vAlign w:val="bottom"/>
            <w:hideMark/>
          </w:tcPr>
          <w:p w:rsidR="007F3835" w:rsidRPr="007F3835" w:rsidRDefault="007F3835" w:rsidP="007F3835">
            <w:pPr>
              <w:contextualSpacing w:val="0"/>
              <w:rPr>
                <w:rFonts w:ascii="Calibri" w:eastAsia="Times New Roman" w:hAnsi="Calibri" w:cs="Calibri"/>
                <w:color w:val="000000"/>
                <w:sz w:val="22"/>
              </w:rPr>
            </w:pPr>
            <w:r w:rsidRPr="007F3835">
              <w:rPr>
                <w:rFonts w:ascii="Calibri" w:eastAsia="Times New Roman" w:hAnsi="Calibri" w:cs="Calibri"/>
                <w:color w:val="000000"/>
                <w:sz w:val="22"/>
              </w:rPr>
              <w:t>Avg.</w:t>
            </w:r>
          </w:p>
        </w:tc>
        <w:tc>
          <w:tcPr>
            <w:tcW w:w="858" w:type="dxa"/>
            <w:tcBorders>
              <w:top w:val="single" w:sz="4" w:space="0" w:color="auto"/>
              <w:left w:val="nil"/>
              <w:bottom w:val="nil"/>
              <w:right w:val="nil"/>
            </w:tcBorders>
            <w:shd w:val="clear" w:color="auto" w:fill="auto"/>
            <w:noWrap/>
            <w:vAlign w:val="bottom"/>
            <w:hideMark/>
          </w:tcPr>
          <w:p w:rsidR="007F3835" w:rsidRPr="007F3835" w:rsidRDefault="007F3835" w:rsidP="007F3835">
            <w:pPr>
              <w:contextualSpacing w:val="0"/>
              <w:jc w:val="center"/>
              <w:rPr>
                <w:rFonts w:ascii="Calibri" w:eastAsia="Times New Roman" w:hAnsi="Calibri" w:cs="Calibri"/>
                <w:color w:val="000000"/>
                <w:sz w:val="22"/>
              </w:rPr>
            </w:pPr>
            <w:r w:rsidRPr="007F3835">
              <w:rPr>
                <w:rFonts w:ascii="Calibri" w:eastAsia="Times New Roman" w:hAnsi="Calibri" w:cs="Calibri"/>
                <w:color w:val="000000"/>
                <w:sz w:val="22"/>
              </w:rPr>
              <w:t>468</w:t>
            </w:r>
          </w:p>
        </w:tc>
        <w:tc>
          <w:tcPr>
            <w:tcW w:w="1224" w:type="dxa"/>
            <w:tcBorders>
              <w:top w:val="single" w:sz="4" w:space="0" w:color="auto"/>
              <w:left w:val="nil"/>
              <w:bottom w:val="nil"/>
              <w:right w:val="nil"/>
            </w:tcBorders>
            <w:shd w:val="clear" w:color="000000" w:fill="FBF6F9"/>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-0.0366</w:t>
            </w:r>
          </w:p>
        </w:tc>
        <w:tc>
          <w:tcPr>
            <w:tcW w:w="1369" w:type="dxa"/>
            <w:tcBorders>
              <w:top w:val="single" w:sz="4" w:space="0" w:color="auto"/>
              <w:left w:val="nil"/>
              <w:bottom w:val="nil"/>
              <w:right w:val="nil"/>
            </w:tcBorders>
            <w:shd w:val="clear" w:color="000000" w:fill="F6FAF9"/>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0.0455</w:t>
            </w:r>
          </w:p>
        </w:tc>
        <w:tc>
          <w:tcPr>
            <w:tcW w:w="1263" w:type="dxa"/>
            <w:tcBorders>
              <w:top w:val="single" w:sz="4" w:space="0" w:color="auto"/>
              <w:left w:val="nil"/>
              <w:bottom w:val="nil"/>
              <w:right w:val="nil"/>
            </w:tcBorders>
            <w:shd w:val="clear" w:color="000000" w:fill="AEDDBB"/>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0.5159</w:t>
            </w:r>
          </w:p>
        </w:tc>
        <w:tc>
          <w:tcPr>
            <w:tcW w:w="1994" w:type="dxa"/>
            <w:tcBorders>
              <w:top w:val="single" w:sz="4" w:space="0" w:color="auto"/>
              <w:left w:val="nil"/>
              <w:bottom w:val="nil"/>
              <w:right w:val="nil"/>
            </w:tcBorders>
            <w:shd w:val="clear" w:color="000000" w:fill="F1F8F5"/>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0.0764</w:t>
            </w:r>
          </w:p>
        </w:tc>
        <w:tc>
          <w:tcPr>
            <w:tcW w:w="2070" w:type="dxa"/>
            <w:tcBorders>
              <w:top w:val="single" w:sz="4" w:space="0" w:color="auto"/>
              <w:left w:val="nil"/>
              <w:bottom w:val="nil"/>
              <w:right w:val="nil"/>
            </w:tcBorders>
            <w:shd w:val="clear" w:color="000000" w:fill="F0F7F4"/>
            <w:noWrap/>
            <w:vAlign w:val="bottom"/>
            <w:hideMark/>
          </w:tcPr>
          <w:p w:rsidR="007F3835" w:rsidRPr="007F3835" w:rsidRDefault="007F3835" w:rsidP="007F3835">
            <w:pPr>
              <w:contextualSpacing w:val="0"/>
              <w:jc w:val="right"/>
              <w:rPr>
                <w:rFonts w:ascii="Calibri" w:eastAsia="Times New Roman" w:hAnsi="Calibri" w:cs="Calibri"/>
                <w:color w:val="000000"/>
                <w:sz w:val="22"/>
              </w:rPr>
            </w:pPr>
            <w:r w:rsidRPr="007F3835">
              <w:rPr>
                <w:rFonts w:ascii="Calibri" w:eastAsia="Times New Roman" w:hAnsi="Calibri" w:cs="Calibri"/>
                <w:color w:val="000000"/>
                <w:sz w:val="22"/>
              </w:rPr>
              <w:t>0.0845</w:t>
            </w:r>
          </w:p>
        </w:tc>
      </w:tr>
    </w:tbl>
    <w:p w:rsidR="00BE2E87" w:rsidRDefault="00BE2E87" w:rsidP="00BD2153"/>
    <w:p w:rsidR="00BC4B6B" w:rsidRDefault="00BC4B6B" w:rsidP="00BD2153">
      <w:r>
        <w:t xml:space="preserve">The correlation between alpha and any of these terms is spurious.  The correlation of average returns to volatility (as measured by beta or std. error) is also inconsistent.  The one relationship that appears to be persistent is that between beta and standard error.  Beta measures the volatility of the stock relative to the market, and the standard error measures the variability remaining after accounting for the market fluctuations.  The results above imply that </w:t>
      </w:r>
      <w:proofErr w:type="gramStart"/>
      <w:r>
        <w:t>stocks which are volatile</w:t>
      </w:r>
      <w:proofErr w:type="gramEnd"/>
      <w:r>
        <w:t xml:space="preserve"> are volatile on both measures.</w:t>
      </w:r>
    </w:p>
    <w:p w:rsidR="00BC4B6B" w:rsidRDefault="00BC4B6B" w:rsidP="00BD2153"/>
    <w:p w:rsidR="007C4D50" w:rsidRDefault="00BC4B6B" w:rsidP="00BD2153">
      <w:r>
        <w:lastRenderedPageBreak/>
        <w:t>Next, we</w:t>
      </w:r>
      <w:r w:rsidR="007C4D50">
        <w:t xml:space="preserve"> look to address the question of persistence.  Do last year’s values of alpha and beta help us predict this </w:t>
      </w:r>
      <w:proofErr w:type="gramStart"/>
      <w:r w:rsidR="007C4D50">
        <w:t>year’s</w:t>
      </w:r>
      <w:proofErr w:type="gramEnd"/>
      <w:r w:rsidR="007C4D50">
        <w:t>?  The chart below shows the results for 2008 through 2016.  These match well with what we had seen earlier: while it is difficult to predict next year’s returns (or excess returns) based on last year’s, volatility (and volatility relative to the market) due appea</w:t>
      </w:r>
      <w:r w:rsidR="00C72F93">
        <w:t xml:space="preserve">r to persist.  If a stock’s movements </w:t>
      </w:r>
      <w:proofErr w:type="gramStart"/>
      <w:r w:rsidR="00C72F93">
        <w:t>were correlated</w:t>
      </w:r>
      <w:proofErr w:type="gramEnd"/>
      <w:r w:rsidR="00C72F93">
        <w:t xml:space="preserve"> with the market last year, they are likely to be correlated in a similar way this year.  Similarly, if the residual error of the stock after accounting for this correlation was large last year (i.e. the stock was volatile), this is likely to be true this year as well.</w:t>
      </w:r>
    </w:p>
    <w:p w:rsidR="007C4D50" w:rsidRDefault="007C4D50" w:rsidP="00BD2153"/>
    <w:p w:rsidR="00BE2E87" w:rsidRPr="00BE2E87" w:rsidRDefault="00BE2E87" w:rsidP="00BD2153">
      <w:pPr>
        <w:rPr>
          <w:i/>
        </w:rPr>
      </w:pPr>
      <w:r w:rsidRPr="00BE2E87">
        <w:rPr>
          <w:i/>
        </w:rPr>
        <w:t xml:space="preserve">Table </w:t>
      </w:r>
      <w:r w:rsidR="007F3835">
        <w:rPr>
          <w:i/>
        </w:rPr>
        <w:t>5</w:t>
      </w:r>
      <w:r w:rsidRPr="00BE2E87">
        <w:rPr>
          <w:i/>
        </w:rPr>
        <w:t>: Correlation of Alpha, Beta, and Residual Error with Previous Year</w:t>
      </w:r>
    </w:p>
    <w:p w:rsidR="00BE2E87" w:rsidRDefault="00BE2E87" w:rsidP="00BD2153"/>
    <w:tbl>
      <w:tblPr>
        <w:tblW w:w="8440" w:type="dxa"/>
        <w:tblInd w:w="93" w:type="dxa"/>
        <w:tblLook w:val="04A0" w:firstRow="1" w:lastRow="0" w:firstColumn="1" w:lastColumn="0" w:noHBand="0" w:noVBand="1"/>
      </w:tblPr>
      <w:tblGrid>
        <w:gridCol w:w="960"/>
        <w:gridCol w:w="960"/>
        <w:gridCol w:w="1075"/>
        <w:gridCol w:w="965"/>
        <w:gridCol w:w="1040"/>
        <w:gridCol w:w="360"/>
        <w:gridCol w:w="1075"/>
        <w:gridCol w:w="965"/>
        <w:gridCol w:w="1040"/>
      </w:tblGrid>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3080" w:type="dxa"/>
            <w:gridSpan w:val="3"/>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jc w:val="center"/>
              <w:rPr>
                <w:rFonts w:ascii="Calibri" w:eastAsia="Times New Roman" w:hAnsi="Calibri" w:cs="Calibri"/>
                <w:color w:val="000000"/>
                <w:sz w:val="22"/>
              </w:rPr>
            </w:pPr>
            <w:r w:rsidRPr="007C4D50">
              <w:rPr>
                <w:rFonts w:ascii="Calibri" w:eastAsia="Times New Roman" w:hAnsi="Calibri" w:cs="Calibri"/>
                <w:color w:val="000000"/>
                <w:sz w:val="22"/>
              </w:rPr>
              <w:t>Arithmetic Returns</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center"/>
              <w:rPr>
                <w:rFonts w:ascii="Calibri" w:eastAsia="Times New Roman" w:hAnsi="Calibri" w:cs="Calibri"/>
                <w:color w:val="000000"/>
                <w:sz w:val="22"/>
              </w:rPr>
            </w:pPr>
          </w:p>
        </w:tc>
        <w:tc>
          <w:tcPr>
            <w:tcW w:w="3080" w:type="dxa"/>
            <w:gridSpan w:val="3"/>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jc w:val="center"/>
              <w:rPr>
                <w:rFonts w:ascii="Calibri" w:eastAsia="Times New Roman" w:hAnsi="Calibri" w:cs="Calibri"/>
                <w:color w:val="000000"/>
                <w:sz w:val="22"/>
              </w:rPr>
            </w:pPr>
            <w:r w:rsidRPr="007C4D50">
              <w:rPr>
                <w:rFonts w:ascii="Calibri" w:eastAsia="Times New Roman" w:hAnsi="Calibri" w:cs="Calibri"/>
                <w:color w:val="000000"/>
                <w:sz w:val="22"/>
              </w:rPr>
              <w:t>Logarithmic Returns</w:t>
            </w:r>
          </w:p>
        </w:tc>
      </w:tr>
      <w:tr w:rsidR="007C4D50" w:rsidRPr="007C4D50" w:rsidTr="007C4D50">
        <w:trPr>
          <w:trHeight w:val="300"/>
        </w:trPr>
        <w:tc>
          <w:tcPr>
            <w:tcW w:w="9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year</w:t>
            </w:r>
          </w:p>
        </w:tc>
        <w:tc>
          <w:tcPr>
            <w:tcW w:w="9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n.stocks</w:t>
            </w:r>
            <w:proofErr w:type="spellEnd"/>
          </w:p>
        </w:tc>
        <w:tc>
          <w:tcPr>
            <w:tcW w:w="1075" w:type="dxa"/>
            <w:tcBorders>
              <w:top w:val="nil"/>
              <w:left w:val="nil"/>
              <w:bottom w:val="single" w:sz="4" w:space="0" w:color="auto"/>
              <w:right w:val="nil"/>
            </w:tcBorders>
            <w:shd w:val="clear" w:color="auto" w:fill="auto"/>
            <w:noWrap/>
            <w:vAlign w:val="bottom"/>
            <w:hideMark/>
          </w:tcPr>
          <w:p w:rsidR="007C4D50" w:rsidRPr="007C4D50" w:rsidRDefault="00BE2E87" w:rsidP="007C4D50">
            <w:pPr>
              <w:contextualSpacing w:val="0"/>
              <w:rPr>
                <w:rFonts w:ascii="Calibri" w:eastAsia="Times New Roman" w:hAnsi="Calibri" w:cs="Calibri"/>
                <w:color w:val="000000"/>
                <w:sz w:val="22"/>
              </w:rPr>
            </w:pPr>
            <w:r>
              <w:rPr>
                <w:rFonts w:ascii="Calibri" w:eastAsia="Times New Roman" w:hAnsi="Calibri" w:cs="Calibri"/>
                <w:color w:val="000000"/>
                <w:sz w:val="22"/>
              </w:rPr>
              <w:t>Alpha</w:t>
            </w:r>
          </w:p>
        </w:tc>
        <w:tc>
          <w:tcPr>
            <w:tcW w:w="965"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cor.beta</w:t>
            </w:r>
            <w:proofErr w:type="spellEnd"/>
          </w:p>
        </w:tc>
        <w:tc>
          <w:tcPr>
            <w:tcW w:w="104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cor.sderr</w:t>
            </w:r>
            <w:proofErr w:type="spellEnd"/>
          </w:p>
        </w:tc>
        <w:tc>
          <w:tcPr>
            <w:tcW w:w="3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 </w:t>
            </w:r>
          </w:p>
        </w:tc>
        <w:tc>
          <w:tcPr>
            <w:tcW w:w="1075"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cor.alpha</w:t>
            </w:r>
            <w:proofErr w:type="spellEnd"/>
          </w:p>
        </w:tc>
        <w:tc>
          <w:tcPr>
            <w:tcW w:w="965"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cor.beta</w:t>
            </w:r>
            <w:proofErr w:type="spellEnd"/>
          </w:p>
        </w:tc>
        <w:tc>
          <w:tcPr>
            <w:tcW w:w="104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cor.sderr</w:t>
            </w:r>
            <w:proofErr w:type="spellEnd"/>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2008</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BE4E6"/>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-0.1632</w:t>
            </w:r>
          </w:p>
        </w:tc>
        <w:tc>
          <w:tcPr>
            <w:tcW w:w="965" w:type="dxa"/>
            <w:tcBorders>
              <w:top w:val="nil"/>
              <w:left w:val="nil"/>
              <w:bottom w:val="nil"/>
              <w:right w:val="nil"/>
            </w:tcBorders>
            <w:shd w:val="clear" w:color="000000" w:fill="92D1A4"/>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0.6938</w:t>
            </w:r>
          </w:p>
        </w:tc>
        <w:tc>
          <w:tcPr>
            <w:tcW w:w="1040" w:type="dxa"/>
            <w:tcBorders>
              <w:top w:val="nil"/>
              <w:left w:val="nil"/>
              <w:bottom w:val="nil"/>
              <w:right w:val="nil"/>
            </w:tcBorders>
            <w:shd w:val="clear" w:color="000000" w:fill="B7E0C4"/>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0.4537</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BF3F6"/>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-0.0579</w:t>
            </w:r>
          </w:p>
        </w:tc>
        <w:tc>
          <w:tcPr>
            <w:tcW w:w="965" w:type="dxa"/>
            <w:tcBorders>
              <w:top w:val="nil"/>
              <w:left w:val="nil"/>
              <w:bottom w:val="nil"/>
              <w:right w:val="nil"/>
            </w:tcBorders>
            <w:shd w:val="clear" w:color="000000" w:fill="92D1A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0.6978</w:t>
            </w:r>
          </w:p>
        </w:tc>
        <w:tc>
          <w:tcPr>
            <w:tcW w:w="1040" w:type="dxa"/>
            <w:tcBorders>
              <w:top w:val="nil"/>
              <w:left w:val="nil"/>
              <w:bottom w:val="nil"/>
              <w:right w:val="nil"/>
            </w:tcBorders>
            <w:shd w:val="clear" w:color="000000" w:fill="BBE2C7"/>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0.4310</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2009</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AC1C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-0.4008</w:t>
            </w:r>
          </w:p>
        </w:tc>
        <w:tc>
          <w:tcPr>
            <w:tcW w:w="965" w:type="dxa"/>
            <w:tcBorders>
              <w:top w:val="nil"/>
              <w:left w:val="nil"/>
              <w:bottom w:val="nil"/>
              <w:right w:val="nil"/>
            </w:tcBorders>
            <w:shd w:val="clear" w:color="000000" w:fill="80CA94"/>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0.8137</w:t>
            </w:r>
          </w:p>
        </w:tc>
        <w:tc>
          <w:tcPr>
            <w:tcW w:w="1040" w:type="dxa"/>
            <w:tcBorders>
              <w:top w:val="nil"/>
              <w:left w:val="nil"/>
              <w:bottom w:val="nil"/>
              <w:right w:val="nil"/>
            </w:tcBorders>
            <w:shd w:val="clear" w:color="000000" w:fill="7CC891"/>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0.8394</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ABDBF"/>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-0.4278</w:t>
            </w:r>
          </w:p>
        </w:tc>
        <w:tc>
          <w:tcPr>
            <w:tcW w:w="965" w:type="dxa"/>
            <w:tcBorders>
              <w:top w:val="nil"/>
              <w:left w:val="nil"/>
              <w:bottom w:val="nil"/>
              <w:right w:val="nil"/>
            </w:tcBorders>
            <w:shd w:val="clear" w:color="000000" w:fill="7FCA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0.8199</w:t>
            </w:r>
          </w:p>
        </w:tc>
        <w:tc>
          <w:tcPr>
            <w:tcW w:w="1040" w:type="dxa"/>
            <w:tcBorders>
              <w:top w:val="nil"/>
              <w:left w:val="nil"/>
              <w:bottom w:val="nil"/>
              <w:right w:val="nil"/>
            </w:tcBorders>
            <w:shd w:val="clear" w:color="000000" w:fill="7BC89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0.8437</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2010</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ECF6F1"/>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0.1107</w:t>
            </w:r>
          </w:p>
        </w:tc>
        <w:tc>
          <w:tcPr>
            <w:tcW w:w="965" w:type="dxa"/>
            <w:tcBorders>
              <w:top w:val="nil"/>
              <w:left w:val="nil"/>
              <w:bottom w:val="nil"/>
              <w:right w:val="nil"/>
            </w:tcBorders>
            <w:shd w:val="clear" w:color="000000" w:fill="7FCA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0.8216</w:t>
            </w:r>
          </w:p>
        </w:tc>
        <w:tc>
          <w:tcPr>
            <w:tcW w:w="1040" w:type="dxa"/>
            <w:tcBorders>
              <w:top w:val="nil"/>
              <w:left w:val="nil"/>
              <w:bottom w:val="nil"/>
              <w:right w:val="nil"/>
            </w:tcBorders>
            <w:shd w:val="clear" w:color="000000" w:fill="9ED6AE"/>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0.6169</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7FAFB"/>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0.0374</w:t>
            </w:r>
          </w:p>
        </w:tc>
        <w:tc>
          <w:tcPr>
            <w:tcW w:w="965" w:type="dxa"/>
            <w:tcBorders>
              <w:top w:val="nil"/>
              <w:left w:val="nil"/>
              <w:bottom w:val="nil"/>
              <w:right w:val="nil"/>
            </w:tcBorders>
            <w:shd w:val="clear" w:color="000000" w:fill="7FCA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0.8223</w:t>
            </w:r>
          </w:p>
        </w:tc>
        <w:tc>
          <w:tcPr>
            <w:tcW w:w="1040" w:type="dxa"/>
            <w:tcBorders>
              <w:top w:val="nil"/>
              <w:left w:val="nil"/>
              <w:bottom w:val="nil"/>
              <w:right w:val="nil"/>
            </w:tcBorders>
            <w:shd w:val="clear" w:color="000000" w:fill="9FD6AE"/>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0.6138</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2011</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AFBFD"/>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0.0187</w:t>
            </w:r>
          </w:p>
        </w:tc>
        <w:tc>
          <w:tcPr>
            <w:tcW w:w="965" w:type="dxa"/>
            <w:tcBorders>
              <w:top w:val="nil"/>
              <w:left w:val="nil"/>
              <w:bottom w:val="nil"/>
              <w:right w:val="nil"/>
            </w:tcBorders>
            <w:shd w:val="clear" w:color="000000" w:fill="7BC89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0.8440</w:t>
            </w:r>
          </w:p>
        </w:tc>
        <w:tc>
          <w:tcPr>
            <w:tcW w:w="1040" w:type="dxa"/>
            <w:tcBorders>
              <w:top w:val="nil"/>
              <w:left w:val="nil"/>
              <w:bottom w:val="nil"/>
              <w:right w:val="nil"/>
            </w:tcBorders>
            <w:shd w:val="clear" w:color="000000" w:fill="8CCF9E"/>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0.7352</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6FAFA"/>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0.0398</w:t>
            </w:r>
          </w:p>
        </w:tc>
        <w:tc>
          <w:tcPr>
            <w:tcW w:w="965" w:type="dxa"/>
            <w:tcBorders>
              <w:top w:val="nil"/>
              <w:left w:val="nil"/>
              <w:bottom w:val="nil"/>
              <w:right w:val="nil"/>
            </w:tcBorders>
            <w:shd w:val="clear" w:color="000000" w:fill="7BC89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0.8441</w:t>
            </w:r>
          </w:p>
        </w:tc>
        <w:tc>
          <w:tcPr>
            <w:tcW w:w="1040" w:type="dxa"/>
            <w:tcBorders>
              <w:top w:val="nil"/>
              <w:left w:val="nil"/>
              <w:bottom w:val="nil"/>
              <w:right w:val="nil"/>
            </w:tcBorders>
            <w:shd w:val="clear" w:color="000000" w:fill="8CCF9F"/>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0.7336</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2012</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4F9F8"/>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0.0580</w:t>
            </w:r>
          </w:p>
        </w:tc>
        <w:tc>
          <w:tcPr>
            <w:tcW w:w="965" w:type="dxa"/>
            <w:tcBorders>
              <w:top w:val="nil"/>
              <w:left w:val="nil"/>
              <w:bottom w:val="nil"/>
              <w:right w:val="nil"/>
            </w:tcBorders>
            <w:shd w:val="clear" w:color="000000" w:fill="7EC9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0.8247</w:t>
            </w:r>
          </w:p>
        </w:tc>
        <w:tc>
          <w:tcPr>
            <w:tcW w:w="1040" w:type="dxa"/>
            <w:tcBorders>
              <w:top w:val="nil"/>
              <w:left w:val="nil"/>
              <w:bottom w:val="nil"/>
              <w:right w:val="nil"/>
            </w:tcBorders>
            <w:shd w:val="clear" w:color="000000" w:fill="82CB95"/>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0.8033</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2F8F6"/>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0.0696</w:t>
            </w:r>
          </w:p>
        </w:tc>
        <w:tc>
          <w:tcPr>
            <w:tcW w:w="965" w:type="dxa"/>
            <w:tcBorders>
              <w:top w:val="nil"/>
              <w:left w:val="nil"/>
              <w:bottom w:val="nil"/>
              <w:right w:val="nil"/>
            </w:tcBorders>
            <w:shd w:val="clear" w:color="000000" w:fill="7EC9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0.8251</w:t>
            </w:r>
          </w:p>
        </w:tc>
        <w:tc>
          <w:tcPr>
            <w:tcW w:w="1040" w:type="dxa"/>
            <w:tcBorders>
              <w:top w:val="nil"/>
              <w:left w:val="nil"/>
              <w:bottom w:val="nil"/>
              <w:right w:val="nil"/>
            </w:tcBorders>
            <w:shd w:val="clear" w:color="000000" w:fill="82CB96"/>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0.8012</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2013</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BF3F6"/>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-0.0577</w:t>
            </w:r>
          </w:p>
        </w:tc>
        <w:tc>
          <w:tcPr>
            <w:tcW w:w="965" w:type="dxa"/>
            <w:tcBorders>
              <w:top w:val="nil"/>
              <w:left w:val="nil"/>
              <w:bottom w:val="nil"/>
              <w:right w:val="nil"/>
            </w:tcBorders>
            <w:shd w:val="clear" w:color="000000" w:fill="8ED0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0.7217</w:t>
            </w:r>
          </w:p>
        </w:tc>
        <w:tc>
          <w:tcPr>
            <w:tcW w:w="1040" w:type="dxa"/>
            <w:tcBorders>
              <w:top w:val="nil"/>
              <w:left w:val="nil"/>
              <w:bottom w:val="nil"/>
              <w:right w:val="nil"/>
            </w:tcBorders>
            <w:shd w:val="clear" w:color="000000" w:fill="7EC99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0.8236</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BEEF1"/>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-0.0910</w:t>
            </w:r>
          </w:p>
        </w:tc>
        <w:tc>
          <w:tcPr>
            <w:tcW w:w="965" w:type="dxa"/>
            <w:tcBorders>
              <w:top w:val="nil"/>
              <w:left w:val="nil"/>
              <w:bottom w:val="nil"/>
              <w:right w:val="nil"/>
            </w:tcBorders>
            <w:shd w:val="clear" w:color="000000" w:fill="8ED0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0.7247</w:t>
            </w:r>
          </w:p>
        </w:tc>
        <w:tc>
          <w:tcPr>
            <w:tcW w:w="1040" w:type="dxa"/>
            <w:tcBorders>
              <w:top w:val="nil"/>
              <w:left w:val="nil"/>
              <w:bottom w:val="nil"/>
              <w:right w:val="nil"/>
            </w:tcBorders>
            <w:shd w:val="clear" w:color="000000" w:fill="80CA94"/>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0.8147</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2014</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6FAFA"/>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0.0400</w:t>
            </w:r>
          </w:p>
        </w:tc>
        <w:tc>
          <w:tcPr>
            <w:tcW w:w="965" w:type="dxa"/>
            <w:tcBorders>
              <w:top w:val="nil"/>
              <w:left w:val="nil"/>
              <w:bottom w:val="nil"/>
              <w:right w:val="nil"/>
            </w:tcBorders>
            <w:shd w:val="clear" w:color="000000" w:fill="96D3A7"/>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0.6681</w:t>
            </w:r>
          </w:p>
        </w:tc>
        <w:tc>
          <w:tcPr>
            <w:tcW w:w="1040" w:type="dxa"/>
            <w:tcBorders>
              <w:top w:val="nil"/>
              <w:left w:val="nil"/>
              <w:bottom w:val="nil"/>
              <w:right w:val="nil"/>
            </w:tcBorders>
            <w:shd w:val="clear" w:color="000000" w:fill="89CE9C"/>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0.7558</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9FBFC"/>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0.0253</w:t>
            </w:r>
          </w:p>
        </w:tc>
        <w:tc>
          <w:tcPr>
            <w:tcW w:w="965" w:type="dxa"/>
            <w:tcBorders>
              <w:top w:val="nil"/>
              <w:left w:val="nil"/>
              <w:bottom w:val="nil"/>
              <w:right w:val="nil"/>
            </w:tcBorders>
            <w:shd w:val="clear" w:color="000000" w:fill="96D3A7"/>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0.6689</w:t>
            </w:r>
          </w:p>
        </w:tc>
        <w:tc>
          <w:tcPr>
            <w:tcW w:w="1040" w:type="dxa"/>
            <w:tcBorders>
              <w:top w:val="nil"/>
              <w:left w:val="nil"/>
              <w:bottom w:val="nil"/>
              <w:right w:val="nil"/>
            </w:tcBorders>
            <w:shd w:val="clear" w:color="000000" w:fill="8BCE9D"/>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0.7450</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2015</w:t>
            </w:r>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C9E8D3"/>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0.3341</w:t>
            </w:r>
          </w:p>
        </w:tc>
        <w:tc>
          <w:tcPr>
            <w:tcW w:w="965" w:type="dxa"/>
            <w:tcBorders>
              <w:top w:val="nil"/>
              <w:left w:val="nil"/>
              <w:bottom w:val="nil"/>
              <w:right w:val="nil"/>
            </w:tcBorders>
            <w:shd w:val="clear" w:color="000000" w:fill="8ED0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0.7203</w:t>
            </w:r>
          </w:p>
        </w:tc>
        <w:tc>
          <w:tcPr>
            <w:tcW w:w="1040" w:type="dxa"/>
            <w:tcBorders>
              <w:top w:val="nil"/>
              <w:left w:val="nil"/>
              <w:bottom w:val="nil"/>
              <w:right w:val="nil"/>
            </w:tcBorders>
            <w:shd w:val="clear" w:color="000000" w:fill="8ED0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0.7215</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C4E6CF"/>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0.3672</w:t>
            </w:r>
          </w:p>
        </w:tc>
        <w:tc>
          <w:tcPr>
            <w:tcW w:w="965" w:type="dxa"/>
            <w:tcBorders>
              <w:top w:val="nil"/>
              <w:left w:val="nil"/>
              <w:bottom w:val="nil"/>
              <w:right w:val="nil"/>
            </w:tcBorders>
            <w:shd w:val="clear" w:color="000000" w:fill="8ED0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0.7209</w:t>
            </w:r>
          </w:p>
        </w:tc>
        <w:tc>
          <w:tcPr>
            <w:tcW w:w="1040" w:type="dxa"/>
            <w:tcBorders>
              <w:top w:val="nil"/>
              <w:left w:val="nil"/>
              <w:bottom w:val="nil"/>
              <w:right w:val="nil"/>
            </w:tcBorders>
            <w:shd w:val="clear" w:color="000000" w:fill="8DCF9F"/>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0.7314</w:t>
            </w:r>
          </w:p>
        </w:tc>
      </w:tr>
      <w:tr w:rsidR="007C4D50" w:rsidRPr="007C4D50" w:rsidTr="007C4D50">
        <w:trPr>
          <w:trHeight w:val="300"/>
        </w:trPr>
        <w:tc>
          <w:tcPr>
            <w:tcW w:w="9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2016*</w:t>
            </w:r>
          </w:p>
        </w:tc>
        <w:tc>
          <w:tcPr>
            <w:tcW w:w="9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single" w:sz="4" w:space="0" w:color="auto"/>
              <w:right w:val="nil"/>
            </w:tcBorders>
            <w:shd w:val="clear" w:color="000000" w:fill="FACACD"/>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-0.3354</w:t>
            </w:r>
          </w:p>
        </w:tc>
        <w:tc>
          <w:tcPr>
            <w:tcW w:w="965" w:type="dxa"/>
            <w:tcBorders>
              <w:top w:val="nil"/>
              <w:left w:val="nil"/>
              <w:bottom w:val="single" w:sz="4" w:space="0" w:color="auto"/>
              <w:right w:val="nil"/>
            </w:tcBorders>
            <w:shd w:val="clear" w:color="000000" w:fill="80CA95"/>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0.8105</w:t>
            </w:r>
          </w:p>
        </w:tc>
        <w:tc>
          <w:tcPr>
            <w:tcW w:w="1040" w:type="dxa"/>
            <w:tcBorders>
              <w:top w:val="nil"/>
              <w:left w:val="nil"/>
              <w:bottom w:val="single" w:sz="4" w:space="0" w:color="auto"/>
              <w:right w:val="nil"/>
            </w:tcBorders>
            <w:shd w:val="clear" w:color="000000" w:fill="7EC992"/>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0.8268</w:t>
            </w:r>
          </w:p>
        </w:tc>
        <w:tc>
          <w:tcPr>
            <w:tcW w:w="360" w:type="dxa"/>
            <w:tcBorders>
              <w:top w:val="nil"/>
              <w:left w:val="nil"/>
              <w:bottom w:val="single" w:sz="4" w:space="0" w:color="auto"/>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r w:rsidRPr="007C4D50">
              <w:rPr>
                <w:rFonts w:ascii="Calibri" w:eastAsia="Times New Roman" w:hAnsi="Calibri" w:cs="Calibri"/>
                <w:color w:val="000000"/>
                <w:sz w:val="22"/>
              </w:rPr>
              <w:t> </w:t>
            </w:r>
          </w:p>
        </w:tc>
        <w:tc>
          <w:tcPr>
            <w:tcW w:w="1075" w:type="dxa"/>
            <w:tcBorders>
              <w:top w:val="nil"/>
              <w:left w:val="nil"/>
              <w:bottom w:val="single" w:sz="4" w:space="0" w:color="auto"/>
              <w:right w:val="nil"/>
            </w:tcBorders>
            <w:shd w:val="clear" w:color="000000" w:fill="FBDEE1"/>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-0.2022</w:t>
            </w:r>
          </w:p>
        </w:tc>
        <w:tc>
          <w:tcPr>
            <w:tcW w:w="965" w:type="dxa"/>
            <w:tcBorders>
              <w:top w:val="nil"/>
              <w:left w:val="nil"/>
              <w:bottom w:val="single" w:sz="4" w:space="0" w:color="auto"/>
              <w:right w:val="nil"/>
            </w:tcBorders>
            <w:shd w:val="clear" w:color="000000" w:fill="80CA94"/>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0.8108</w:t>
            </w:r>
          </w:p>
        </w:tc>
        <w:tc>
          <w:tcPr>
            <w:tcW w:w="1040" w:type="dxa"/>
            <w:tcBorders>
              <w:top w:val="nil"/>
              <w:left w:val="nil"/>
              <w:bottom w:val="single" w:sz="4" w:space="0" w:color="auto"/>
              <w:right w:val="nil"/>
            </w:tcBorders>
            <w:shd w:val="clear" w:color="000000" w:fill="7DC992"/>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0.8308</w:t>
            </w:r>
          </w:p>
        </w:tc>
      </w:tr>
      <w:tr w:rsidR="007C4D50" w:rsidRPr="007C4D50" w:rsidTr="007C4D50">
        <w:trPr>
          <w:trHeight w:val="300"/>
        </w:trPr>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roofErr w:type="spellStart"/>
            <w:r w:rsidRPr="007C4D50">
              <w:rPr>
                <w:rFonts w:ascii="Calibri" w:eastAsia="Times New Roman" w:hAnsi="Calibri" w:cs="Calibri"/>
                <w:color w:val="000000"/>
                <w:sz w:val="22"/>
              </w:rPr>
              <w:t>Avg</w:t>
            </w:r>
            <w:proofErr w:type="spellEnd"/>
          </w:p>
        </w:tc>
        <w:tc>
          <w:tcPr>
            <w:tcW w:w="960" w:type="dxa"/>
            <w:tcBorders>
              <w:top w:val="nil"/>
              <w:left w:val="nil"/>
              <w:bottom w:val="nil"/>
              <w:right w:val="nil"/>
            </w:tcBorders>
            <w:shd w:val="clear" w:color="auto" w:fill="auto"/>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468</w:t>
            </w:r>
          </w:p>
        </w:tc>
        <w:tc>
          <w:tcPr>
            <w:tcW w:w="1075" w:type="dxa"/>
            <w:tcBorders>
              <w:top w:val="nil"/>
              <w:left w:val="nil"/>
              <w:bottom w:val="nil"/>
              <w:right w:val="nil"/>
            </w:tcBorders>
            <w:shd w:val="clear" w:color="000000" w:fill="FBF5F8"/>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-0.0440</w:t>
            </w:r>
          </w:p>
        </w:tc>
        <w:tc>
          <w:tcPr>
            <w:tcW w:w="965" w:type="dxa"/>
            <w:tcBorders>
              <w:top w:val="nil"/>
              <w:left w:val="nil"/>
              <w:bottom w:val="nil"/>
              <w:right w:val="nil"/>
            </w:tcBorders>
            <w:shd w:val="clear" w:color="000000" w:fill="87CD9A"/>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0.7687</w:t>
            </w:r>
          </w:p>
        </w:tc>
        <w:tc>
          <w:tcPr>
            <w:tcW w:w="1040" w:type="dxa"/>
            <w:tcBorders>
              <w:top w:val="nil"/>
              <w:left w:val="nil"/>
              <w:bottom w:val="nil"/>
              <w:right w:val="nil"/>
            </w:tcBorders>
            <w:shd w:val="clear" w:color="000000" w:fill="8DCF9F"/>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0.7307</w:t>
            </w:r>
          </w:p>
        </w:tc>
        <w:tc>
          <w:tcPr>
            <w:tcW w:w="360" w:type="dxa"/>
            <w:tcBorders>
              <w:top w:val="nil"/>
              <w:left w:val="nil"/>
              <w:bottom w:val="nil"/>
              <w:right w:val="nil"/>
            </w:tcBorders>
            <w:shd w:val="clear" w:color="auto" w:fill="auto"/>
            <w:noWrap/>
            <w:vAlign w:val="bottom"/>
            <w:hideMark/>
          </w:tcPr>
          <w:p w:rsidR="007C4D50" w:rsidRPr="007C4D50" w:rsidRDefault="007C4D50" w:rsidP="007C4D50">
            <w:pPr>
              <w:contextualSpacing w:val="0"/>
              <w:rPr>
                <w:rFonts w:ascii="Calibri" w:eastAsia="Times New Roman" w:hAnsi="Calibri" w:cs="Calibri"/>
                <w:color w:val="000000"/>
                <w:sz w:val="22"/>
              </w:rPr>
            </w:pPr>
          </w:p>
        </w:tc>
        <w:tc>
          <w:tcPr>
            <w:tcW w:w="1075" w:type="dxa"/>
            <w:tcBorders>
              <w:top w:val="nil"/>
              <w:left w:val="nil"/>
              <w:bottom w:val="nil"/>
              <w:right w:val="nil"/>
            </w:tcBorders>
            <w:shd w:val="clear" w:color="000000" w:fill="FBF8FB"/>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-0.0266</w:t>
            </w:r>
          </w:p>
        </w:tc>
        <w:tc>
          <w:tcPr>
            <w:tcW w:w="965" w:type="dxa"/>
            <w:tcBorders>
              <w:top w:val="nil"/>
              <w:left w:val="nil"/>
              <w:bottom w:val="nil"/>
              <w:right w:val="nil"/>
            </w:tcBorders>
            <w:shd w:val="clear" w:color="000000" w:fill="87CD9A"/>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0.7705</w:t>
            </w:r>
          </w:p>
        </w:tc>
        <w:tc>
          <w:tcPr>
            <w:tcW w:w="1040" w:type="dxa"/>
            <w:tcBorders>
              <w:top w:val="nil"/>
              <w:left w:val="nil"/>
              <w:bottom w:val="nil"/>
              <w:right w:val="nil"/>
            </w:tcBorders>
            <w:shd w:val="clear" w:color="000000" w:fill="8DCFA0"/>
            <w:noWrap/>
            <w:vAlign w:val="bottom"/>
            <w:hideMark/>
          </w:tcPr>
          <w:p w:rsidR="007C4D50" w:rsidRPr="007C4D50" w:rsidRDefault="007C4D50" w:rsidP="007C4D50">
            <w:pPr>
              <w:contextualSpacing w:val="0"/>
              <w:jc w:val="right"/>
              <w:rPr>
                <w:rFonts w:ascii="Calibri" w:eastAsia="Times New Roman" w:hAnsi="Calibri" w:cs="Calibri"/>
                <w:color w:val="000000"/>
                <w:sz w:val="22"/>
              </w:rPr>
            </w:pPr>
            <w:r w:rsidRPr="007C4D50">
              <w:rPr>
                <w:rFonts w:ascii="Calibri" w:eastAsia="Times New Roman" w:hAnsi="Calibri" w:cs="Calibri"/>
                <w:color w:val="000000"/>
                <w:sz w:val="22"/>
              </w:rPr>
              <w:t>0.7272</w:t>
            </w:r>
          </w:p>
        </w:tc>
      </w:tr>
    </w:tbl>
    <w:p w:rsidR="007C4D50" w:rsidRDefault="007C4D50" w:rsidP="00BD2153"/>
    <w:p w:rsidR="00F7627F" w:rsidRDefault="00F7627F" w:rsidP="00F7627F">
      <w:pPr>
        <w:pStyle w:val="Heading1"/>
      </w:pPr>
      <w:r>
        <w:t>Additional Thoughts</w:t>
      </w:r>
    </w:p>
    <w:p w:rsidR="00F7627F" w:rsidRDefault="00F7627F" w:rsidP="00BD2153"/>
    <w:p w:rsidR="00396411" w:rsidRDefault="00F7627F" w:rsidP="00F7627F">
      <w:r>
        <w:t xml:space="preserve">Something we </w:t>
      </w:r>
      <w:proofErr w:type="gramStart"/>
      <w:r>
        <w:t>didn’t</w:t>
      </w:r>
      <w:proofErr w:type="gramEnd"/>
      <w:r>
        <w:t xml:space="preserve"> find in the results above was a relationship between risk and return.  </w:t>
      </w:r>
      <w:r w:rsidR="00396411">
        <w:t xml:space="preserve">The scatter plots above are difficult to interpret, so in </w:t>
      </w:r>
      <w:proofErr w:type="gramStart"/>
      <w:r w:rsidR="00396411">
        <w:t>this</w:t>
      </w:r>
      <w:proofErr w:type="gramEnd"/>
      <w:r w:rsidR="00396411">
        <w:t xml:space="preserve"> section we break the stocks down into quintiles (5 groups of roughly equal size) based on different properties and look for relationship there.  First, we look at average return versus volatility.  In 2015, we find that stocks with larger volatility were actually bigger losers:</w:t>
      </w:r>
    </w:p>
    <w:p w:rsidR="00396411" w:rsidRDefault="00396411" w:rsidP="00F7627F">
      <w:r>
        <w:rPr>
          <w:noProof/>
        </w:rPr>
        <w:drawing>
          <wp:inline distT="0" distB="0" distL="0" distR="0" wp14:anchorId="19600DFC" wp14:editId="15053366">
            <wp:extent cx="3369674" cy="2333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2940" b="11833"/>
                    <a:stretch/>
                  </pic:blipFill>
                  <pic:spPr bwMode="auto">
                    <a:xfrm>
                      <a:off x="0" y="0"/>
                      <a:ext cx="3387283" cy="2345820"/>
                    </a:xfrm>
                    <a:prstGeom prst="rect">
                      <a:avLst/>
                    </a:prstGeom>
                    <a:ln>
                      <a:noFill/>
                    </a:ln>
                    <a:extLst>
                      <a:ext uri="{53640926-AAD7-44D8-BBD7-CCE9431645EC}">
                        <a14:shadowObscured xmlns:a14="http://schemas.microsoft.com/office/drawing/2010/main"/>
                      </a:ext>
                    </a:extLst>
                  </pic:spPr>
                </pic:pic>
              </a:graphicData>
            </a:graphic>
          </wp:inline>
        </w:drawing>
      </w:r>
    </w:p>
    <w:p w:rsidR="00D65F5F" w:rsidRDefault="00D65F5F" w:rsidP="00D65F5F">
      <w:pPr>
        <w:ind w:left="2160"/>
      </w:pPr>
      <w:r>
        <w:lastRenderedPageBreak/>
        <w:t>Volatility Quintile</w:t>
      </w:r>
    </w:p>
    <w:p w:rsidR="00D65F5F" w:rsidRDefault="00D65F5F" w:rsidP="00D65F5F">
      <w:pPr>
        <w:ind w:left="2160"/>
      </w:pPr>
      <w:bookmarkStart w:id="0" w:name="_GoBack"/>
      <w:bookmarkEnd w:id="0"/>
    </w:p>
    <w:p w:rsidR="00396411" w:rsidRDefault="00396411" w:rsidP="00F7627F">
      <w:r>
        <w:t>Alpha versus volatility looks similar:</w:t>
      </w:r>
    </w:p>
    <w:p w:rsidR="00396411" w:rsidRDefault="00396411" w:rsidP="00F7627F">
      <w:r>
        <w:rPr>
          <w:noProof/>
        </w:rPr>
        <w:drawing>
          <wp:inline distT="0" distB="0" distL="0" distR="0" wp14:anchorId="63017B34" wp14:editId="4AE056F4">
            <wp:extent cx="3899639" cy="256032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2941" b="14326"/>
                    <a:stretch/>
                  </pic:blipFill>
                  <pic:spPr bwMode="auto">
                    <a:xfrm>
                      <a:off x="0" y="0"/>
                      <a:ext cx="3914286" cy="2569937"/>
                    </a:xfrm>
                    <a:prstGeom prst="rect">
                      <a:avLst/>
                    </a:prstGeom>
                    <a:ln>
                      <a:noFill/>
                    </a:ln>
                    <a:extLst>
                      <a:ext uri="{53640926-AAD7-44D8-BBD7-CCE9431645EC}">
                        <a14:shadowObscured xmlns:a14="http://schemas.microsoft.com/office/drawing/2010/main"/>
                      </a:ext>
                    </a:extLst>
                  </pic:spPr>
                </pic:pic>
              </a:graphicData>
            </a:graphic>
          </wp:inline>
        </w:drawing>
      </w:r>
    </w:p>
    <w:p w:rsidR="00D65F5F" w:rsidRDefault="00D65F5F" w:rsidP="00D65F5F">
      <w:pPr>
        <w:ind w:left="2340"/>
      </w:pPr>
      <w:r>
        <w:t>Volatility Quintile</w:t>
      </w:r>
    </w:p>
    <w:p w:rsidR="00396411" w:rsidRDefault="00396411" w:rsidP="00F7627F"/>
    <w:p w:rsidR="00396411" w:rsidRDefault="00396411" w:rsidP="00F7627F">
      <w:r>
        <w:t xml:space="preserve">Both of these charts show that the fifth quintile of volatility has an especially large range of returns.  This might be one that </w:t>
      </w:r>
      <w:proofErr w:type="gramStart"/>
      <w:r>
        <w:t>we’d</w:t>
      </w:r>
      <w:proofErr w:type="gramEnd"/>
      <w:r>
        <w:t xml:space="preserve"> want to avoid if we are risk-averse, but it is also has the possibility to be the most profitable group of stocks.  The range of returns in this group is more than double that of the others.</w:t>
      </w:r>
    </w:p>
    <w:p w:rsidR="00396411" w:rsidRDefault="00396411" w:rsidP="00F7627F">
      <w:r>
        <w:t xml:space="preserve"> </w:t>
      </w:r>
    </w:p>
    <w:p w:rsidR="00F7627F" w:rsidRDefault="00396411" w:rsidP="00F7627F">
      <w:r>
        <w:t xml:space="preserve">When we looked for a relationship between alpha and beta, we </w:t>
      </w:r>
      <w:proofErr w:type="gramStart"/>
      <w:r>
        <w:t>didn’t</w:t>
      </w:r>
      <w:proofErr w:type="gramEnd"/>
      <w:r>
        <w:t xml:space="preserve"> find one.  This might actually be a verification of MPT, since it would theorize that the expected value of alpha should be zero.  The plot below breaks the stocks into quintiles based upon beta.  In all cases, the average value of alpha is near zero.  Interestingly, we </w:t>
      </w:r>
      <w:proofErr w:type="gramStart"/>
      <w:r>
        <w:t>don’t</w:t>
      </w:r>
      <w:proofErr w:type="gramEnd"/>
      <w:r>
        <w:t xml:space="preserve"> see the high range of outcomes in the 5</w:t>
      </w:r>
      <w:r w:rsidRPr="00396411">
        <w:rPr>
          <w:vertAlign w:val="superscript"/>
        </w:rPr>
        <w:t>th</w:t>
      </w:r>
      <w:r>
        <w:t xml:space="preserve"> quintile that we did when we looked at volatility alone. </w:t>
      </w:r>
    </w:p>
    <w:p w:rsidR="00F7627F" w:rsidRDefault="00F7627F" w:rsidP="00F7627F">
      <w:r>
        <w:rPr>
          <w:noProof/>
        </w:rPr>
        <w:drawing>
          <wp:inline distT="0" distB="0" distL="0" distR="0" wp14:anchorId="1AE93904" wp14:editId="003D12DE">
            <wp:extent cx="3505200" cy="2362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2939" b="11838"/>
                    <a:stretch/>
                  </pic:blipFill>
                  <pic:spPr bwMode="auto">
                    <a:xfrm>
                      <a:off x="0" y="0"/>
                      <a:ext cx="3520008" cy="2372808"/>
                    </a:xfrm>
                    <a:prstGeom prst="rect">
                      <a:avLst/>
                    </a:prstGeom>
                    <a:ln>
                      <a:noFill/>
                    </a:ln>
                    <a:extLst>
                      <a:ext uri="{53640926-AAD7-44D8-BBD7-CCE9431645EC}">
                        <a14:shadowObscured xmlns:a14="http://schemas.microsoft.com/office/drawing/2010/main"/>
                      </a:ext>
                    </a:extLst>
                  </pic:spPr>
                </pic:pic>
              </a:graphicData>
            </a:graphic>
          </wp:inline>
        </w:drawing>
      </w:r>
    </w:p>
    <w:p w:rsidR="00D65F5F" w:rsidRDefault="00D65F5F" w:rsidP="00D65F5F">
      <w:pPr>
        <w:ind w:left="2340"/>
      </w:pPr>
      <w:r>
        <w:t>Beta Quintile</w:t>
      </w:r>
    </w:p>
    <w:p w:rsidR="00F7627F" w:rsidRPr="00BD2153" w:rsidRDefault="00F7627F" w:rsidP="00BD2153"/>
    <w:sectPr w:rsidR="00F7627F" w:rsidRPr="00BD2153">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BFA" w:rsidRDefault="00857BFA" w:rsidP="000D5E20">
      <w:r>
        <w:separator/>
      </w:r>
    </w:p>
    <w:p w:rsidR="00857BFA" w:rsidRDefault="00857BFA"/>
  </w:endnote>
  <w:endnote w:type="continuationSeparator" w:id="0">
    <w:p w:rsidR="00857BFA" w:rsidRDefault="00857BFA" w:rsidP="000D5E20">
      <w:r>
        <w:continuationSeparator/>
      </w:r>
    </w:p>
    <w:p w:rsidR="00857BFA" w:rsidRDefault="00857B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35" w:rsidRDefault="007F3835">
    <w:pPr>
      <w:pStyle w:val="Footer"/>
    </w:pPr>
  </w:p>
  <w:p w:rsidR="007F3835" w:rsidRDefault="007F38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35" w:rsidRDefault="007F3835">
    <w:pPr>
      <w:pStyle w:val="Footer"/>
    </w:pPr>
    <w:r>
      <w:tab/>
      <w:t xml:space="preserve">- Page </w:t>
    </w:r>
    <w:r>
      <w:fldChar w:fldCharType="begin"/>
    </w:r>
    <w:r>
      <w:instrText xml:space="preserve"> PAGE   \* MERGEFORMAT </w:instrText>
    </w:r>
    <w:r>
      <w:fldChar w:fldCharType="separate"/>
    </w:r>
    <w:r w:rsidR="00D65F5F">
      <w:rPr>
        <w:noProof/>
      </w:rPr>
      <w:t>6</w:t>
    </w:r>
    <w:r>
      <w:fldChar w:fldCharType="end"/>
    </w:r>
    <w:r>
      <w:t xml:space="preserve"> of </w:t>
    </w:r>
    <w:r w:rsidR="00857BFA">
      <w:fldChar w:fldCharType="begin"/>
    </w:r>
    <w:r w:rsidR="00857BFA">
      <w:instrText xml:space="preserve"> NUMPAGES   \* MERGEFORMAT </w:instrText>
    </w:r>
    <w:r w:rsidR="00857BFA">
      <w:fldChar w:fldCharType="separate"/>
    </w:r>
    <w:r w:rsidR="00D65F5F">
      <w:rPr>
        <w:noProof/>
      </w:rPr>
      <w:t>7</w:t>
    </w:r>
    <w:r w:rsidR="00857BFA">
      <w:rPr>
        <w:noProof/>
      </w:rPr>
      <w:fldChar w:fldCharType="end"/>
    </w:r>
    <w:r>
      <w:t xml:space="preserve"> -</w:t>
    </w:r>
  </w:p>
  <w:p w:rsidR="007F3835" w:rsidRDefault="007F38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BFA" w:rsidRDefault="00857BFA" w:rsidP="000D5E20">
      <w:r>
        <w:separator/>
      </w:r>
    </w:p>
    <w:p w:rsidR="00857BFA" w:rsidRDefault="00857BFA"/>
  </w:footnote>
  <w:footnote w:type="continuationSeparator" w:id="0">
    <w:p w:rsidR="00857BFA" w:rsidRDefault="00857BFA" w:rsidP="000D5E20">
      <w:r>
        <w:continuationSeparator/>
      </w:r>
    </w:p>
    <w:p w:rsidR="00857BFA" w:rsidRDefault="00857B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35" w:rsidRDefault="007F3835">
    <w:pPr>
      <w:pStyle w:val="Header"/>
    </w:pPr>
  </w:p>
  <w:p w:rsidR="007F3835" w:rsidRDefault="007F38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835" w:rsidRPr="000D5E20" w:rsidRDefault="007F3835">
    <w:pPr>
      <w:pStyle w:val="Header"/>
      <w:rPr>
        <w:u w:val="single"/>
      </w:rPr>
    </w:pPr>
    <w:r>
      <w:rPr>
        <w:u w:val="single"/>
      </w:rPr>
      <w:t>Dan’s Notes</w:t>
    </w:r>
    <w:r>
      <w:rPr>
        <w:u w:val="single"/>
      </w:rPr>
      <w:tab/>
    </w:r>
    <w:r>
      <w:rPr>
        <w:u w:val="single"/>
      </w:rPr>
      <w:tab/>
    </w:r>
  </w:p>
  <w:p w:rsidR="007F3835" w:rsidRDefault="007F3835">
    <w:pPr>
      <w:pStyle w:val="Header"/>
    </w:pPr>
    <w:r>
      <w:t>Daniel Rogers</w:t>
    </w:r>
    <w:r>
      <w:tab/>
    </w:r>
    <w:r>
      <w:tab/>
      <w:t>2016-10-16</w:t>
    </w:r>
  </w:p>
  <w:p w:rsidR="007F3835" w:rsidRPr="000E6FA2" w:rsidRDefault="007F3835" w:rsidP="000E6FA2">
    <w:pPr>
      <w:pStyle w:val="Header"/>
      <w:spacing w:before="120" w:after="120"/>
      <w:jc w:val="center"/>
      <w:rPr>
        <w:b/>
      </w:rPr>
    </w:pPr>
    <w:r>
      <w:rPr>
        <w:b/>
      </w:rPr>
      <w:t>Persistence of Returns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823A0"/>
    <w:rsid w:val="000D5E20"/>
    <w:rsid w:val="000E6FA2"/>
    <w:rsid w:val="000E7860"/>
    <w:rsid w:val="00190F1B"/>
    <w:rsid w:val="001972AB"/>
    <w:rsid w:val="001A3EAE"/>
    <w:rsid w:val="001D1B8D"/>
    <w:rsid w:val="001D76A1"/>
    <w:rsid w:val="00274A1A"/>
    <w:rsid w:val="00396411"/>
    <w:rsid w:val="003B63D3"/>
    <w:rsid w:val="003D14F3"/>
    <w:rsid w:val="00406C5F"/>
    <w:rsid w:val="00506C5A"/>
    <w:rsid w:val="005B41E4"/>
    <w:rsid w:val="005F7099"/>
    <w:rsid w:val="00684539"/>
    <w:rsid w:val="0069657C"/>
    <w:rsid w:val="007C4D50"/>
    <w:rsid w:val="007D13D4"/>
    <w:rsid w:val="007F2A3F"/>
    <w:rsid w:val="007F3835"/>
    <w:rsid w:val="008527D9"/>
    <w:rsid w:val="00857BFA"/>
    <w:rsid w:val="008774AC"/>
    <w:rsid w:val="00904696"/>
    <w:rsid w:val="009364DC"/>
    <w:rsid w:val="00972F33"/>
    <w:rsid w:val="00A93456"/>
    <w:rsid w:val="00BC4B6B"/>
    <w:rsid w:val="00BD2153"/>
    <w:rsid w:val="00BE2E87"/>
    <w:rsid w:val="00C72F93"/>
    <w:rsid w:val="00D24FD4"/>
    <w:rsid w:val="00D3299A"/>
    <w:rsid w:val="00D54E8A"/>
    <w:rsid w:val="00D65F5F"/>
    <w:rsid w:val="00E546A6"/>
    <w:rsid w:val="00EA39C5"/>
    <w:rsid w:val="00EE5AA2"/>
    <w:rsid w:val="00EF53EB"/>
    <w:rsid w:val="00F544DE"/>
    <w:rsid w:val="00F7627F"/>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E546A6"/>
    <w:rPr>
      <w:rFonts w:ascii="Tahoma" w:hAnsi="Tahoma" w:cs="Tahoma"/>
      <w:sz w:val="16"/>
      <w:szCs w:val="16"/>
    </w:rPr>
  </w:style>
  <w:style w:type="character" w:customStyle="1" w:styleId="BalloonTextChar">
    <w:name w:val="Balloon Text Char"/>
    <w:basedOn w:val="DefaultParagraphFont"/>
    <w:link w:val="BalloonText"/>
    <w:uiPriority w:val="99"/>
    <w:semiHidden/>
    <w:rsid w:val="00E546A6"/>
    <w:rPr>
      <w:rFonts w:ascii="Tahoma" w:hAnsi="Tahoma" w:cs="Tahoma"/>
      <w:sz w:val="16"/>
      <w:szCs w:val="16"/>
    </w:rPr>
  </w:style>
  <w:style w:type="character" w:styleId="PlaceholderText">
    <w:name w:val="Placeholder Text"/>
    <w:basedOn w:val="DefaultParagraphFont"/>
    <w:uiPriority w:val="99"/>
    <w:semiHidden/>
    <w:rsid w:val="00BD21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E546A6"/>
    <w:rPr>
      <w:rFonts w:ascii="Tahoma" w:hAnsi="Tahoma" w:cs="Tahoma"/>
      <w:sz w:val="16"/>
      <w:szCs w:val="16"/>
    </w:rPr>
  </w:style>
  <w:style w:type="character" w:customStyle="1" w:styleId="BalloonTextChar">
    <w:name w:val="Balloon Text Char"/>
    <w:basedOn w:val="DefaultParagraphFont"/>
    <w:link w:val="BalloonText"/>
    <w:uiPriority w:val="99"/>
    <w:semiHidden/>
    <w:rsid w:val="00E546A6"/>
    <w:rPr>
      <w:rFonts w:ascii="Tahoma" w:hAnsi="Tahoma" w:cs="Tahoma"/>
      <w:sz w:val="16"/>
      <w:szCs w:val="16"/>
    </w:rPr>
  </w:style>
  <w:style w:type="character" w:styleId="PlaceholderText">
    <w:name w:val="Placeholder Text"/>
    <w:basedOn w:val="DefaultParagraphFont"/>
    <w:uiPriority w:val="99"/>
    <w:semiHidden/>
    <w:rsid w:val="00BD2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8519">
      <w:bodyDiv w:val="1"/>
      <w:marLeft w:val="0"/>
      <w:marRight w:val="0"/>
      <w:marTop w:val="0"/>
      <w:marBottom w:val="0"/>
      <w:divBdr>
        <w:top w:val="none" w:sz="0" w:space="0" w:color="auto"/>
        <w:left w:val="none" w:sz="0" w:space="0" w:color="auto"/>
        <w:bottom w:val="none" w:sz="0" w:space="0" w:color="auto"/>
        <w:right w:val="none" w:sz="0" w:space="0" w:color="auto"/>
      </w:divBdr>
    </w:div>
    <w:div w:id="409497747">
      <w:bodyDiv w:val="1"/>
      <w:marLeft w:val="0"/>
      <w:marRight w:val="0"/>
      <w:marTop w:val="0"/>
      <w:marBottom w:val="0"/>
      <w:divBdr>
        <w:top w:val="none" w:sz="0" w:space="0" w:color="auto"/>
        <w:left w:val="none" w:sz="0" w:space="0" w:color="auto"/>
        <w:bottom w:val="none" w:sz="0" w:space="0" w:color="auto"/>
        <w:right w:val="none" w:sz="0" w:space="0" w:color="auto"/>
      </w:divBdr>
    </w:div>
    <w:div w:id="484129185">
      <w:bodyDiv w:val="1"/>
      <w:marLeft w:val="0"/>
      <w:marRight w:val="0"/>
      <w:marTop w:val="0"/>
      <w:marBottom w:val="0"/>
      <w:divBdr>
        <w:top w:val="none" w:sz="0" w:space="0" w:color="auto"/>
        <w:left w:val="none" w:sz="0" w:space="0" w:color="auto"/>
        <w:bottom w:val="none" w:sz="0" w:space="0" w:color="auto"/>
        <w:right w:val="none" w:sz="0" w:space="0" w:color="auto"/>
      </w:divBdr>
    </w:div>
    <w:div w:id="813303121">
      <w:bodyDiv w:val="1"/>
      <w:marLeft w:val="0"/>
      <w:marRight w:val="0"/>
      <w:marTop w:val="0"/>
      <w:marBottom w:val="0"/>
      <w:divBdr>
        <w:top w:val="none" w:sz="0" w:space="0" w:color="auto"/>
        <w:left w:val="none" w:sz="0" w:space="0" w:color="auto"/>
        <w:bottom w:val="none" w:sz="0" w:space="0" w:color="auto"/>
        <w:right w:val="none" w:sz="0" w:space="0" w:color="auto"/>
      </w:divBdr>
    </w:div>
    <w:div w:id="864053038">
      <w:bodyDiv w:val="1"/>
      <w:marLeft w:val="0"/>
      <w:marRight w:val="0"/>
      <w:marTop w:val="0"/>
      <w:marBottom w:val="0"/>
      <w:divBdr>
        <w:top w:val="none" w:sz="0" w:space="0" w:color="auto"/>
        <w:left w:val="none" w:sz="0" w:space="0" w:color="auto"/>
        <w:bottom w:val="none" w:sz="0" w:space="0" w:color="auto"/>
        <w:right w:val="none" w:sz="0" w:space="0" w:color="auto"/>
      </w:divBdr>
    </w:div>
    <w:div w:id="1344357278">
      <w:bodyDiv w:val="1"/>
      <w:marLeft w:val="0"/>
      <w:marRight w:val="0"/>
      <w:marTop w:val="0"/>
      <w:marBottom w:val="0"/>
      <w:divBdr>
        <w:top w:val="none" w:sz="0" w:space="0" w:color="auto"/>
        <w:left w:val="none" w:sz="0" w:space="0" w:color="auto"/>
        <w:bottom w:val="none" w:sz="0" w:space="0" w:color="auto"/>
        <w:right w:val="none" w:sz="0" w:space="0" w:color="auto"/>
      </w:divBdr>
    </w:div>
    <w:div w:id="20295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9</cp:revision>
  <dcterms:created xsi:type="dcterms:W3CDTF">2016-10-16T19:58:00Z</dcterms:created>
  <dcterms:modified xsi:type="dcterms:W3CDTF">2016-10-23T19:56:00Z</dcterms:modified>
</cp:coreProperties>
</file>