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2277D1" w:rsidP="000E6FA2">
      <w:pPr>
        <w:pStyle w:val="Title"/>
      </w:pPr>
      <w:r>
        <w:t xml:space="preserve">What Proportion of Stock Returns </w:t>
      </w:r>
      <w:proofErr w:type="gramStart"/>
      <w:r>
        <w:t>are</w:t>
      </w:r>
      <w:proofErr w:type="gramEnd"/>
      <w:r>
        <w:t xml:space="preserve"> due to Market Movements?</w:t>
      </w:r>
    </w:p>
    <w:p w:rsidR="000D5E20" w:rsidRDefault="000D5E20" w:rsidP="000E6FA2"/>
    <w:p w:rsidR="007D13D4" w:rsidRDefault="002277D1" w:rsidP="000A1769">
      <w:pPr>
        <w:pStyle w:val="Heading1"/>
      </w:pPr>
      <w:r>
        <w:t>Overview</w:t>
      </w:r>
    </w:p>
    <w:p w:rsidR="002277D1" w:rsidRDefault="002277D1" w:rsidP="000E6FA2"/>
    <w:p w:rsidR="002277D1" w:rsidRDefault="002277D1" w:rsidP="000E6FA2">
      <w:r>
        <w:t xml:space="preserve">It is common knowledge that </w:t>
      </w:r>
      <w:proofErr w:type="gramStart"/>
      <w:r>
        <w:t>individual stocks are influenced by the overall movement of the market</w:t>
      </w:r>
      <w:proofErr w:type="gramEnd"/>
      <w:r>
        <w:t xml:space="preserve">.  Large, exogenous factors such as macro-economic announcements, news stories, or changing market sentiment may </w:t>
      </w:r>
      <w:proofErr w:type="gramStart"/>
      <w:r>
        <w:t>impact</w:t>
      </w:r>
      <w:proofErr w:type="gramEnd"/>
      <w:r>
        <w:t xml:space="preserve"> all stocks in the market, driving individual stock returns higher or lower than they might otherwise be.  </w:t>
      </w:r>
      <w:proofErr w:type="gramStart"/>
      <w:r>
        <w:t>But</w:t>
      </w:r>
      <w:proofErr w:type="gramEnd"/>
      <w:r>
        <w:t xml:space="preserve"> what percentage of an individual stock’s returns are due to these larger, market movements?  A traditional alpha/beta regression </w:t>
      </w:r>
      <w:proofErr w:type="gramStart"/>
      <w:r>
        <w:t>may be used</w:t>
      </w:r>
      <w:proofErr w:type="gramEnd"/>
      <w:r>
        <w:t xml:space="preserve"> to answer this question.  The results below will show that </w:t>
      </w:r>
      <w:proofErr w:type="gramStart"/>
      <w:r>
        <w:t>about 33.5% of a stock’s variance may be explained by the movement of the market as a whole</w:t>
      </w:r>
      <w:proofErr w:type="gramEnd"/>
      <w:r>
        <w:t xml:space="preserve">.  </w:t>
      </w:r>
      <w:r w:rsidR="000A1769">
        <w:t>A confidence interval from 9.7% to 64.2% covers 98% of all stocks during the period measured.</w:t>
      </w:r>
    </w:p>
    <w:p w:rsidR="000A1769" w:rsidRDefault="000A1769" w:rsidP="000E6FA2"/>
    <w:p w:rsidR="000A1769" w:rsidRDefault="000A1769" w:rsidP="000A1769">
      <w:pPr>
        <w:pStyle w:val="Heading1"/>
      </w:pPr>
      <w:r>
        <w:t>Alpha/Beta Regression</w:t>
      </w:r>
    </w:p>
    <w:p w:rsidR="000A1769" w:rsidRDefault="000A1769" w:rsidP="000E6FA2"/>
    <w:p w:rsidR="000A1769" w:rsidRDefault="000A1769" w:rsidP="00D24FD4">
      <w:r>
        <w:t xml:space="preserve">The Capital Asset Pricing Model assumes stock returns </w:t>
      </w:r>
      <w:proofErr w:type="gramStart"/>
      <w:r>
        <w:t>are related</w:t>
      </w:r>
      <w:proofErr w:type="gramEnd"/>
      <w:r>
        <w:t xml:space="preserve"> to the overall market </w:t>
      </w:r>
      <w:r w:rsidR="00D62099">
        <w:t>(</w:t>
      </w:r>
      <w:r>
        <w:t>and risk-free interest rates</w:t>
      </w:r>
      <w:r w:rsidR="00D62099">
        <w:t>)</w:t>
      </w:r>
      <w:r>
        <w:t xml:space="preserve"> by:</w:t>
      </w:r>
    </w:p>
    <w:p w:rsidR="000A1769" w:rsidRDefault="000A1769" w:rsidP="00D24FD4"/>
    <w:p w:rsidR="000A1769" w:rsidRPr="00BD2153" w:rsidRDefault="006F241F" w:rsidP="000A1769">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+α+ϵ</m:t>
          </m:r>
        </m:oMath>
      </m:oMathPara>
    </w:p>
    <w:p w:rsidR="000A1769" w:rsidRDefault="000A1769" w:rsidP="000A1769">
      <w:pPr>
        <w:ind w:left="720"/>
        <w:rPr>
          <w:rFonts w:eastAsiaTheme="minorEastAsia"/>
        </w:rPr>
      </w:pPr>
    </w:p>
    <w:p w:rsidR="000A1769" w:rsidRDefault="006F241F" w:rsidP="000A1769">
      <w:pPr>
        <w:tabs>
          <w:tab w:val="left" w:pos="2520"/>
        </w:tabs>
        <w:ind w:left="108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0A1769">
        <w:rPr>
          <w:rFonts w:eastAsiaTheme="minorEastAsia"/>
        </w:rPr>
        <w:tab/>
        <w:t>Excess return of asset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A1769">
        <w:rPr>
          <w:rFonts w:eastAsiaTheme="minorEastAsia"/>
        </w:rPr>
        <w:t>) versus risk-free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0A1769">
        <w:rPr>
          <w:rFonts w:eastAsiaTheme="minorEastAsia"/>
        </w:rPr>
        <w:t>)</w:t>
      </w:r>
    </w:p>
    <w:p w:rsidR="000A1769" w:rsidRDefault="006F241F" w:rsidP="000A1769">
      <w:pPr>
        <w:tabs>
          <w:tab w:val="left" w:pos="2520"/>
        </w:tabs>
        <w:ind w:left="108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0A1769">
        <w:rPr>
          <w:rFonts w:eastAsiaTheme="minorEastAsia"/>
        </w:rPr>
        <w:tab/>
        <w:t>Excess return of the market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A1769">
        <w:rPr>
          <w:rFonts w:eastAsiaTheme="minorEastAsia"/>
        </w:rPr>
        <w:t>) versus risk-free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0A1769">
        <w:rPr>
          <w:rFonts w:eastAsiaTheme="minorEastAsia"/>
        </w:rPr>
        <w:t>)</w:t>
      </w:r>
    </w:p>
    <w:p w:rsidR="000A1769" w:rsidRDefault="000A1769" w:rsidP="000A1769">
      <w:pPr>
        <w:tabs>
          <w:tab w:val="left" w:pos="2520"/>
        </w:tabs>
        <w:ind w:left="1080"/>
        <w:rPr>
          <w:rFonts w:eastAsiaTheme="minorEastAsia"/>
        </w:rPr>
      </w:pPr>
      <m:oMath>
        <m:r>
          <w:rPr>
            <w:rFonts w:ascii="Cambria Math" w:hAnsi="Cambria Math"/>
          </w:rPr>
          <m:t>α,β</m:t>
        </m:r>
      </m:oMath>
      <w:r>
        <w:rPr>
          <w:rFonts w:eastAsiaTheme="minorEastAsia"/>
        </w:rPr>
        <w:tab/>
        <w:t>Regression constants</w:t>
      </w:r>
    </w:p>
    <w:p w:rsidR="000A1769" w:rsidRDefault="000A1769" w:rsidP="000A1769">
      <w:pPr>
        <w:tabs>
          <w:tab w:val="left" w:pos="2520"/>
        </w:tabs>
        <w:ind w:left="1080"/>
        <w:rPr>
          <w:rFonts w:eastAsiaTheme="minorEastAsia"/>
        </w:rPr>
      </w:pPr>
      <m:oMath>
        <m:r>
          <w:rPr>
            <w:rFonts w:ascii="Cambria Math" w:hAnsi="Cambria Math"/>
          </w:rPr>
          <m:t>ϵ</m:t>
        </m:r>
      </m:oMath>
      <w:r>
        <w:rPr>
          <w:rFonts w:eastAsiaTheme="minorEastAsia"/>
        </w:rPr>
        <w:tab/>
        <w:t>Residual error</w:t>
      </w:r>
    </w:p>
    <w:p w:rsidR="000A1769" w:rsidRDefault="000A1769" w:rsidP="00D24FD4"/>
    <w:p w:rsidR="000A1769" w:rsidRDefault="000A1769" w:rsidP="00D24FD4">
      <w:r>
        <w:t xml:space="preserve">We can simplify this by assuming that a risk-free asset returns a 0% return (an approximation </w:t>
      </w:r>
      <w:proofErr w:type="gramStart"/>
      <w:r>
        <w:t>which</w:t>
      </w:r>
      <w:proofErr w:type="gramEnd"/>
      <w:r>
        <w:t xml:space="preserve"> is suitable for daily stock returns).  This gives:</w:t>
      </w:r>
    </w:p>
    <w:p w:rsidR="000A1769" w:rsidRDefault="000A1769" w:rsidP="00D24FD4"/>
    <w:p w:rsidR="000A1769" w:rsidRPr="000A1769" w:rsidRDefault="006F241F" w:rsidP="000A1769">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+ϵ</m:t>
          </m:r>
        </m:oMath>
      </m:oMathPara>
    </w:p>
    <w:p w:rsidR="000A1769" w:rsidRDefault="000A1769" w:rsidP="000A1769">
      <w:pPr>
        <w:rPr>
          <w:rFonts w:eastAsiaTheme="minorEastAsia"/>
        </w:rPr>
      </w:pPr>
    </w:p>
    <w:p w:rsidR="000A1769" w:rsidRDefault="000A1769" w:rsidP="000A1769">
      <w:pPr>
        <w:rPr>
          <w:rFonts w:eastAsiaTheme="minorEastAsia"/>
        </w:rPr>
      </w:pPr>
      <w:r>
        <w:rPr>
          <w:rFonts w:eastAsiaTheme="minorEastAsia"/>
        </w:rPr>
        <w:t xml:space="preserve">Conceptually, this means that a stock’s returns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Pr>
          <w:rFonts w:eastAsiaTheme="minorEastAsia"/>
        </w:rPr>
        <w:t xml:space="preserve"> are proportionate to those of the overall </w:t>
      </w:r>
      <w:proofErr w:type="gramStart"/>
      <w:r>
        <w:rPr>
          <w:rFonts w:eastAsiaTheme="minorEastAsia"/>
        </w:rPr>
        <w:t xml:space="preserve">market </w:t>
      </w:r>
      <w:proofErr w:type="gramEnd"/>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The proportion is determined by the </w:t>
      </w:r>
      <w:proofErr w:type="gramStart"/>
      <w:r>
        <w:rPr>
          <w:rFonts w:eastAsiaTheme="minorEastAsia"/>
        </w:rPr>
        <w:t xml:space="preserve">coefficient </w:t>
      </w:r>
      <w:proofErr w:type="gramEnd"/>
      <m:oMath>
        <m:r>
          <w:rPr>
            <w:rFonts w:ascii="Cambria Math" w:hAnsi="Cambria Math"/>
          </w:rPr>
          <m:t>β</m:t>
        </m:r>
      </m:oMath>
      <w:r>
        <w:rPr>
          <w:rFonts w:eastAsiaTheme="minorEastAsia"/>
        </w:rPr>
        <w:t xml:space="preserve">.   The model also allows for a stock to </w:t>
      </w:r>
      <w:r w:rsidR="00D62099">
        <w:rPr>
          <w:rFonts w:eastAsiaTheme="minorEastAsia"/>
        </w:rPr>
        <w:t xml:space="preserve">consistently over- or under-perform expectations by </w:t>
      </w:r>
      <w:proofErr w:type="gramStart"/>
      <w:r w:rsidR="00D62099">
        <w:rPr>
          <w:rFonts w:eastAsiaTheme="minorEastAsia"/>
        </w:rPr>
        <w:t xml:space="preserve">amount </w:t>
      </w:r>
      <w:proofErr w:type="gramEnd"/>
      <m:oMath>
        <m:r>
          <w:rPr>
            <w:rFonts w:ascii="Cambria Math" w:hAnsi="Cambria Math"/>
          </w:rPr>
          <m:t>α</m:t>
        </m:r>
      </m:oMath>
      <w:r w:rsidR="00D62099">
        <w:rPr>
          <w:rFonts w:eastAsiaTheme="minorEastAsia"/>
        </w:rPr>
        <w:t xml:space="preserve">.  Alpha </w:t>
      </w:r>
      <w:proofErr w:type="gramStart"/>
      <w:r w:rsidR="00D62099">
        <w:rPr>
          <w:rFonts w:eastAsiaTheme="minorEastAsia"/>
        </w:rPr>
        <w:t>is also known</w:t>
      </w:r>
      <w:proofErr w:type="gramEnd"/>
      <w:r w:rsidR="00D62099">
        <w:rPr>
          <w:rFonts w:eastAsiaTheme="minorEastAsia"/>
        </w:rPr>
        <w:t xml:space="preserve"> as the “risk-adjusted return” of the asset and can be used to measure a stock’s return after accounting for overall market effects.  CAPM theory posits that alpha should be zero, but the goal of every investor is to find a way to increase alpha – that is, increase the returns they are earning on their investments relative to the expected returns based on the overall market.</w:t>
      </w:r>
    </w:p>
    <w:p w:rsidR="00D62099" w:rsidRDefault="00D62099" w:rsidP="000A1769">
      <w:pPr>
        <w:rPr>
          <w:rFonts w:eastAsiaTheme="minorEastAsia"/>
        </w:rPr>
      </w:pPr>
    </w:p>
    <w:p w:rsidR="00D62099" w:rsidRDefault="00106581" w:rsidP="00106581">
      <w:pPr>
        <w:pStyle w:val="Heading1"/>
      </w:pPr>
      <w:r>
        <w:t>Analysis of a Single Stock</w:t>
      </w:r>
    </w:p>
    <w:p w:rsidR="00106581" w:rsidRDefault="00106581" w:rsidP="000A1769">
      <w:pPr>
        <w:rPr>
          <w:rFonts w:eastAsiaTheme="minorEastAsia"/>
        </w:rPr>
      </w:pPr>
    </w:p>
    <w:p w:rsidR="00106581" w:rsidRDefault="00106581" w:rsidP="000A1769">
      <w:pPr>
        <w:rPr>
          <w:rFonts w:eastAsiaTheme="minorEastAsia"/>
        </w:rPr>
      </w:pPr>
      <w:r>
        <w:rPr>
          <w:rFonts w:eastAsiaTheme="minorEastAsia"/>
        </w:rPr>
        <w:t xml:space="preserve">Analyzing a single stock in this way will be illustrative of the concept.  This analysis examines daily stock returns for Kroger’s stock from the </w:t>
      </w:r>
      <w:proofErr w:type="gramStart"/>
      <w:r>
        <w:rPr>
          <w:rFonts w:eastAsiaTheme="minorEastAsia"/>
        </w:rPr>
        <w:t>time period</w:t>
      </w:r>
      <w:proofErr w:type="gramEnd"/>
      <w:r>
        <w:rPr>
          <w:rFonts w:eastAsiaTheme="minorEastAsia"/>
        </w:rPr>
        <w:t xml:space="preserve"> 2013 to 2016.  These are compared to daily returns on the S&amp;P 500 over that same </w:t>
      </w:r>
      <w:proofErr w:type="gramStart"/>
      <w:r>
        <w:rPr>
          <w:rFonts w:eastAsiaTheme="minorEastAsia"/>
        </w:rPr>
        <w:t>time period</w:t>
      </w:r>
      <w:proofErr w:type="gramEnd"/>
      <w:r>
        <w:rPr>
          <w:rFonts w:eastAsiaTheme="minorEastAsia"/>
        </w:rPr>
        <w:t>.  A scatter plot shows a visible correlation between these two:</w:t>
      </w:r>
    </w:p>
    <w:p w:rsidR="00106581" w:rsidRDefault="00106581" w:rsidP="000A1769">
      <w:pPr>
        <w:rPr>
          <w:rFonts w:eastAsiaTheme="minorEastAsia"/>
        </w:rPr>
      </w:pPr>
    </w:p>
    <w:p w:rsidR="00106581" w:rsidRDefault="00106581" w:rsidP="000A1769">
      <w:pPr>
        <w:rPr>
          <w:rFonts w:eastAsiaTheme="minorEastAsia"/>
        </w:rPr>
      </w:pPr>
    </w:p>
    <w:p w:rsidR="00106581" w:rsidRDefault="00106581" w:rsidP="000A1769">
      <w:pPr>
        <w:rPr>
          <w:rFonts w:eastAsiaTheme="minorEastAsia"/>
        </w:rPr>
      </w:pPr>
      <w:r>
        <w:rPr>
          <w:rFonts w:eastAsiaTheme="minorEastAsia"/>
          <w:noProof/>
        </w:rPr>
        <w:drawing>
          <wp:inline distT="0" distB="0" distL="0" distR="0" wp14:anchorId="73D8EAF1">
            <wp:extent cx="4057650" cy="24312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431213"/>
                    </a:xfrm>
                    <a:prstGeom prst="rect">
                      <a:avLst/>
                    </a:prstGeom>
                    <a:noFill/>
                  </pic:spPr>
                </pic:pic>
              </a:graphicData>
            </a:graphic>
          </wp:inline>
        </w:drawing>
      </w:r>
    </w:p>
    <w:p w:rsidR="00106581" w:rsidRDefault="00106581" w:rsidP="000A1769">
      <w:pPr>
        <w:rPr>
          <w:rFonts w:eastAsiaTheme="minorEastAsia"/>
        </w:rPr>
      </w:pPr>
    </w:p>
    <w:p w:rsidR="00106581" w:rsidRDefault="00106581" w:rsidP="000A1769">
      <w:pPr>
        <w:rPr>
          <w:rFonts w:eastAsiaTheme="minorEastAsia"/>
        </w:rPr>
      </w:pPr>
      <w:r>
        <w:rPr>
          <w:rFonts w:eastAsiaTheme="minorEastAsia"/>
        </w:rPr>
        <w:t>A linear regression in R yields the following:</w:t>
      </w:r>
    </w:p>
    <w:p w:rsidR="00106581" w:rsidRDefault="00106581" w:rsidP="000A1769">
      <w:pPr>
        <w:rPr>
          <w:rFonts w:eastAsiaTheme="minorEastAsia"/>
        </w:rPr>
      </w:pP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Coefficients:</w:t>
      </w: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 xml:space="preserve">             Estimate Std. Error t value </w:t>
      </w:r>
      <w:proofErr w:type="spellStart"/>
      <w:proofErr w:type="gramStart"/>
      <w:r w:rsidRPr="00106581">
        <w:rPr>
          <w:rFonts w:ascii="Courier New" w:eastAsia="Times New Roman" w:hAnsi="Courier New" w:cs="Courier New"/>
          <w:color w:val="000000"/>
          <w:sz w:val="20"/>
          <w:szCs w:val="20"/>
        </w:rPr>
        <w:t>Pr</w:t>
      </w:r>
      <w:proofErr w:type="spellEnd"/>
      <w:r w:rsidRPr="00106581">
        <w:rPr>
          <w:rFonts w:ascii="Courier New" w:eastAsia="Times New Roman" w:hAnsi="Courier New" w:cs="Courier New"/>
          <w:color w:val="000000"/>
          <w:sz w:val="20"/>
          <w:szCs w:val="20"/>
        </w:rPr>
        <w:t>(</w:t>
      </w:r>
      <w:proofErr w:type="gramEnd"/>
      <w:r w:rsidRPr="00106581">
        <w:rPr>
          <w:rFonts w:ascii="Courier New" w:eastAsia="Times New Roman" w:hAnsi="Courier New" w:cs="Courier New"/>
          <w:color w:val="000000"/>
          <w:sz w:val="20"/>
          <w:szCs w:val="20"/>
        </w:rPr>
        <w:t xml:space="preserve">&gt;|t|)    </w:t>
      </w:r>
    </w:p>
    <w:p w:rsidR="00106581" w:rsidRPr="00C73DE0"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highlight w:val="yellow"/>
        </w:rPr>
      </w:pPr>
      <w:r w:rsidRPr="00C73DE0">
        <w:rPr>
          <w:rFonts w:ascii="Courier New" w:eastAsia="Times New Roman" w:hAnsi="Courier New" w:cs="Courier New"/>
          <w:color w:val="000000"/>
          <w:sz w:val="20"/>
          <w:szCs w:val="20"/>
          <w:highlight w:val="yellow"/>
        </w:rPr>
        <w:t xml:space="preserve">(Intercept) </w:t>
      </w:r>
      <w:proofErr w:type="gramStart"/>
      <w:r w:rsidRPr="00C73DE0">
        <w:rPr>
          <w:rFonts w:ascii="Courier New" w:eastAsia="Times New Roman" w:hAnsi="Courier New" w:cs="Courier New"/>
          <w:color w:val="000000"/>
          <w:sz w:val="20"/>
          <w:szCs w:val="20"/>
          <w:highlight w:val="yellow"/>
        </w:rPr>
        <w:t>0.0007290  0.0003807</w:t>
      </w:r>
      <w:proofErr w:type="gramEnd"/>
      <w:r w:rsidRPr="00C73DE0">
        <w:rPr>
          <w:rFonts w:ascii="Courier New" w:eastAsia="Times New Roman" w:hAnsi="Courier New" w:cs="Courier New"/>
          <w:color w:val="000000"/>
          <w:sz w:val="20"/>
          <w:szCs w:val="20"/>
          <w:highlight w:val="yellow"/>
        </w:rPr>
        <w:t xml:space="preserve">   1.915   0.0558 .  </w:t>
      </w:r>
      <w:r w:rsidR="00234B26" w:rsidRPr="00C73DE0">
        <w:rPr>
          <w:rFonts w:ascii="Courier New" w:eastAsia="Times New Roman" w:hAnsi="Courier New" w:cs="Courier New"/>
          <w:color w:val="000000"/>
          <w:sz w:val="20"/>
          <w:szCs w:val="20"/>
          <w:highlight w:val="yellow"/>
        </w:rPr>
        <w:t xml:space="preserve">  </w:t>
      </w:r>
      <w:r w:rsidR="00234B26" w:rsidRPr="00C73DE0">
        <w:rPr>
          <w:rFonts w:ascii="Courier New" w:eastAsia="Times New Roman" w:hAnsi="Courier New" w:cs="Courier New"/>
          <w:color w:val="000000"/>
          <w:sz w:val="20"/>
          <w:szCs w:val="20"/>
          <w:highlight w:val="yellow"/>
        </w:rPr>
        <w:sym w:font="Wingdings" w:char="F0DF"/>
      </w:r>
      <w:r w:rsidR="00234B26" w:rsidRPr="00C73DE0">
        <w:rPr>
          <w:rFonts w:ascii="Courier New" w:eastAsia="Times New Roman" w:hAnsi="Courier New" w:cs="Courier New"/>
          <w:color w:val="000000"/>
          <w:sz w:val="20"/>
          <w:szCs w:val="20"/>
          <w:highlight w:val="yellow"/>
        </w:rPr>
        <w:t xml:space="preserve"> </w:t>
      </w:r>
      <w:proofErr w:type="gramStart"/>
      <w:r w:rsidR="00234B26" w:rsidRPr="00C73DE0">
        <w:rPr>
          <w:rFonts w:ascii="Courier New" w:eastAsia="Times New Roman" w:hAnsi="Courier New" w:cs="Courier New"/>
          <w:color w:val="000000"/>
          <w:sz w:val="20"/>
          <w:szCs w:val="20"/>
          <w:highlight w:val="yellow"/>
        </w:rPr>
        <w:t>alpha</w:t>
      </w:r>
      <w:proofErr w:type="gramEnd"/>
    </w:p>
    <w:p w:rsidR="00106581" w:rsidRPr="00106581" w:rsidRDefault="00234B26"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C73DE0">
        <w:rPr>
          <w:rFonts w:ascii="Courier New" w:eastAsia="Times New Roman" w:hAnsi="Courier New" w:cs="Courier New"/>
          <w:color w:val="000000"/>
          <w:sz w:val="20"/>
          <w:szCs w:val="20"/>
          <w:highlight w:val="yellow"/>
        </w:rPr>
        <w:t>Market</w:t>
      </w:r>
      <w:r w:rsidR="00106581" w:rsidRPr="00C73DE0">
        <w:rPr>
          <w:rFonts w:ascii="Courier New" w:eastAsia="Times New Roman" w:hAnsi="Courier New" w:cs="Courier New"/>
          <w:color w:val="000000"/>
          <w:sz w:val="20"/>
          <w:szCs w:val="20"/>
          <w:highlight w:val="yellow"/>
        </w:rPr>
        <w:t xml:space="preserve">      </w:t>
      </w:r>
      <w:proofErr w:type="gramStart"/>
      <w:r w:rsidR="00106581" w:rsidRPr="00C73DE0">
        <w:rPr>
          <w:rFonts w:ascii="Courier New" w:eastAsia="Times New Roman" w:hAnsi="Courier New" w:cs="Courier New"/>
          <w:color w:val="000000"/>
          <w:sz w:val="20"/>
          <w:szCs w:val="20"/>
          <w:highlight w:val="yellow"/>
        </w:rPr>
        <w:t>0.7269978  0.0461922</w:t>
      </w:r>
      <w:proofErr w:type="gramEnd"/>
      <w:r w:rsidR="00106581" w:rsidRPr="00C73DE0">
        <w:rPr>
          <w:rFonts w:ascii="Courier New" w:eastAsia="Times New Roman" w:hAnsi="Courier New" w:cs="Courier New"/>
          <w:color w:val="000000"/>
          <w:sz w:val="20"/>
          <w:szCs w:val="20"/>
          <w:highlight w:val="yellow"/>
        </w:rPr>
        <w:t xml:space="preserve">  15.739   &lt;2e-16 ***</w:t>
      </w:r>
      <w:r w:rsidRPr="00C73DE0">
        <w:rPr>
          <w:rFonts w:ascii="Courier New" w:eastAsia="Times New Roman" w:hAnsi="Courier New" w:cs="Courier New"/>
          <w:color w:val="000000"/>
          <w:sz w:val="20"/>
          <w:szCs w:val="20"/>
          <w:highlight w:val="yellow"/>
        </w:rPr>
        <w:t xml:space="preserve">  </w:t>
      </w:r>
      <w:r w:rsidRPr="00C73DE0">
        <w:rPr>
          <w:rFonts w:ascii="Courier New" w:eastAsia="Times New Roman" w:hAnsi="Courier New" w:cs="Courier New"/>
          <w:color w:val="000000"/>
          <w:sz w:val="20"/>
          <w:szCs w:val="20"/>
          <w:highlight w:val="yellow"/>
        </w:rPr>
        <w:sym w:font="Wingdings" w:char="F0DF"/>
      </w:r>
      <w:r w:rsidRPr="00C73DE0">
        <w:rPr>
          <w:rFonts w:ascii="Courier New" w:eastAsia="Times New Roman" w:hAnsi="Courier New" w:cs="Courier New"/>
          <w:color w:val="000000"/>
          <w:sz w:val="20"/>
          <w:szCs w:val="20"/>
          <w:highlight w:val="yellow"/>
        </w:rPr>
        <w:t xml:space="preserve"> beta</w:t>
      </w: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w:t>
      </w:r>
      <w:bookmarkStart w:id="0" w:name="_GoBack"/>
      <w:bookmarkEnd w:id="0"/>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proofErr w:type="spellStart"/>
      <w:proofErr w:type="gramStart"/>
      <w:r w:rsidRPr="00106581">
        <w:rPr>
          <w:rFonts w:ascii="Courier New" w:eastAsia="Times New Roman" w:hAnsi="Courier New" w:cs="Courier New"/>
          <w:color w:val="000000"/>
          <w:sz w:val="20"/>
          <w:szCs w:val="20"/>
        </w:rPr>
        <w:t>Signif</w:t>
      </w:r>
      <w:proofErr w:type="spellEnd"/>
      <w:r w:rsidRPr="00106581">
        <w:rPr>
          <w:rFonts w:ascii="Courier New" w:eastAsia="Times New Roman" w:hAnsi="Courier New" w:cs="Courier New"/>
          <w:color w:val="000000"/>
          <w:sz w:val="20"/>
          <w:szCs w:val="20"/>
        </w:rPr>
        <w:t>.</w:t>
      </w:r>
      <w:proofErr w:type="gramEnd"/>
      <w:r w:rsidRPr="00106581">
        <w:rPr>
          <w:rFonts w:ascii="Courier New" w:eastAsia="Times New Roman" w:hAnsi="Courier New" w:cs="Courier New"/>
          <w:color w:val="000000"/>
          <w:sz w:val="20"/>
          <w:szCs w:val="20"/>
        </w:rPr>
        <w:t xml:space="preserve"> </w:t>
      </w:r>
      <w:proofErr w:type="gramStart"/>
      <w:r w:rsidRPr="00106581">
        <w:rPr>
          <w:rFonts w:ascii="Courier New" w:eastAsia="Times New Roman" w:hAnsi="Courier New" w:cs="Courier New"/>
          <w:color w:val="000000"/>
          <w:sz w:val="20"/>
          <w:szCs w:val="20"/>
        </w:rPr>
        <w:t>codes</w:t>
      </w:r>
      <w:proofErr w:type="gramEnd"/>
      <w:r w:rsidRPr="00106581">
        <w:rPr>
          <w:rFonts w:ascii="Courier New" w:eastAsia="Times New Roman" w:hAnsi="Courier New" w:cs="Courier New"/>
          <w:color w:val="000000"/>
          <w:sz w:val="20"/>
          <w:szCs w:val="20"/>
        </w:rPr>
        <w:t xml:space="preserve">:  0 ‘***’ 0.001 ‘**’ 0.01 ‘*’ 0.05 ‘.’ 0.1 </w:t>
      </w:r>
      <w:proofErr w:type="gramStart"/>
      <w:r w:rsidRPr="00106581">
        <w:rPr>
          <w:rFonts w:ascii="Courier New" w:eastAsia="Times New Roman" w:hAnsi="Courier New" w:cs="Courier New"/>
          <w:color w:val="000000"/>
          <w:sz w:val="20"/>
          <w:szCs w:val="20"/>
        </w:rPr>
        <w:t>‘ ’</w:t>
      </w:r>
      <w:proofErr w:type="gramEnd"/>
      <w:r w:rsidRPr="00106581">
        <w:rPr>
          <w:rFonts w:ascii="Courier New" w:eastAsia="Times New Roman" w:hAnsi="Courier New" w:cs="Courier New"/>
          <w:color w:val="000000"/>
          <w:sz w:val="20"/>
          <w:szCs w:val="20"/>
        </w:rPr>
        <w:t xml:space="preserve"> 1</w:t>
      </w: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Residual standard error: 0.01175 on 953 degrees of freedom</w:t>
      </w: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 xml:space="preserve">Multiple R-squared:  </w:t>
      </w:r>
      <w:r w:rsidRPr="00C73DE0">
        <w:rPr>
          <w:rFonts w:ascii="Courier New" w:eastAsia="Times New Roman" w:hAnsi="Courier New" w:cs="Courier New"/>
          <w:color w:val="000000"/>
          <w:sz w:val="20"/>
          <w:szCs w:val="20"/>
          <w:highlight w:val="yellow"/>
        </w:rPr>
        <w:t>0.2063</w:t>
      </w:r>
      <w:r w:rsidRPr="00106581">
        <w:rPr>
          <w:rFonts w:ascii="Courier New" w:eastAsia="Times New Roman" w:hAnsi="Courier New" w:cs="Courier New"/>
          <w:color w:val="000000"/>
          <w:sz w:val="20"/>
          <w:szCs w:val="20"/>
        </w:rPr>
        <w:t>,</w:t>
      </w:r>
      <w:r w:rsidRPr="00106581">
        <w:rPr>
          <w:rFonts w:ascii="Courier New" w:eastAsia="Times New Roman" w:hAnsi="Courier New" w:cs="Courier New"/>
          <w:color w:val="000000"/>
          <w:sz w:val="20"/>
          <w:szCs w:val="20"/>
        </w:rPr>
        <w:tab/>
        <w:t xml:space="preserve">Adjusted R-squared:  0.2055 </w:t>
      </w:r>
    </w:p>
    <w:p w:rsidR="00106581" w:rsidRPr="00106581" w:rsidRDefault="00106581" w:rsidP="00106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Courier New" w:eastAsia="Times New Roman" w:hAnsi="Courier New" w:cs="Courier New"/>
          <w:color w:val="000000"/>
          <w:sz w:val="20"/>
          <w:szCs w:val="20"/>
        </w:rPr>
      </w:pPr>
      <w:r w:rsidRPr="00106581">
        <w:rPr>
          <w:rFonts w:ascii="Courier New" w:eastAsia="Times New Roman" w:hAnsi="Courier New" w:cs="Courier New"/>
          <w:color w:val="000000"/>
          <w:sz w:val="20"/>
          <w:szCs w:val="20"/>
        </w:rPr>
        <w:t>F-statistic: 247.7 on 1 and 953 DF</w:t>
      </w:r>
      <w:proofErr w:type="gramStart"/>
      <w:r w:rsidRPr="00106581">
        <w:rPr>
          <w:rFonts w:ascii="Courier New" w:eastAsia="Times New Roman" w:hAnsi="Courier New" w:cs="Courier New"/>
          <w:color w:val="000000"/>
          <w:sz w:val="20"/>
          <w:szCs w:val="20"/>
        </w:rPr>
        <w:t>,  p</w:t>
      </w:r>
      <w:proofErr w:type="gramEnd"/>
      <w:r w:rsidRPr="00106581">
        <w:rPr>
          <w:rFonts w:ascii="Courier New" w:eastAsia="Times New Roman" w:hAnsi="Courier New" w:cs="Courier New"/>
          <w:color w:val="000000"/>
          <w:sz w:val="20"/>
          <w:szCs w:val="20"/>
        </w:rPr>
        <w:t>-value: &lt; 2.2e-16</w:t>
      </w:r>
    </w:p>
    <w:p w:rsidR="00106581" w:rsidRDefault="00106581" w:rsidP="000A1769">
      <w:pPr>
        <w:rPr>
          <w:rFonts w:eastAsiaTheme="minorEastAsia"/>
        </w:rPr>
      </w:pPr>
    </w:p>
    <w:p w:rsidR="00234B26" w:rsidRDefault="00234B26" w:rsidP="000A1769">
      <w:pPr>
        <w:rPr>
          <w:rFonts w:eastAsiaTheme="minorEastAsia"/>
        </w:rPr>
      </w:pPr>
      <w:r>
        <w:rPr>
          <w:rFonts w:eastAsiaTheme="minorEastAsia"/>
        </w:rPr>
        <w:t xml:space="preserve">The beta coefficient is 0.7269978 and is highly significant.  This means that </w:t>
      </w:r>
      <w:proofErr w:type="gramStart"/>
      <w:r>
        <w:rPr>
          <w:rFonts w:eastAsiaTheme="minorEastAsia"/>
        </w:rPr>
        <w:t>Kroger stock is in fact influenced by the overall market</w:t>
      </w:r>
      <w:proofErr w:type="gramEnd"/>
      <w:r>
        <w:rPr>
          <w:rFonts w:eastAsiaTheme="minorEastAsia"/>
        </w:rPr>
        <w:t xml:space="preserve">.  For every 1% movement we see in the market, we would expect Kroger stock to move by about 0.727%.  Kroger’s alpha is 0.073%, meaning that it is out-performing expectations during this </w:t>
      </w:r>
      <w:proofErr w:type="gramStart"/>
      <w:r>
        <w:rPr>
          <w:rFonts w:eastAsiaTheme="minorEastAsia"/>
        </w:rPr>
        <w:t>time period</w:t>
      </w:r>
      <w:proofErr w:type="gramEnd"/>
      <w:r>
        <w:rPr>
          <w:rFonts w:eastAsiaTheme="minorEastAsia"/>
        </w:rPr>
        <w:t xml:space="preserve">.  The p-value on this coefficient is not as strong as the beta coefficient, but it is still significant.  All of this gives us confidence that the model is appropriate to </w:t>
      </w:r>
      <w:proofErr w:type="gramStart"/>
      <w:r>
        <w:rPr>
          <w:rFonts w:eastAsiaTheme="minorEastAsia"/>
        </w:rPr>
        <w:t>be used</w:t>
      </w:r>
      <w:proofErr w:type="gramEnd"/>
      <w:r>
        <w:rPr>
          <w:rFonts w:eastAsiaTheme="minorEastAsia"/>
        </w:rPr>
        <w:t xml:space="preserve"> for this stock.</w:t>
      </w:r>
    </w:p>
    <w:p w:rsidR="00234B26" w:rsidRDefault="00234B26" w:rsidP="000A1769">
      <w:pPr>
        <w:rPr>
          <w:rFonts w:eastAsiaTheme="minorEastAsia"/>
        </w:rPr>
      </w:pPr>
    </w:p>
    <w:p w:rsidR="00234B26" w:rsidRDefault="00234B26" w:rsidP="000A1769">
      <w:pPr>
        <w:rPr>
          <w:rFonts w:eastAsiaTheme="minorEastAsia"/>
        </w:rPr>
      </w:pPr>
      <w:r>
        <w:rPr>
          <w:rFonts w:eastAsiaTheme="minorEastAsia"/>
        </w:rPr>
        <w:t xml:space="preserve">The R-squared statistic is what we are </w:t>
      </w:r>
      <w:proofErr w:type="gramStart"/>
      <w:r>
        <w:rPr>
          <w:rFonts w:eastAsiaTheme="minorEastAsia"/>
        </w:rPr>
        <w:t>really interested</w:t>
      </w:r>
      <w:proofErr w:type="gramEnd"/>
      <w:r>
        <w:rPr>
          <w:rFonts w:eastAsiaTheme="minorEastAsia"/>
        </w:rPr>
        <w:t xml:space="preserve"> in here.  At 0.2063, this tells us that </w:t>
      </w:r>
      <w:proofErr w:type="gramStart"/>
      <w:r>
        <w:rPr>
          <w:rFonts w:eastAsiaTheme="minorEastAsia"/>
        </w:rPr>
        <w:t>20.63% of the stock’s variance is explained by movement of the market</w:t>
      </w:r>
      <w:proofErr w:type="gramEnd"/>
      <w:r>
        <w:rPr>
          <w:rFonts w:eastAsiaTheme="minorEastAsia"/>
        </w:rPr>
        <w:t xml:space="preserve">.  The remaining 79.37% </w:t>
      </w:r>
      <w:proofErr w:type="gramStart"/>
      <w:r>
        <w:rPr>
          <w:rFonts w:eastAsiaTheme="minorEastAsia"/>
        </w:rPr>
        <w:t>can be attributed</w:t>
      </w:r>
      <w:proofErr w:type="gramEnd"/>
      <w:r>
        <w:rPr>
          <w:rFonts w:eastAsiaTheme="minorEastAsia"/>
        </w:rPr>
        <w:t xml:space="preserve"> to factors specific to this stock.</w:t>
      </w:r>
    </w:p>
    <w:p w:rsidR="00234B26" w:rsidRDefault="00234B26" w:rsidP="000A1769">
      <w:pPr>
        <w:rPr>
          <w:rFonts w:eastAsiaTheme="minorEastAsia"/>
        </w:rPr>
      </w:pPr>
    </w:p>
    <w:p w:rsidR="00234B26" w:rsidRDefault="00234B26" w:rsidP="00234B26">
      <w:pPr>
        <w:pStyle w:val="Heading1"/>
      </w:pPr>
      <w:r>
        <w:t>Analysis of Multiple Stocks</w:t>
      </w:r>
    </w:p>
    <w:p w:rsidR="00234B26" w:rsidRDefault="00234B26" w:rsidP="000A1769">
      <w:pPr>
        <w:rPr>
          <w:rFonts w:eastAsiaTheme="minorEastAsia"/>
        </w:rPr>
      </w:pPr>
    </w:p>
    <w:p w:rsidR="00234B26" w:rsidRDefault="00234B26" w:rsidP="000A1769">
      <w:pPr>
        <w:rPr>
          <w:rFonts w:eastAsiaTheme="minorEastAsia"/>
        </w:rPr>
      </w:pPr>
      <w:r>
        <w:rPr>
          <w:rFonts w:eastAsiaTheme="minorEastAsia"/>
        </w:rPr>
        <w:t xml:space="preserve">The analysis performed above was repeated for all stocks in the S&amp;P 500 during the same </w:t>
      </w:r>
      <w:proofErr w:type="gramStart"/>
      <w:r>
        <w:rPr>
          <w:rFonts w:eastAsiaTheme="minorEastAsia"/>
        </w:rPr>
        <w:t>time period</w:t>
      </w:r>
      <w:proofErr w:type="gramEnd"/>
      <w:r>
        <w:rPr>
          <w:rFonts w:eastAsiaTheme="minorEastAsia"/>
        </w:rPr>
        <w:t xml:space="preserve"> (2013 to 2016).  The plots below show the various summary statistics from these regressions for all of the stocks:</w:t>
      </w:r>
    </w:p>
    <w:p w:rsidR="00234B26" w:rsidRDefault="00234B26" w:rsidP="000A1769">
      <w:pPr>
        <w:rPr>
          <w:rFonts w:eastAsiaTheme="minorEastAsia"/>
        </w:rPr>
      </w:pPr>
    </w:p>
    <w:tbl>
      <w:tblPr>
        <w:tblStyle w:val="TableGrid"/>
        <w:tblW w:w="0" w:type="auto"/>
        <w:tblLook w:val="04A0" w:firstRow="1" w:lastRow="0" w:firstColumn="1" w:lastColumn="0" w:noHBand="0" w:noVBand="1"/>
      </w:tblPr>
      <w:tblGrid>
        <w:gridCol w:w="4891"/>
        <w:gridCol w:w="4685"/>
      </w:tblGrid>
      <w:tr w:rsidR="00234B26" w:rsidTr="00234B26">
        <w:tc>
          <w:tcPr>
            <w:tcW w:w="4788" w:type="dxa"/>
          </w:tcPr>
          <w:p w:rsidR="00234B26" w:rsidRDefault="00234B26" w:rsidP="000A1769">
            <w:pPr>
              <w:rPr>
                <w:rFonts w:eastAsiaTheme="minorEastAsia"/>
              </w:rPr>
            </w:pPr>
            <w:r>
              <w:rPr>
                <w:noProof/>
              </w:rPr>
              <w:lastRenderedPageBreak/>
              <w:drawing>
                <wp:inline distT="0" distB="0" distL="0" distR="0" wp14:anchorId="40BAAAEB" wp14:editId="172B0465">
                  <wp:extent cx="2914650" cy="17847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285" cy="1784517"/>
                          </a:xfrm>
                          <a:prstGeom prst="rect">
                            <a:avLst/>
                          </a:prstGeom>
                        </pic:spPr>
                      </pic:pic>
                    </a:graphicData>
                  </a:graphic>
                </wp:inline>
              </w:drawing>
            </w:r>
          </w:p>
          <w:p w:rsidR="00C34AD5" w:rsidRDefault="00C34AD5" w:rsidP="00234B26">
            <w:pPr>
              <w:pStyle w:val="HTMLPreformatted"/>
              <w:shd w:val="clear" w:color="auto" w:fill="FFFFFF"/>
              <w:wordWrap w:val="0"/>
              <w:spacing w:line="187" w:lineRule="atLeast"/>
              <w:rPr>
                <w:color w:val="000000"/>
                <w:sz w:val="16"/>
              </w:rPr>
            </w:pPr>
            <w:r>
              <w:rPr>
                <w:color w:val="000000"/>
                <w:sz w:val="16"/>
              </w:rPr>
              <w:t>Mean   = 1.0580    Median = 1.0490</w:t>
            </w:r>
          </w:p>
          <w:p w:rsidR="00C34AD5" w:rsidRDefault="00C34AD5" w:rsidP="00234B26">
            <w:pPr>
              <w:pStyle w:val="HTMLPreformatted"/>
              <w:shd w:val="clear" w:color="auto" w:fill="FFFFFF"/>
              <w:wordWrap w:val="0"/>
              <w:spacing w:line="187" w:lineRule="atLeast"/>
              <w:rPr>
                <w:color w:val="000000"/>
                <w:sz w:val="16"/>
              </w:rPr>
            </w:pPr>
            <w:r>
              <w:rPr>
                <w:color w:val="000000"/>
                <w:sz w:val="16"/>
              </w:rPr>
              <w:t>Min    = 0.1651    Max    = 2.0160</w:t>
            </w:r>
          </w:p>
          <w:p w:rsidR="00234B26" w:rsidRDefault="00C34AD5" w:rsidP="00234B26">
            <w:pPr>
              <w:pStyle w:val="HTMLPreformatted"/>
              <w:shd w:val="clear" w:color="auto" w:fill="FFFFFF"/>
              <w:wordWrap w:val="0"/>
              <w:spacing w:line="187" w:lineRule="atLeast"/>
              <w:rPr>
                <w:color w:val="000000"/>
                <w:sz w:val="16"/>
              </w:rPr>
            </w:pPr>
            <w:r>
              <w:rPr>
                <w:color w:val="000000"/>
                <w:sz w:val="16"/>
              </w:rPr>
              <w:t>1</w:t>
            </w:r>
            <w:r w:rsidRPr="00C34AD5">
              <w:rPr>
                <w:color w:val="000000"/>
                <w:sz w:val="16"/>
              </w:rPr>
              <w:t>st</w:t>
            </w:r>
            <w:r>
              <w:rPr>
                <w:color w:val="000000"/>
                <w:sz w:val="16"/>
              </w:rPr>
              <w:t xml:space="preserve"> Qu = 0.8719    3</w:t>
            </w:r>
            <w:r w:rsidRPr="00C34AD5">
              <w:rPr>
                <w:color w:val="000000"/>
                <w:sz w:val="16"/>
              </w:rPr>
              <w:t>rd</w:t>
            </w:r>
            <w:r>
              <w:rPr>
                <w:color w:val="000000"/>
                <w:sz w:val="16"/>
              </w:rPr>
              <w:t xml:space="preserve"> Qu = 1.2410</w:t>
            </w:r>
          </w:p>
          <w:p w:rsidR="00C34AD5" w:rsidRPr="00234B26" w:rsidRDefault="00C34AD5" w:rsidP="00234B26">
            <w:pPr>
              <w:pStyle w:val="HTMLPreformatted"/>
              <w:shd w:val="clear" w:color="auto" w:fill="FFFFFF"/>
              <w:wordWrap w:val="0"/>
              <w:spacing w:line="187" w:lineRule="atLeast"/>
              <w:rPr>
                <w:color w:val="000000"/>
                <w:sz w:val="16"/>
              </w:rPr>
            </w:pPr>
          </w:p>
        </w:tc>
        <w:tc>
          <w:tcPr>
            <w:tcW w:w="4788" w:type="dxa"/>
          </w:tcPr>
          <w:p w:rsidR="00234B26" w:rsidRDefault="00234B26" w:rsidP="000A1769">
            <w:pPr>
              <w:rPr>
                <w:rFonts w:eastAsiaTheme="minorEastAsia"/>
              </w:rPr>
            </w:pPr>
            <w:r>
              <w:rPr>
                <w:noProof/>
              </w:rPr>
              <w:drawing>
                <wp:inline distT="0" distB="0" distL="0" distR="0" wp14:anchorId="168718F2" wp14:editId="199DAFDC">
                  <wp:extent cx="2901696"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1333" cy="1780952"/>
                          </a:xfrm>
                          <a:prstGeom prst="rect">
                            <a:avLst/>
                          </a:prstGeom>
                        </pic:spPr>
                      </pic:pic>
                    </a:graphicData>
                  </a:graphic>
                </wp:inline>
              </w:drawing>
            </w:r>
          </w:p>
          <w:p w:rsidR="00C34AD5" w:rsidRDefault="00C34AD5" w:rsidP="00C34AD5">
            <w:pPr>
              <w:pStyle w:val="HTMLPreformatted"/>
              <w:shd w:val="clear" w:color="auto" w:fill="FFFFFF"/>
              <w:wordWrap w:val="0"/>
              <w:spacing w:line="187" w:lineRule="atLeast"/>
              <w:rPr>
                <w:color w:val="000000"/>
                <w:sz w:val="16"/>
              </w:rPr>
            </w:pPr>
            <w:r>
              <w:rPr>
                <w:color w:val="000000"/>
                <w:sz w:val="16"/>
              </w:rPr>
              <w:t>Mean   = 0.0001111    Median = 0.0001340</w:t>
            </w:r>
          </w:p>
          <w:p w:rsidR="00C34AD5" w:rsidRDefault="00C34AD5" w:rsidP="00C34AD5">
            <w:pPr>
              <w:pStyle w:val="HTMLPreformatted"/>
              <w:shd w:val="clear" w:color="auto" w:fill="FFFFFF"/>
              <w:wordWrap w:val="0"/>
              <w:spacing w:line="187" w:lineRule="atLeast"/>
              <w:rPr>
                <w:color w:val="000000"/>
                <w:sz w:val="16"/>
              </w:rPr>
            </w:pPr>
            <w:r>
              <w:rPr>
                <w:color w:val="000000"/>
                <w:sz w:val="16"/>
              </w:rPr>
              <w:t>Min    = -.0021280    Max    = 0.0020560</w:t>
            </w:r>
          </w:p>
          <w:p w:rsidR="00234B26" w:rsidRPr="00C34AD5" w:rsidRDefault="00C34AD5" w:rsidP="00C34AD5">
            <w:pPr>
              <w:pStyle w:val="HTMLPreformatted"/>
              <w:shd w:val="clear" w:color="auto" w:fill="FFFFFF"/>
              <w:wordWrap w:val="0"/>
              <w:spacing w:line="187" w:lineRule="atLeast"/>
              <w:rPr>
                <w:color w:val="000000"/>
                <w:sz w:val="16"/>
              </w:rPr>
            </w:pPr>
            <w:r>
              <w:rPr>
                <w:color w:val="000000"/>
                <w:sz w:val="16"/>
              </w:rPr>
              <w:t>1</w:t>
            </w:r>
            <w:r w:rsidRPr="00C34AD5">
              <w:rPr>
                <w:color w:val="000000"/>
                <w:sz w:val="16"/>
              </w:rPr>
              <w:t>st</w:t>
            </w:r>
            <w:r>
              <w:rPr>
                <w:color w:val="000000"/>
                <w:sz w:val="16"/>
              </w:rPr>
              <w:t xml:space="preserve"> Qu = -.0001211    3</w:t>
            </w:r>
            <w:r w:rsidRPr="00C34AD5">
              <w:rPr>
                <w:color w:val="000000"/>
                <w:sz w:val="16"/>
              </w:rPr>
              <w:t>rd</w:t>
            </w:r>
            <w:r>
              <w:rPr>
                <w:color w:val="000000"/>
                <w:sz w:val="16"/>
              </w:rPr>
              <w:t xml:space="preserve"> Qu = 0.0003625</w:t>
            </w:r>
          </w:p>
        </w:tc>
      </w:tr>
      <w:tr w:rsidR="00234B26" w:rsidTr="00234B26">
        <w:tc>
          <w:tcPr>
            <w:tcW w:w="4788" w:type="dxa"/>
          </w:tcPr>
          <w:p w:rsidR="00234B26" w:rsidRDefault="00234B26" w:rsidP="000A1769">
            <w:pPr>
              <w:rPr>
                <w:rFonts w:eastAsiaTheme="minorEastAsia"/>
              </w:rPr>
            </w:pPr>
            <w:r>
              <w:rPr>
                <w:noProof/>
              </w:rPr>
              <w:drawing>
                <wp:inline distT="0" distB="0" distL="0" distR="0" wp14:anchorId="539F9216" wp14:editId="3C5F1BBF">
                  <wp:extent cx="2981325" cy="182796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2087" cy="1828433"/>
                          </a:xfrm>
                          <a:prstGeom prst="rect">
                            <a:avLst/>
                          </a:prstGeom>
                        </pic:spPr>
                      </pic:pic>
                    </a:graphicData>
                  </a:graphic>
                </wp:inline>
              </w:drawing>
            </w:r>
          </w:p>
          <w:p w:rsidR="00C34AD5" w:rsidRDefault="00C34AD5" w:rsidP="00234B26">
            <w:pPr>
              <w:pStyle w:val="HTMLPreformatted"/>
              <w:shd w:val="clear" w:color="auto" w:fill="FFFFFF"/>
              <w:wordWrap w:val="0"/>
              <w:spacing w:line="187" w:lineRule="atLeast"/>
              <w:rPr>
                <w:color w:val="000000"/>
                <w:sz w:val="16"/>
              </w:rPr>
            </w:pPr>
            <w:r>
              <w:rPr>
                <w:color w:val="000000"/>
                <w:sz w:val="16"/>
              </w:rPr>
              <w:t>Mean   = 3.433e-06    Median = 0.000e+00</w:t>
            </w:r>
          </w:p>
          <w:p w:rsidR="00C34AD5" w:rsidRDefault="00C34AD5" w:rsidP="00234B26">
            <w:pPr>
              <w:pStyle w:val="HTMLPreformatted"/>
              <w:shd w:val="clear" w:color="auto" w:fill="FFFFFF"/>
              <w:wordWrap w:val="0"/>
              <w:spacing w:line="187" w:lineRule="atLeast"/>
              <w:rPr>
                <w:color w:val="000000"/>
                <w:sz w:val="16"/>
              </w:rPr>
            </w:pPr>
            <w:r>
              <w:rPr>
                <w:color w:val="000000"/>
                <w:sz w:val="16"/>
              </w:rPr>
              <w:t>Min    = 0.000e+00    Max    = 1.628e-03</w:t>
            </w:r>
          </w:p>
          <w:p w:rsidR="00234B26" w:rsidRDefault="00C34AD5" w:rsidP="00C34AD5">
            <w:pPr>
              <w:pStyle w:val="HTMLPreformatted"/>
              <w:shd w:val="clear" w:color="auto" w:fill="FFFFFF"/>
              <w:wordWrap w:val="0"/>
              <w:spacing w:line="187" w:lineRule="atLeast"/>
              <w:rPr>
                <w:color w:val="000000"/>
                <w:sz w:val="16"/>
              </w:rPr>
            </w:pPr>
            <w:r>
              <w:rPr>
                <w:color w:val="000000"/>
                <w:sz w:val="16"/>
              </w:rPr>
              <w:t>1</w:t>
            </w:r>
            <w:r w:rsidRPr="00C34AD5">
              <w:rPr>
                <w:color w:val="000000"/>
                <w:sz w:val="16"/>
              </w:rPr>
              <w:t>st</w:t>
            </w:r>
            <w:r>
              <w:rPr>
                <w:color w:val="000000"/>
                <w:sz w:val="16"/>
              </w:rPr>
              <w:t xml:space="preserve"> Qu = 0.000e+00    3</w:t>
            </w:r>
            <w:r w:rsidRPr="00C34AD5">
              <w:rPr>
                <w:color w:val="000000"/>
                <w:sz w:val="16"/>
              </w:rPr>
              <w:t>rd</w:t>
            </w:r>
            <w:r>
              <w:rPr>
                <w:color w:val="000000"/>
                <w:sz w:val="16"/>
              </w:rPr>
              <w:t xml:space="preserve"> Qu  = 0.000e+00</w:t>
            </w:r>
          </w:p>
          <w:p w:rsidR="00C34AD5" w:rsidRPr="00C34AD5" w:rsidRDefault="00C34AD5" w:rsidP="00C34AD5">
            <w:pPr>
              <w:pStyle w:val="HTMLPreformatted"/>
              <w:shd w:val="clear" w:color="auto" w:fill="FFFFFF"/>
              <w:wordWrap w:val="0"/>
              <w:spacing w:line="187" w:lineRule="atLeast"/>
              <w:rPr>
                <w:color w:val="000000"/>
                <w:sz w:val="16"/>
              </w:rPr>
            </w:pPr>
          </w:p>
        </w:tc>
        <w:tc>
          <w:tcPr>
            <w:tcW w:w="4788" w:type="dxa"/>
          </w:tcPr>
          <w:p w:rsidR="00C34AD5" w:rsidRPr="00C34AD5" w:rsidRDefault="00234B26" w:rsidP="00C34AD5">
            <w:pPr>
              <w:rPr>
                <w:rFonts w:eastAsiaTheme="minorEastAsia"/>
              </w:rPr>
            </w:pPr>
            <w:r>
              <w:rPr>
                <w:noProof/>
              </w:rPr>
              <w:drawing>
                <wp:inline distT="0" distB="0" distL="0" distR="0" wp14:anchorId="25B1F630" wp14:editId="6BBD9F8D">
                  <wp:extent cx="2905125" cy="178467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7449" cy="1786099"/>
                          </a:xfrm>
                          <a:prstGeom prst="rect">
                            <a:avLst/>
                          </a:prstGeom>
                        </pic:spPr>
                      </pic:pic>
                    </a:graphicData>
                  </a:graphic>
                </wp:inline>
              </w:drawing>
            </w:r>
          </w:p>
          <w:p w:rsidR="00C34AD5" w:rsidRDefault="00C34AD5" w:rsidP="00C34AD5">
            <w:pPr>
              <w:pStyle w:val="HTMLPreformatted"/>
              <w:shd w:val="clear" w:color="auto" w:fill="FFFFFF"/>
              <w:wordWrap w:val="0"/>
              <w:spacing w:line="187" w:lineRule="atLeast"/>
              <w:rPr>
                <w:color w:val="000000"/>
                <w:sz w:val="16"/>
              </w:rPr>
            </w:pPr>
            <w:r>
              <w:rPr>
                <w:color w:val="000000"/>
                <w:sz w:val="16"/>
              </w:rPr>
              <w:t>Mean   = 0.4779000     Median = 0.4637000</w:t>
            </w:r>
          </w:p>
          <w:p w:rsidR="00C34AD5" w:rsidRDefault="00C34AD5" w:rsidP="00C34AD5">
            <w:pPr>
              <w:pStyle w:val="HTMLPreformatted"/>
              <w:shd w:val="clear" w:color="auto" w:fill="FFFFFF"/>
              <w:wordWrap w:val="0"/>
              <w:spacing w:line="187" w:lineRule="atLeast"/>
              <w:rPr>
                <w:color w:val="000000"/>
                <w:sz w:val="16"/>
              </w:rPr>
            </w:pPr>
            <w:r>
              <w:rPr>
                <w:color w:val="000000"/>
                <w:sz w:val="16"/>
              </w:rPr>
              <w:t>Min    = 0.0004372     Max    = 0.9978000</w:t>
            </w:r>
          </w:p>
          <w:p w:rsidR="00234B26" w:rsidRPr="00C34AD5" w:rsidRDefault="00C34AD5" w:rsidP="00C34AD5">
            <w:pPr>
              <w:pStyle w:val="HTMLPreformatted"/>
              <w:shd w:val="clear" w:color="auto" w:fill="FFFFFF"/>
              <w:wordWrap w:val="0"/>
              <w:spacing w:line="187" w:lineRule="atLeast"/>
              <w:rPr>
                <w:rFonts w:ascii="Lucida Console" w:hAnsi="Lucida Console"/>
                <w:color w:val="000000"/>
              </w:rPr>
            </w:pPr>
            <w:r>
              <w:rPr>
                <w:color w:val="000000"/>
                <w:sz w:val="16"/>
              </w:rPr>
              <w:t>1</w:t>
            </w:r>
            <w:r w:rsidRPr="00C34AD5">
              <w:rPr>
                <w:color w:val="000000"/>
                <w:sz w:val="16"/>
              </w:rPr>
              <w:t>st</w:t>
            </w:r>
            <w:r>
              <w:rPr>
                <w:color w:val="000000"/>
                <w:sz w:val="16"/>
              </w:rPr>
              <w:t xml:space="preserve"> Qu = 0.2078000     3</w:t>
            </w:r>
            <w:r w:rsidRPr="00C34AD5">
              <w:rPr>
                <w:color w:val="000000"/>
                <w:sz w:val="16"/>
              </w:rPr>
              <w:t>rd</w:t>
            </w:r>
            <w:r>
              <w:rPr>
                <w:color w:val="000000"/>
                <w:sz w:val="16"/>
              </w:rPr>
              <w:t xml:space="preserve"> Qu = 0.7187000</w:t>
            </w:r>
          </w:p>
        </w:tc>
      </w:tr>
      <w:tr w:rsidR="00234B26" w:rsidTr="00234B26">
        <w:tc>
          <w:tcPr>
            <w:tcW w:w="4788" w:type="dxa"/>
          </w:tcPr>
          <w:p w:rsidR="00234B26" w:rsidRDefault="00234B26" w:rsidP="000A1769">
            <w:pPr>
              <w:rPr>
                <w:rFonts w:eastAsiaTheme="minorEastAsia"/>
              </w:rPr>
            </w:pPr>
            <w:r>
              <w:rPr>
                <w:noProof/>
              </w:rPr>
              <w:drawing>
                <wp:inline distT="0" distB="0" distL="0" distR="0" wp14:anchorId="03FE34FB" wp14:editId="0DACFB90">
                  <wp:extent cx="3038475" cy="18654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98" cy="1865497"/>
                          </a:xfrm>
                          <a:prstGeom prst="rect">
                            <a:avLst/>
                          </a:prstGeom>
                        </pic:spPr>
                      </pic:pic>
                    </a:graphicData>
                  </a:graphic>
                </wp:inline>
              </w:drawing>
            </w:r>
          </w:p>
          <w:p w:rsidR="00C34AD5" w:rsidRDefault="00C34AD5" w:rsidP="00C34AD5">
            <w:pPr>
              <w:pStyle w:val="HTMLPreformatted"/>
              <w:shd w:val="clear" w:color="auto" w:fill="FFFFFF"/>
              <w:wordWrap w:val="0"/>
              <w:spacing w:line="187" w:lineRule="atLeast"/>
              <w:rPr>
                <w:color w:val="000000"/>
                <w:sz w:val="16"/>
              </w:rPr>
            </w:pPr>
            <w:r>
              <w:rPr>
                <w:color w:val="000000"/>
                <w:sz w:val="16"/>
              </w:rPr>
              <w:t>Mean   = 0.33500     Median = 0.32630</w:t>
            </w:r>
          </w:p>
          <w:p w:rsidR="00C34AD5" w:rsidRDefault="00C34AD5" w:rsidP="00C34AD5">
            <w:pPr>
              <w:pStyle w:val="HTMLPreformatted"/>
              <w:shd w:val="clear" w:color="auto" w:fill="FFFFFF"/>
              <w:wordWrap w:val="0"/>
              <w:spacing w:line="187" w:lineRule="atLeast"/>
              <w:rPr>
                <w:color w:val="000000"/>
                <w:sz w:val="16"/>
              </w:rPr>
            </w:pPr>
            <w:r>
              <w:rPr>
                <w:color w:val="000000"/>
                <w:sz w:val="16"/>
              </w:rPr>
              <w:t>Min    = 0.02127     Max    = 0.68610</w:t>
            </w:r>
          </w:p>
          <w:p w:rsidR="00C34AD5" w:rsidRDefault="00C34AD5" w:rsidP="00C34AD5">
            <w:pPr>
              <w:pStyle w:val="HTMLPreformatted"/>
              <w:shd w:val="clear" w:color="auto" w:fill="FFFFFF"/>
              <w:wordWrap w:val="0"/>
              <w:spacing w:line="187" w:lineRule="atLeast"/>
              <w:rPr>
                <w:color w:val="000000"/>
                <w:sz w:val="16"/>
              </w:rPr>
            </w:pPr>
            <w:r>
              <w:rPr>
                <w:color w:val="000000"/>
                <w:sz w:val="16"/>
              </w:rPr>
              <w:t>1</w:t>
            </w:r>
            <w:r w:rsidRPr="00C34AD5">
              <w:rPr>
                <w:color w:val="000000"/>
                <w:sz w:val="16"/>
              </w:rPr>
              <w:t>st</w:t>
            </w:r>
            <w:r>
              <w:rPr>
                <w:color w:val="000000"/>
                <w:sz w:val="16"/>
              </w:rPr>
              <w:t xml:space="preserve"> Qu = 0.23410    3</w:t>
            </w:r>
            <w:r w:rsidRPr="00C34AD5">
              <w:rPr>
                <w:color w:val="000000"/>
                <w:sz w:val="16"/>
              </w:rPr>
              <w:t>rd</w:t>
            </w:r>
            <w:r>
              <w:rPr>
                <w:color w:val="000000"/>
                <w:sz w:val="16"/>
              </w:rPr>
              <w:t xml:space="preserve"> Qu = 0.43290</w:t>
            </w:r>
          </w:p>
          <w:p w:rsidR="00181B35" w:rsidRPr="00C34AD5" w:rsidRDefault="00181B35" w:rsidP="00C34AD5">
            <w:pPr>
              <w:pStyle w:val="HTMLPreformatted"/>
              <w:shd w:val="clear" w:color="auto" w:fill="FFFFFF"/>
              <w:wordWrap w:val="0"/>
              <w:spacing w:line="187" w:lineRule="atLeast"/>
              <w:rPr>
                <w:rFonts w:eastAsiaTheme="minorEastAsia"/>
              </w:rPr>
            </w:pPr>
          </w:p>
        </w:tc>
        <w:tc>
          <w:tcPr>
            <w:tcW w:w="4788" w:type="dxa"/>
          </w:tcPr>
          <w:p w:rsidR="00234B26" w:rsidRDefault="00234B26" w:rsidP="000A1769">
            <w:pPr>
              <w:rPr>
                <w:rFonts w:eastAsiaTheme="minorEastAsia"/>
              </w:rPr>
            </w:pPr>
          </w:p>
        </w:tc>
      </w:tr>
    </w:tbl>
    <w:p w:rsidR="00234B26" w:rsidRDefault="00234B26" w:rsidP="000A1769">
      <w:pPr>
        <w:rPr>
          <w:rFonts w:eastAsiaTheme="minorEastAsia"/>
        </w:rPr>
      </w:pPr>
    </w:p>
    <w:p w:rsidR="00181B35" w:rsidRDefault="00181B35" w:rsidP="000A1769">
      <w:pPr>
        <w:rPr>
          <w:rFonts w:eastAsiaTheme="minorEastAsia"/>
        </w:rPr>
      </w:pPr>
      <w:r>
        <w:rPr>
          <w:rFonts w:eastAsiaTheme="minorEastAsia"/>
        </w:rPr>
        <w:t>These results show us several things:</w:t>
      </w:r>
    </w:p>
    <w:p w:rsidR="00181B35" w:rsidRDefault="00181B35" w:rsidP="000A1769">
      <w:pPr>
        <w:rPr>
          <w:rFonts w:eastAsiaTheme="minorEastAsia"/>
        </w:rPr>
      </w:pPr>
    </w:p>
    <w:p w:rsidR="00181B35" w:rsidRDefault="00181B35" w:rsidP="00181B35">
      <w:pPr>
        <w:pStyle w:val="ListParagraph"/>
        <w:numPr>
          <w:ilvl w:val="0"/>
          <w:numId w:val="11"/>
        </w:numPr>
        <w:rPr>
          <w:rFonts w:eastAsiaTheme="minorEastAsia"/>
        </w:rPr>
      </w:pPr>
      <w:r>
        <w:rPr>
          <w:rFonts w:eastAsiaTheme="minorEastAsia"/>
        </w:rPr>
        <w:t>The average value of beta is 1 (most stocks move with the market on a 1-for-1 basis), although some move</w:t>
      </w:r>
      <w:r w:rsidR="006A24A0">
        <w:rPr>
          <w:rFonts w:eastAsiaTheme="minorEastAsia"/>
        </w:rPr>
        <w:t xml:space="preserve"> more and others less.</w:t>
      </w:r>
    </w:p>
    <w:p w:rsidR="006A24A0" w:rsidRDefault="006A24A0" w:rsidP="00181B35">
      <w:pPr>
        <w:pStyle w:val="ListParagraph"/>
        <w:numPr>
          <w:ilvl w:val="0"/>
          <w:numId w:val="11"/>
        </w:numPr>
        <w:rPr>
          <w:rFonts w:eastAsiaTheme="minorEastAsia"/>
        </w:rPr>
      </w:pPr>
      <w:r>
        <w:rPr>
          <w:rFonts w:eastAsiaTheme="minorEastAsia"/>
        </w:rPr>
        <w:lastRenderedPageBreak/>
        <w:t>Values of alpha are close to zero (the theoretical prediction) but slightly positive.  Some stocks how much higher returns than can be explained by the market and others show much lower returns.</w:t>
      </w:r>
    </w:p>
    <w:p w:rsidR="006A24A0" w:rsidRDefault="006A24A0" w:rsidP="00181B35">
      <w:pPr>
        <w:pStyle w:val="ListParagraph"/>
        <w:numPr>
          <w:ilvl w:val="0"/>
          <w:numId w:val="11"/>
        </w:numPr>
        <w:rPr>
          <w:rFonts w:eastAsiaTheme="minorEastAsia"/>
        </w:rPr>
      </w:pPr>
      <w:r>
        <w:rPr>
          <w:rFonts w:eastAsiaTheme="minorEastAsia"/>
        </w:rPr>
        <w:t>P-values for beta are so low that we believe all stocks have some relation to the overall market.  Even the 3</w:t>
      </w:r>
      <w:r w:rsidRPr="006A24A0">
        <w:rPr>
          <w:rFonts w:eastAsiaTheme="minorEastAsia"/>
          <w:vertAlign w:val="superscript"/>
        </w:rPr>
        <w:t>rd</w:t>
      </w:r>
      <w:r>
        <w:rPr>
          <w:rFonts w:eastAsiaTheme="minorEastAsia"/>
        </w:rPr>
        <w:t xml:space="preserve"> </w:t>
      </w:r>
      <w:proofErr w:type="gramStart"/>
      <w:r>
        <w:rPr>
          <w:rFonts w:eastAsiaTheme="minorEastAsia"/>
        </w:rPr>
        <w:t>quartile (75% of stocks) are</w:t>
      </w:r>
      <w:proofErr w:type="gramEnd"/>
      <w:r>
        <w:rPr>
          <w:rFonts w:eastAsiaTheme="minorEastAsia"/>
        </w:rPr>
        <w:t xml:space="preserve"> showing p-values so low that they are indistinguishable from zero.</w:t>
      </w:r>
    </w:p>
    <w:p w:rsidR="006A24A0" w:rsidRDefault="006A24A0" w:rsidP="00181B35">
      <w:pPr>
        <w:pStyle w:val="ListParagraph"/>
        <w:numPr>
          <w:ilvl w:val="0"/>
          <w:numId w:val="11"/>
        </w:numPr>
        <w:rPr>
          <w:rFonts w:eastAsiaTheme="minorEastAsia"/>
        </w:rPr>
      </w:pPr>
      <w:r>
        <w:rPr>
          <w:rFonts w:eastAsiaTheme="minorEastAsia"/>
        </w:rPr>
        <w:t xml:space="preserve">P-values for alpha are all over the place.  This implies that some excess returns are statistically significant, but the vast </w:t>
      </w:r>
      <w:proofErr w:type="gramStart"/>
      <w:r>
        <w:rPr>
          <w:rFonts w:eastAsiaTheme="minorEastAsia"/>
        </w:rPr>
        <w:t>majority are</w:t>
      </w:r>
      <w:proofErr w:type="gramEnd"/>
      <w:r>
        <w:rPr>
          <w:rFonts w:eastAsiaTheme="minorEastAsia"/>
        </w:rPr>
        <w:t xml:space="preserve"> not.  The uniform distribution of p-values may even cause us to question whether those with low P-values are significant.  It may just be that these low p-values are also the result of random chance.</w:t>
      </w:r>
    </w:p>
    <w:p w:rsidR="006A24A0" w:rsidRDefault="006A24A0" w:rsidP="00181B35">
      <w:pPr>
        <w:pStyle w:val="ListParagraph"/>
        <w:numPr>
          <w:ilvl w:val="0"/>
          <w:numId w:val="11"/>
        </w:numPr>
        <w:rPr>
          <w:rFonts w:eastAsiaTheme="minorEastAsia"/>
        </w:rPr>
      </w:pPr>
      <w:proofErr w:type="gramStart"/>
      <w:r>
        <w:rPr>
          <w:rFonts w:eastAsiaTheme="minorEastAsia"/>
        </w:rPr>
        <w:t>The R-squared average 0.335, implying that 33.5% of stock returns are explainable by movements of the market overall.</w:t>
      </w:r>
      <w:proofErr w:type="gramEnd"/>
      <w:r>
        <w:rPr>
          <w:rFonts w:eastAsiaTheme="minorEastAsia"/>
        </w:rPr>
        <w:t xml:space="preserve"> Some are higher, and some are lower, but it is very rare to see stock’s that have less than 10% of their returns driven by the market overall.</w:t>
      </w:r>
    </w:p>
    <w:p w:rsidR="006A24A0" w:rsidRDefault="006A24A0" w:rsidP="006A24A0">
      <w:pPr>
        <w:rPr>
          <w:rFonts w:eastAsiaTheme="minorEastAsia"/>
        </w:rPr>
      </w:pPr>
    </w:p>
    <w:p w:rsidR="00DA7258" w:rsidRDefault="006A24A0" w:rsidP="00DA7258">
      <w:r>
        <w:rPr>
          <w:rFonts w:eastAsiaTheme="minorEastAsia"/>
        </w:rPr>
        <w:t xml:space="preserve">This last point is the one that we are interested </w:t>
      </w:r>
      <w:proofErr w:type="gramStart"/>
      <w:r>
        <w:rPr>
          <w:rFonts w:eastAsiaTheme="minorEastAsia"/>
        </w:rPr>
        <w:t>in</w:t>
      </w:r>
      <w:proofErr w:type="gramEnd"/>
      <w:r>
        <w:rPr>
          <w:rFonts w:eastAsiaTheme="minorEastAsia"/>
        </w:rPr>
        <w:t>.  (The rest just give us more confidence in the appropriateness of this model across a wide range of stocks.)</w:t>
      </w:r>
      <w:r w:rsidR="00DA7258">
        <w:rPr>
          <w:rFonts w:eastAsiaTheme="minorEastAsia"/>
        </w:rPr>
        <w:t xml:space="preserve">  The average stock has 33.5% of the variance in its returns explained by movements in the overall market.  </w:t>
      </w:r>
      <w:r w:rsidR="00DA7258">
        <w:t>A confidence interval from 9.7% to 64.2% covers 98% of all stocks in this assessment.</w:t>
      </w:r>
    </w:p>
    <w:p w:rsidR="006A24A0" w:rsidRPr="006A24A0" w:rsidRDefault="006A24A0" w:rsidP="006A24A0">
      <w:pPr>
        <w:rPr>
          <w:rFonts w:eastAsiaTheme="minorEastAsia"/>
        </w:rPr>
      </w:pPr>
    </w:p>
    <w:p w:rsidR="00234B26" w:rsidRPr="000A1769" w:rsidRDefault="00234B26" w:rsidP="000A1769">
      <w:pPr>
        <w:rPr>
          <w:rFonts w:eastAsiaTheme="minorEastAsia"/>
        </w:rPr>
      </w:pPr>
    </w:p>
    <w:sectPr w:rsidR="00234B26" w:rsidRPr="000A1769">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41F" w:rsidRDefault="006F241F" w:rsidP="000D5E20">
      <w:r>
        <w:separator/>
      </w:r>
    </w:p>
    <w:p w:rsidR="006F241F" w:rsidRDefault="006F241F"/>
  </w:endnote>
  <w:endnote w:type="continuationSeparator" w:id="0">
    <w:p w:rsidR="006F241F" w:rsidRDefault="006F241F" w:rsidP="000D5E20">
      <w:r>
        <w:continuationSeparator/>
      </w:r>
    </w:p>
    <w:p w:rsidR="006F241F" w:rsidRDefault="006F2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C73DE0">
      <w:rPr>
        <w:noProof/>
      </w:rPr>
      <w:t>2</w:t>
    </w:r>
    <w:r>
      <w:fldChar w:fldCharType="end"/>
    </w:r>
    <w:r>
      <w:t xml:space="preserve"> of </w:t>
    </w:r>
    <w:r w:rsidR="006F241F">
      <w:fldChar w:fldCharType="begin"/>
    </w:r>
    <w:r w:rsidR="006F241F">
      <w:instrText xml:space="preserve"> NUMPAGES   \* MERGEFORMAT </w:instrText>
    </w:r>
    <w:r w:rsidR="006F241F">
      <w:fldChar w:fldCharType="separate"/>
    </w:r>
    <w:r w:rsidR="00C73DE0">
      <w:rPr>
        <w:noProof/>
      </w:rPr>
      <w:t>4</w:t>
    </w:r>
    <w:r w:rsidR="006F241F">
      <w:rPr>
        <w:noProof/>
      </w:rPr>
      <w:fldChar w:fldCharType="end"/>
    </w:r>
    <w:r>
      <w:t xml:space="preserve"> -</w:t>
    </w:r>
  </w:p>
  <w:p w:rsidR="00972F33" w:rsidRDefault="00972F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41F" w:rsidRDefault="006F241F" w:rsidP="000D5E20">
      <w:r>
        <w:separator/>
      </w:r>
    </w:p>
    <w:p w:rsidR="006F241F" w:rsidRDefault="006F241F"/>
  </w:footnote>
  <w:footnote w:type="continuationSeparator" w:id="0">
    <w:p w:rsidR="006F241F" w:rsidRDefault="006F241F" w:rsidP="000D5E20">
      <w:r>
        <w:continuationSeparator/>
      </w:r>
    </w:p>
    <w:p w:rsidR="006F241F" w:rsidRDefault="006F24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2277D1">
      <w:t>2017-04-23</w:t>
    </w:r>
  </w:p>
  <w:p w:rsidR="00972F33" w:rsidRPr="000E6FA2" w:rsidRDefault="002277D1" w:rsidP="000E6FA2">
    <w:pPr>
      <w:pStyle w:val="Header"/>
      <w:spacing w:before="120" w:after="120"/>
      <w:jc w:val="center"/>
      <w:rPr>
        <w:b/>
      </w:rPr>
    </w:pPr>
    <w:r>
      <w:rPr>
        <w:b/>
      </w:rPr>
      <w:t>Proportion of Stock Returns due to Market Movements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E394B"/>
    <w:multiLevelType w:val="hybridMultilevel"/>
    <w:tmpl w:val="4DA8737E"/>
    <w:lvl w:ilvl="0" w:tplc="0304FE6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6">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8">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9">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8"/>
  </w:num>
  <w:num w:numId="4">
    <w:abstractNumId w:val="2"/>
  </w:num>
  <w:num w:numId="5">
    <w:abstractNumId w:val="5"/>
  </w:num>
  <w:num w:numId="6">
    <w:abstractNumId w:val="9"/>
  </w:num>
  <w:num w:numId="7">
    <w:abstractNumId w:val="0"/>
  </w:num>
  <w:num w:numId="8">
    <w:abstractNumId w:val="7"/>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A1769"/>
    <w:rsid w:val="000D5E20"/>
    <w:rsid w:val="000E6FA2"/>
    <w:rsid w:val="000E7860"/>
    <w:rsid w:val="00106581"/>
    <w:rsid w:val="00181B35"/>
    <w:rsid w:val="00190F1B"/>
    <w:rsid w:val="001972AB"/>
    <w:rsid w:val="001A3EAE"/>
    <w:rsid w:val="001D76A1"/>
    <w:rsid w:val="002277D1"/>
    <w:rsid w:val="00234B26"/>
    <w:rsid w:val="003D14F3"/>
    <w:rsid w:val="00406C5F"/>
    <w:rsid w:val="00506C5A"/>
    <w:rsid w:val="005B41E4"/>
    <w:rsid w:val="005F7099"/>
    <w:rsid w:val="006A24A0"/>
    <w:rsid w:val="006F241F"/>
    <w:rsid w:val="007D13D4"/>
    <w:rsid w:val="008527D9"/>
    <w:rsid w:val="008774AC"/>
    <w:rsid w:val="009364DC"/>
    <w:rsid w:val="00972F33"/>
    <w:rsid w:val="00A93456"/>
    <w:rsid w:val="00C34AD5"/>
    <w:rsid w:val="00C73DE0"/>
    <w:rsid w:val="00D24FD4"/>
    <w:rsid w:val="00D3299A"/>
    <w:rsid w:val="00D54E8A"/>
    <w:rsid w:val="00D62099"/>
    <w:rsid w:val="00DA7258"/>
    <w:rsid w:val="00E16B85"/>
    <w:rsid w:val="00E210D1"/>
    <w:rsid w:val="00EE5AA2"/>
    <w:rsid w:val="00EF53EB"/>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0A1769"/>
    <w:rPr>
      <w:rFonts w:ascii="Tahoma" w:hAnsi="Tahoma" w:cs="Tahoma"/>
      <w:sz w:val="16"/>
      <w:szCs w:val="16"/>
    </w:rPr>
  </w:style>
  <w:style w:type="character" w:customStyle="1" w:styleId="BalloonTextChar">
    <w:name w:val="Balloon Text Char"/>
    <w:basedOn w:val="DefaultParagraphFont"/>
    <w:link w:val="BalloonText"/>
    <w:uiPriority w:val="99"/>
    <w:semiHidden/>
    <w:rsid w:val="000A1769"/>
    <w:rPr>
      <w:rFonts w:ascii="Tahoma" w:hAnsi="Tahoma" w:cs="Tahoma"/>
      <w:sz w:val="16"/>
      <w:szCs w:val="16"/>
    </w:rPr>
  </w:style>
  <w:style w:type="paragraph" w:styleId="HTMLPreformatted">
    <w:name w:val="HTML Preformatted"/>
    <w:basedOn w:val="Normal"/>
    <w:link w:val="HTMLPreformattedChar"/>
    <w:uiPriority w:val="99"/>
    <w:unhideWhenUsed/>
    <w:rsid w:val="001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581"/>
    <w:rPr>
      <w:rFonts w:ascii="Courier New" w:eastAsia="Times New Roman" w:hAnsi="Courier New" w:cs="Courier New"/>
      <w:sz w:val="20"/>
      <w:szCs w:val="20"/>
    </w:rPr>
  </w:style>
  <w:style w:type="table" w:styleId="TableGrid">
    <w:name w:val="Table Grid"/>
    <w:basedOn w:val="TableNormal"/>
    <w:uiPriority w:val="59"/>
    <w:rsid w:val="002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0A1769"/>
    <w:rPr>
      <w:rFonts w:ascii="Tahoma" w:hAnsi="Tahoma" w:cs="Tahoma"/>
      <w:sz w:val="16"/>
      <w:szCs w:val="16"/>
    </w:rPr>
  </w:style>
  <w:style w:type="character" w:customStyle="1" w:styleId="BalloonTextChar">
    <w:name w:val="Balloon Text Char"/>
    <w:basedOn w:val="DefaultParagraphFont"/>
    <w:link w:val="BalloonText"/>
    <w:uiPriority w:val="99"/>
    <w:semiHidden/>
    <w:rsid w:val="000A1769"/>
    <w:rPr>
      <w:rFonts w:ascii="Tahoma" w:hAnsi="Tahoma" w:cs="Tahoma"/>
      <w:sz w:val="16"/>
      <w:szCs w:val="16"/>
    </w:rPr>
  </w:style>
  <w:style w:type="paragraph" w:styleId="HTMLPreformatted">
    <w:name w:val="HTML Preformatted"/>
    <w:basedOn w:val="Normal"/>
    <w:link w:val="HTMLPreformattedChar"/>
    <w:uiPriority w:val="99"/>
    <w:unhideWhenUsed/>
    <w:rsid w:val="0010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581"/>
    <w:rPr>
      <w:rFonts w:ascii="Courier New" w:eastAsia="Times New Roman" w:hAnsi="Courier New" w:cs="Courier New"/>
      <w:sz w:val="20"/>
      <w:szCs w:val="20"/>
    </w:rPr>
  </w:style>
  <w:style w:type="table" w:styleId="TableGrid">
    <w:name w:val="Table Grid"/>
    <w:basedOn w:val="TableNormal"/>
    <w:uiPriority w:val="59"/>
    <w:rsid w:val="002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70033">
      <w:bodyDiv w:val="1"/>
      <w:marLeft w:val="0"/>
      <w:marRight w:val="0"/>
      <w:marTop w:val="0"/>
      <w:marBottom w:val="0"/>
      <w:divBdr>
        <w:top w:val="none" w:sz="0" w:space="0" w:color="auto"/>
        <w:left w:val="none" w:sz="0" w:space="0" w:color="auto"/>
        <w:bottom w:val="none" w:sz="0" w:space="0" w:color="auto"/>
        <w:right w:val="none" w:sz="0" w:space="0" w:color="auto"/>
      </w:divBdr>
    </w:div>
    <w:div w:id="997270730">
      <w:bodyDiv w:val="1"/>
      <w:marLeft w:val="0"/>
      <w:marRight w:val="0"/>
      <w:marTop w:val="0"/>
      <w:marBottom w:val="0"/>
      <w:divBdr>
        <w:top w:val="none" w:sz="0" w:space="0" w:color="auto"/>
        <w:left w:val="none" w:sz="0" w:space="0" w:color="auto"/>
        <w:bottom w:val="none" w:sz="0" w:space="0" w:color="auto"/>
        <w:right w:val="none" w:sz="0" w:space="0" w:color="auto"/>
      </w:divBdr>
    </w:div>
    <w:div w:id="1019703251">
      <w:bodyDiv w:val="1"/>
      <w:marLeft w:val="0"/>
      <w:marRight w:val="0"/>
      <w:marTop w:val="0"/>
      <w:marBottom w:val="0"/>
      <w:divBdr>
        <w:top w:val="none" w:sz="0" w:space="0" w:color="auto"/>
        <w:left w:val="none" w:sz="0" w:space="0" w:color="auto"/>
        <w:bottom w:val="none" w:sz="0" w:space="0" w:color="auto"/>
        <w:right w:val="none" w:sz="0" w:space="0" w:color="auto"/>
      </w:divBdr>
    </w:div>
    <w:div w:id="1495874302">
      <w:bodyDiv w:val="1"/>
      <w:marLeft w:val="0"/>
      <w:marRight w:val="0"/>
      <w:marTop w:val="0"/>
      <w:marBottom w:val="0"/>
      <w:divBdr>
        <w:top w:val="none" w:sz="0" w:space="0" w:color="auto"/>
        <w:left w:val="none" w:sz="0" w:space="0" w:color="auto"/>
        <w:bottom w:val="none" w:sz="0" w:space="0" w:color="auto"/>
        <w:right w:val="none" w:sz="0" w:space="0" w:color="auto"/>
      </w:divBdr>
    </w:div>
    <w:div w:id="1631519912">
      <w:bodyDiv w:val="1"/>
      <w:marLeft w:val="0"/>
      <w:marRight w:val="0"/>
      <w:marTop w:val="0"/>
      <w:marBottom w:val="0"/>
      <w:divBdr>
        <w:top w:val="none" w:sz="0" w:space="0" w:color="auto"/>
        <w:left w:val="none" w:sz="0" w:space="0" w:color="auto"/>
        <w:bottom w:val="none" w:sz="0" w:space="0" w:color="auto"/>
        <w:right w:val="none" w:sz="0" w:space="0" w:color="auto"/>
      </w:divBdr>
    </w:div>
    <w:div w:id="179012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7</cp:revision>
  <dcterms:created xsi:type="dcterms:W3CDTF">2017-04-23T06:26:00Z</dcterms:created>
  <dcterms:modified xsi:type="dcterms:W3CDTF">2017-04-25T03:13:00Z</dcterms:modified>
</cp:coreProperties>
</file>