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6E7AF8" w:rsidP="000E6FA2">
      <w:pPr>
        <w:pStyle w:val="Title"/>
      </w:pPr>
      <w:r>
        <w:t>Modeling Stock Returns and Pricing Options</w:t>
      </w:r>
    </w:p>
    <w:p w:rsidR="000D5E20" w:rsidRDefault="000D5E20" w:rsidP="000E6FA2"/>
    <w:p w:rsidR="000E6FA2" w:rsidRPr="007D13D4" w:rsidRDefault="00FC14DA" w:rsidP="007D13D4">
      <w:pPr>
        <w:pStyle w:val="Heading1"/>
      </w:pPr>
      <w:r>
        <w:t>Overview</w:t>
      </w:r>
    </w:p>
    <w:p w:rsidR="007D13D4" w:rsidRDefault="007D13D4" w:rsidP="000E6FA2"/>
    <w:p w:rsidR="007D13D4" w:rsidRDefault="004855B2" w:rsidP="000E6FA2">
      <w:r>
        <w:t xml:space="preserve">The distribution of a stock’s returns can be just as important as its expected return.  Accurately modeling the distribution </w:t>
      </w:r>
      <w:proofErr w:type="gramStart"/>
      <w:r>
        <w:t>helps</w:t>
      </w:r>
      <w:proofErr w:type="gramEnd"/>
      <w:r>
        <w:t xml:space="preserve"> us measure the risk of the investment</w:t>
      </w:r>
      <w:r w:rsidR="001B74F1">
        <w:t>.  It is also critical in pricing derivatives such as options.</w:t>
      </w:r>
      <w:r>
        <w:t xml:space="preserve">  </w:t>
      </w:r>
      <w:r w:rsidR="001B74F1">
        <w:t xml:space="preserve">This paper will examine how different distributions </w:t>
      </w:r>
      <w:proofErr w:type="gramStart"/>
      <w:r w:rsidR="001B74F1">
        <w:t>can be fit</w:t>
      </w:r>
      <w:proofErr w:type="gramEnd"/>
      <w:r w:rsidR="001B74F1">
        <w:t xml:space="preserve"> to a stock’s empirical returns.  A T-distribution </w:t>
      </w:r>
      <w:proofErr w:type="gramStart"/>
      <w:r w:rsidR="001B74F1">
        <w:t>is shown</w:t>
      </w:r>
      <w:proofErr w:type="gramEnd"/>
      <w:r w:rsidR="001B74F1">
        <w:t xml:space="preserve"> to fit this data set best.  Splitting the distribution and modeling the positive returns separately from the negative returns can also add value.  We will then examine how these distributions can be used to price options, but conclusions about the profitability of trading on such a method will require further investigation.</w:t>
      </w:r>
    </w:p>
    <w:p w:rsidR="004855B2" w:rsidRDefault="004855B2" w:rsidP="000E6FA2"/>
    <w:p w:rsidR="00FC14DA" w:rsidRPr="00FC14DA" w:rsidRDefault="00FC14DA" w:rsidP="000E6FA2">
      <w:pPr>
        <w:rPr>
          <w:b/>
        </w:rPr>
      </w:pPr>
      <w:r w:rsidRPr="00FC14DA">
        <w:rPr>
          <w:b/>
        </w:rPr>
        <w:t>Modeling Stock Returns</w:t>
      </w:r>
    </w:p>
    <w:p w:rsidR="00FC14DA" w:rsidRDefault="00FC14DA" w:rsidP="000E6FA2"/>
    <w:p w:rsidR="004855B2" w:rsidRDefault="004855B2" w:rsidP="000E6FA2">
      <w:r>
        <w:t xml:space="preserve">The VOO fund was examined since it tracks the S&amp;P 500 (and since </w:t>
      </w:r>
      <w:proofErr w:type="gramStart"/>
      <w:r>
        <w:t>Yah</w:t>
      </w:r>
      <w:r w:rsidR="00A412D2">
        <w:t>oo</w:t>
      </w:r>
      <w:proofErr w:type="gramEnd"/>
      <w:r w:rsidR="00A412D2">
        <w:t xml:space="preserve"> stock data had that annoying-</w:t>
      </w:r>
      <w:r>
        <w:t>ass error the other week).  1-day log returns for this fund have the distribution shown:</w:t>
      </w:r>
    </w:p>
    <w:p w:rsidR="004855B2" w:rsidRDefault="004855B2" w:rsidP="000E6FA2"/>
    <w:p w:rsidR="004855B2" w:rsidRDefault="004855B2" w:rsidP="000E6FA2">
      <w:r>
        <w:rPr>
          <w:noProof/>
        </w:rPr>
        <w:drawing>
          <wp:inline distT="0" distB="0" distL="0" distR="0">
            <wp:extent cx="4263549" cy="23907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549" cy="2390775"/>
                    </a:xfrm>
                    <a:prstGeom prst="rect">
                      <a:avLst/>
                    </a:prstGeom>
                    <a:noFill/>
                    <a:ln>
                      <a:noFill/>
                    </a:ln>
                  </pic:spPr>
                </pic:pic>
              </a:graphicData>
            </a:graphic>
          </wp:inline>
        </w:drawing>
      </w:r>
    </w:p>
    <w:p w:rsidR="004855B2" w:rsidRDefault="004855B2" w:rsidP="004855B2">
      <w:pPr>
        <w:pStyle w:val="Code"/>
        <w:ind w:left="1260"/>
      </w:pPr>
      <w:r>
        <w:t>Mean = 0.0004647934</w:t>
      </w:r>
    </w:p>
    <w:p w:rsidR="004855B2" w:rsidRDefault="004855B2" w:rsidP="004855B2">
      <w:pPr>
        <w:pStyle w:val="Code"/>
        <w:ind w:left="1260"/>
      </w:pPr>
      <w:proofErr w:type="spellStart"/>
      <w:proofErr w:type="gramStart"/>
      <w:r>
        <w:t>Sd</w:t>
      </w:r>
      <w:proofErr w:type="spellEnd"/>
      <w:proofErr w:type="gramEnd"/>
      <w:r>
        <w:t xml:space="preserve">   = 0.00907076</w:t>
      </w:r>
    </w:p>
    <w:p w:rsidR="004855B2" w:rsidRDefault="004855B2" w:rsidP="000E6FA2"/>
    <w:p w:rsidR="004855B2" w:rsidRDefault="004855B2" w:rsidP="000E6FA2">
      <w:r>
        <w:t xml:space="preserve">Several distributions </w:t>
      </w:r>
      <w:proofErr w:type="gramStart"/>
      <w:r>
        <w:t>were fit</w:t>
      </w:r>
      <w:proofErr w:type="gramEnd"/>
      <w:r>
        <w:t xml:space="preserve"> to these returns.  Log-likelihood results are below:</w:t>
      </w:r>
    </w:p>
    <w:p w:rsidR="004855B2" w:rsidRDefault="004855B2" w:rsidP="000E6FA2"/>
    <w:p w:rsidR="004855B2" w:rsidRPr="004855B2" w:rsidRDefault="004855B2" w:rsidP="004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Lucida Console" w:eastAsia="Times New Roman" w:hAnsi="Lucida Console" w:cs="Courier New"/>
          <w:color w:val="000000"/>
          <w:sz w:val="20"/>
          <w:szCs w:val="20"/>
        </w:rPr>
      </w:pPr>
      <w:r w:rsidRPr="004855B2">
        <w:rPr>
          <w:rFonts w:ascii="Lucida Console" w:eastAsia="Times New Roman" w:hAnsi="Lucida Console" w:cs="Courier New"/>
          <w:color w:val="000000"/>
          <w:sz w:val="20"/>
          <w:szCs w:val="20"/>
        </w:rPr>
        <w:t xml:space="preserve">      </w:t>
      </w:r>
      <w:proofErr w:type="gramStart"/>
      <w:r w:rsidRPr="004855B2">
        <w:rPr>
          <w:rFonts w:ascii="Lucida Console" w:eastAsia="Times New Roman" w:hAnsi="Lucida Console" w:cs="Courier New"/>
          <w:color w:val="000000"/>
          <w:sz w:val="20"/>
          <w:szCs w:val="20"/>
        </w:rPr>
        <w:t>name</w:t>
      </w:r>
      <w:proofErr w:type="gramEnd"/>
      <w:r w:rsidRPr="004855B2">
        <w:rPr>
          <w:rFonts w:ascii="Lucida Console" w:eastAsia="Times New Roman" w:hAnsi="Lucida Console" w:cs="Courier New"/>
          <w:color w:val="000000"/>
          <w:sz w:val="20"/>
          <w:szCs w:val="20"/>
        </w:rPr>
        <w:t xml:space="preserve">   </w:t>
      </w:r>
      <w:proofErr w:type="spellStart"/>
      <w:r w:rsidRPr="004855B2">
        <w:rPr>
          <w:rFonts w:ascii="Lucida Console" w:eastAsia="Times New Roman" w:hAnsi="Lucida Console" w:cs="Courier New"/>
          <w:color w:val="000000"/>
          <w:sz w:val="20"/>
          <w:szCs w:val="20"/>
        </w:rPr>
        <w:t>loglik</w:t>
      </w:r>
      <w:proofErr w:type="spellEnd"/>
      <w:r>
        <w:rPr>
          <w:rFonts w:ascii="Lucida Console" w:eastAsia="Times New Roman" w:hAnsi="Lucida Console" w:cs="Courier New"/>
          <w:color w:val="000000"/>
          <w:sz w:val="20"/>
          <w:szCs w:val="20"/>
        </w:rPr>
        <w:t xml:space="preserve"> </w:t>
      </w:r>
      <w:r w:rsidR="00B32CF8">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notes</w:t>
      </w:r>
    </w:p>
    <w:p w:rsidR="004855B2" w:rsidRPr="004855B2" w:rsidRDefault="004855B2" w:rsidP="004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Lucida Console" w:eastAsia="Times New Roman" w:hAnsi="Lucida Console" w:cs="Courier New"/>
          <w:color w:val="000000"/>
          <w:sz w:val="20"/>
          <w:szCs w:val="20"/>
        </w:rPr>
      </w:pPr>
      <w:r w:rsidRPr="004855B2">
        <w:rPr>
          <w:rFonts w:ascii="Lucida Console" w:eastAsia="Times New Roman" w:hAnsi="Lucida Console" w:cs="Courier New"/>
          <w:color w:val="000000"/>
          <w:sz w:val="20"/>
          <w:szCs w:val="20"/>
        </w:rPr>
        <w:t xml:space="preserve">1        t </w:t>
      </w:r>
      <w:proofErr w:type="gramStart"/>
      <w:r w:rsidRPr="004855B2">
        <w:rPr>
          <w:rFonts w:ascii="Lucida Console" w:eastAsia="Times New Roman" w:hAnsi="Lucida Console" w:cs="Courier New"/>
          <w:color w:val="000000"/>
          <w:sz w:val="20"/>
          <w:szCs w:val="20"/>
        </w:rPr>
        <w:t>5861.753</w:t>
      </w:r>
      <w:r>
        <w:rPr>
          <w:rFonts w:ascii="Lucida Console" w:eastAsia="Times New Roman" w:hAnsi="Lucida Console" w:cs="Courier New"/>
          <w:color w:val="000000"/>
          <w:sz w:val="20"/>
          <w:szCs w:val="20"/>
        </w:rPr>
        <w:t xml:space="preserve"> </w:t>
      </w:r>
      <w:r w:rsidR="00B32CF8">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location</w:t>
      </w:r>
      <w:proofErr w:type="gramEnd"/>
      <w:r>
        <w:rPr>
          <w:rFonts w:ascii="Lucida Console" w:eastAsia="Times New Roman" w:hAnsi="Lucida Console" w:cs="Courier New"/>
          <w:color w:val="000000"/>
          <w:sz w:val="20"/>
          <w:szCs w:val="20"/>
        </w:rPr>
        <w:t xml:space="preserve">=0.0007369255, scale=0.005814103, </w:t>
      </w:r>
      <w:proofErr w:type="spellStart"/>
      <w:r>
        <w:rPr>
          <w:rFonts w:ascii="Lucida Console" w:eastAsia="Times New Roman" w:hAnsi="Lucida Console" w:cs="Courier New"/>
          <w:color w:val="000000"/>
          <w:sz w:val="20"/>
          <w:szCs w:val="20"/>
        </w:rPr>
        <w:t>df</w:t>
      </w:r>
      <w:proofErr w:type="spellEnd"/>
      <w:r>
        <w:rPr>
          <w:rFonts w:ascii="Lucida Console" w:eastAsia="Times New Roman" w:hAnsi="Lucida Console" w:cs="Courier New"/>
          <w:color w:val="000000"/>
          <w:sz w:val="20"/>
          <w:szCs w:val="20"/>
        </w:rPr>
        <w:t>=2.999417</w:t>
      </w:r>
    </w:p>
    <w:p w:rsidR="004855B2" w:rsidRPr="004855B2" w:rsidRDefault="004855B2" w:rsidP="004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Lucida Console" w:eastAsia="Times New Roman" w:hAnsi="Lucida Console" w:cs="Courier New"/>
          <w:color w:val="000000"/>
          <w:sz w:val="20"/>
          <w:szCs w:val="20"/>
        </w:rPr>
      </w:pPr>
      <w:r w:rsidRPr="004855B2">
        <w:rPr>
          <w:rFonts w:ascii="Lucida Console" w:eastAsia="Times New Roman" w:hAnsi="Lucida Console" w:cs="Courier New"/>
          <w:color w:val="000000"/>
          <w:sz w:val="20"/>
          <w:szCs w:val="20"/>
        </w:rPr>
        <w:t xml:space="preserve">2 logistic </w:t>
      </w:r>
      <w:proofErr w:type="gramStart"/>
      <w:r w:rsidRPr="004855B2">
        <w:rPr>
          <w:rFonts w:ascii="Lucida Console" w:eastAsia="Times New Roman" w:hAnsi="Lucida Console" w:cs="Courier New"/>
          <w:color w:val="000000"/>
          <w:sz w:val="20"/>
          <w:szCs w:val="20"/>
        </w:rPr>
        <w:t>5824.292</w:t>
      </w:r>
      <w:r>
        <w:rPr>
          <w:rFonts w:ascii="Lucida Console" w:eastAsia="Times New Roman" w:hAnsi="Lucida Console" w:cs="Courier New"/>
          <w:color w:val="000000"/>
          <w:sz w:val="20"/>
          <w:szCs w:val="20"/>
        </w:rPr>
        <w:t xml:space="preserve"> </w:t>
      </w:r>
      <w:r w:rsidR="00B32CF8">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location</w:t>
      </w:r>
      <w:proofErr w:type="gramEnd"/>
      <w:r>
        <w:rPr>
          <w:rFonts w:ascii="Lucida Console" w:eastAsia="Times New Roman" w:hAnsi="Lucida Console" w:cs="Courier New"/>
          <w:color w:val="000000"/>
          <w:sz w:val="20"/>
          <w:szCs w:val="20"/>
        </w:rPr>
        <w:t>=0.0006537631, scale=0.004706983</w:t>
      </w:r>
    </w:p>
    <w:p w:rsidR="004855B2" w:rsidRPr="004855B2" w:rsidRDefault="004855B2" w:rsidP="004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Lucida Console" w:eastAsia="Times New Roman" w:hAnsi="Lucida Console" w:cs="Courier New"/>
          <w:color w:val="000000"/>
          <w:sz w:val="20"/>
          <w:szCs w:val="20"/>
        </w:rPr>
      </w:pPr>
      <w:r w:rsidRPr="004855B2">
        <w:rPr>
          <w:rFonts w:ascii="Lucida Console" w:eastAsia="Times New Roman" w:hAnsi="Lucida Console" w:cs="Courier New"/>
          <w:color w:val="000000"/>
          <w:sz w:val="20"/>
          <w:szCs w:val="20"/>
        </w:rPr>
        <w:t xml:space="preserve">3   </w:t>
      </w:r>
      <w:proofErr w:type="spellStart"/>
      <w:r w:rsidRPr="004855B2">
        <w:rPr>
          <w:rFonts w:ascii="Lucida Console" w:eastAsia="Times New Roman" w:hAnsi="Lucida Console" w:cs="Courier New"/>
          <w:color w:val="000000"/>
          <w:sz w:val="20"/>
          <w:szCs w:val="20"/>
        </w:rPr>
        <w:t>cauchy</w:t>
      </w:r>
      <w:proofErr w:type="spellEnd"/>
      <w:r w:rsidRPr="004855B2">
        <w:rPr>
          <w:rFonts w:ascii="Lucida Console" w:eastAsia="Times New Roman" w:hAnsi="Lucida Console" w:cs="Courier New"/>
          <w:color w:val="000000"/>
          <w:sz w:val="20"/>
          <w:szCs w:val="20"/>
        </w:rPr>
        <w:t xml:space="preserve"> </w:t>
      </w:r>
      <w:proofErr w:type="gramStart"/>
      <w:r w:rsidRPr="004855B2">
        <w:rPr>
          <w:rFonts w:ascii="Lucida Console" w:eastAsia="Times New Roman" w:hAnsi="Lucida Console" w:cs="Courier New"/>
          <w:color w:val="000000"/>
          <w:sz w:val="20"/>
          <w:szCs w:val="20"/>
        </w:rPr>
        <w:t>5739.547</w:t>
      </w:r>
      <w:r>
        <w:rPr>
          <w:rFonts w:ascii="Lucida Console" w:eastAsia="Times New Roman" w:hAnsi="Lucida Console" w:cs="Courier New"/>
          <w:color w:val="000000"/>
          <w:sz w:val="20"/>
          <w:szCs w:val="20"/>
        </w:rPr>
        <w:t xml:space="preserve"> </w:t>
      </w:r>
      <w:r w:rsidR="00B32CF8">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location</w:t>
      </w:r>
      <w:proofErr w:type="gramEnd"/>
      <w:r>
        <w:rPr>
          <w:rFonts w:ascii="Lucida Console" w:eastAsia="Times New Roman" w:hAnsi="Lucida Console" w:cs="Courier New"/>
          <w:color w:val="000000"/>
          <w:sz w:val="20"/>
          <w:szCs w:val="20"/>
        </w:rPr>
        <w:t>=0.0006721006, scale=0.004105272</w:t>
      </w:r>
    </w:p>
    <w:p w:rsidR="004855B2" w:rsidRPr="004855B2" w:rsidRDefault="004855B2" w:rsidP="004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contextualSpacing w:val="0"/>
        <w:rPr>
          <w:rFonts w:ascii="Lucida Console" w:eastAsia="Times New Roman" w:hAnsi="Lucida Console" w:cs="Courier New"/>
          <w:color w:val="000000"/>
          <w:sz w:val="20"/>
          <w:szCs w:val="20"/>
        </w:rPr>
      </w:pPr>
      <w:r w:rsidRPr="004855B2">
        <w:rPr>
          <w:rFonts w:ascii="Lucida Console" w:eastAsia="Times New Roman" w:hAnsi="Lucida Console" w:cs="Courier New"/>
          <w:color w:val="000000"/>
          <w:sz w:val="20"/>
          <w:szCs w:val="20"/>
        </w:rPr>
        <w:t xml:space="preserve">4   normal </w:t>
      </w:r>
      <w:proofErr w:type="gramStart"/>
      <w:r w:rsidRPr="004855B2">
        <w:rPr>
          <w:rFonts w:ascii="Lucida Console" w:eastAsia="Times New Roman" w:hAnsi="Lucida Console" w:cs="Courier New"/>
          <w:color w:val="000000"/>
          <w:sz w:val="20"/>
          <w:szCs w:val="20"/>
        </w:rPr>
        <w:t>5707.676</w:t>
      </w:r>
      <w:r>
        <w:rPr>
          <w:rFonts w:ascii="Lucida Console" w:eastAsia="Times New Roman" w:hAnsi="Lucida Console" w:cs="Courier New"/>
          <w:color w:val="000000"/>
          <w:sz w:val="20"/>
          <w:szCs w:val="20"/>
        </w:rPr>
        <w:t xml:space="preserve"> </w:t>
      </w:r>
      <w:r w:rsidR="00B32CF8">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mean</w:t>
      </w:r>
      <w:proofErr w:type="gramEnd"/>
      <w:r w:rsidR="005C69EB">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=0.0004647934</w:t>
      </w:r>
      <w:r w:rsidR="005C69EB">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sd</w:t>
      </w:r>
      <w:proofErr w:type="spellEnd"/>
      <w:r w:rsidR="005C69EB">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=0.0907076</w:t>
      </w:r>
    </w:p>
    <w:p w:rsidR="004855B2" w:rsidRDefault="004855B2" w:rsidP="000E6FA2"/>
    <w:p w:rsidR="004855B2" w:rsidRDefault="004855B2" w:rsidP="000E6FA2">
      <w:r>
        <w:t>As shown, the T-distribution is the best fit for these returns.  The normal distribution – which is widely used in academic circles – is actually the worst of the four options.</w:t>
      </w:r>
      <w:r w:rsidR="005C69EB">
        <w:t xml:space="preserve">  The PD</w:t>
      </w:r>
      <w:r w:rsidR="00A412D2">
        <w:t xml:space="preserve">F for each distribution </w:t>
      </w:r>
      <w:proofErr w:type="gramStart"/>
      <w:r w:rsidR="00A412D2">
        <w:t>is plotted</w:t>
      </w:r>
      <w:proofErr w:type="gramEnd"/>
      <w:r w:rsidR="005C69EB">
        <w:t xml:space="preserve"> over the empirical distribution</w:t>
      </w:r>
      <w:r w:rsidR="00A412D2">
        <w:t xml:space="preserve"> in the chart</w:t>
      </w:r>
      <w:r w:rsidR="005C69EB">
        <w:t xml:space="preserve"> below.  Notice how the normal distribution fails to capture both the central mass of the distribution as well as its long tails.  The </w:t>
      </w:r>
      <w:r w:rsidR="005C69EB">
        <w:lastRenderedPageBreak/>
        <w:t>t-distribution captures this shape much better, pulling close to gather the middle while still going wide in the tails.</w:t>
      </w:r>
    </w:p>
    <w:p w:rsidR="005C69EB" w:rsidRDefault="005C69EB" w:rsidP="000E6FA2"/>
    <w:p w:rsidR="005C69EB" w:rsidRDefault="005C69EB" w:rsidP="000E6FA2"/>
    <w:p w:rsidR="005C69EB" w:rsidRDefault="005C69EB" w:rsidP="000E6FA2"/>
    <w:p w:rsidR="005C69EB" w:rsidRDefault="005C69EB" w:rsidP="000E6FA2">
      <w:r>
        <w:rPr>
          <w:noProof/>
        </w:rPr>
        <w:drawing>
          <wp:inline distT="0" distB="0" distL="0" distR="0">
            <wp:extent cx="59436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A412D2" w:rsidRDefault="005C69EB" w:rsidP="000E6FA2">
      <w:r>
        <w:t xml:space="preserve">Even visually, we can see how the negative returns have a much longer tail than the </w:t>
      </w:r>
      <w:r w:rsidR="00A412D2">
        <w:t>positive</w:t>
      </w:r>
      <w:r>
        <w:t xml:space="preserve"> side.  For this reason, it may make sense to split the distribution in half and build separate distributions for the upper and lower returns.</w:t>
      </w:r>
      <w:r w:rsidR="006E7AF8">
        <w:t xml:space="preserve">  </w:t>
      </w:r>
      <w:r w:rsidR="00A412D2">
        <w:t>We do this for each of the four returns and get:</w:t>
      </w:r>
    </w:p>
    <w:p w:rsidR="006E7AF8" w:rsidRDefault="00A412D2" w:rsidP="000E6FA2">
      <w:r>
        <w:t xml:space="preserve"> </w:t>
      </w:r>
    </w:p>
    <w:p w:rsidR="006E7AF8" w:rsidRDefault="006E7AF8" w:rsidP="00C23874">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name</w:t>
      </w:r>
      <w:proofErr w:type="gramEnd"/>
      <w:r>
        <w:rPr>
          <w:rFonts w:ascii="Lucida Console" w:hAnsi="Lucida Console"/>
          <w:color w:val="000000"/>
        </w:rPr>
        <w:t xml:space="preserve">   </w:t>
      </w:r>
      <w:proofErr w:type="spellStart"/>
      <w:r>
        <w:rPr>
          <w:rFonts w:ascii="Lucida Console" w:hAnsi="Lucida Console"/>
          <w:color w:val="000000"/>
        </w:rPr>
        <w:t>loglik</w:t>
      </w:r>
      <w:proofErr w:type="spellEnd"/>
    </w:p>
    <w:p w:rsidR="006E7AF8" w:rsidRDefault="006E7AF8" w:rsidP="00C23874">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t-split</w:t>
      </w:r>
      <w:proofErr w:type="gramEnd"/>
      <w:r>
        <w:rPr>
          <w:rFonts w:ascii="Lucida Console" w:hAnsi="Lucida Console"/>
          <w:color w:val="000000"/>
        </w:rPr>
        <w:t xml:space="preserve"> 5865.367</w:t>
      </w:r>
    </w:p>
    <w:p w:rsidR="006E7AF8" w:rsidRDefault="006E7AF8" w:rsidP="00C23874">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logistic-split</w:t>
      </w:r>
      <w:proofErr w:type="gramEnd"/>
      <w:r>
        <w:rPr>
          <w:rFonts w:ascii="Lucida Console" w:hAnsi="Lucida Console"/>
          <w:color w:val="000000"/>
        </w:rPr>
        <w:t xml:space="preserve"> 5825.133</w:t>
      </w:r>
    </w:p>
    <w:p w:rsidR="006E7AF8" w:rsidRDefault="006E7AF8" w:rsidP="00C23874">
      <w:pPr>
        <w:pStyle w:val="HTMLPreformatted"/>
        <w:shd w:val="clear" w:color="auto" w:fill="FFFFFF"/>
        <w:wordWrap w:val="0"/>
        <w:spacing w:line="187" w:lineRule="atLeast"/>
        <w:ind w:left="720"/>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cauchy</w:t>
      </w:r>
      <w:proofErr w:type="spellEnd"/>
      <w:r>
        <w:rPr>
          <w:rFonts w:ascii="Lucida Console" w:hAnsi="Lucida Console"/>
          <w:color w:val="000000"/>
        </w:rPr>
        <w:t>-split</w:t>
      </w:r>
      <w:proofErr w:type="gramEnd"/>
      <w:r>
        <w:rPr>
          <w:rFonts w:ascii="Lucida Console" w:hAnsi="Lucida Console"/>
          <w:color w:val="000000"/>
        </w:rPr>
        <w:t xml:space="preserve"> 5740.614</w:t>
      </w:r>
    </w:p>
    <w:p w:rsidR="006E7AF8" w:rsidRDefault="006E7AF8" w:rsidP="00C23874">
      <w:pPr>
        <w:pStyle w:val="HTMLPreformatted"/>
        <w:shd w:val="clear" w:color="auto" w:fill="FFFFFF"/>
        <w:wordWrap w:val="0"/>
        <w:spacing w:line="187" w:lineRule="atLeast"/>
        <w:ind w:left="720"/>
        <w:rPr>
          <w:rFonts w:ascii="Lucida Console" w:hAnsi="Lucida Console"/>
          <w:color w:val="000000"/>
        </w:rPr>
      </w:pPr>
      <w:bookmarkStart w:id="0" w:name="_GoBack"/>
      <w:bookmarkEnd w:id="0"/>
      <w:r>
        <w:rPr>
          <w:rFonts w:ascii="Lucida Console" w:hAnsi="Lucida Console"/>
          <w:color w:val="000000"/>
        </w:rPr>
        <w:t xml:space="preserve">   normal-split 5712.015</w:t>
      </w:r>
    </w:p>
    <w:p w:rsidR="004855B2" w:rsidRDefault="004855B2" w:rsidP="000E6FA2"/>
    <w:p w:rsidR="005C69EB" w:rsidRDefault="006E7AF8" w:rsidP="000E6FA2">
      <w:r>
        <w:rPr>
          <w:noProof/>
        </w:rPr>
        <w:drawing>
          <wp:inline distT="0" distB="0" distL="0" distR="0">
            <wp:extent cx="59340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4855B2" w:rsidRDefault="006E7AF8" w:rsidP="000E6FA2">
      <w:r>
        <w:t>Once again, the t-distribution is the best fit.  Splitting the distribution in half improved the score slightly.  The parameters for each half of the t-distribution are:</w:t>
      </w:r>
    </w:p>
    <w:p w:rsidR="006E7AF8" w:rsidRDefault="006E7AF8" w:rsidP="000E6FA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2394"/>
        <w:gridCol w:w="2394"/>
        <w:gridCol w:w="2394"/>
      </w:tblGrid>
      <w:tr w:rsidR="006E7AF8" w:rsidTr="000F32D2">
        <w:tc>
          <w:tcPr>
            <w:tcW w:w="1638" w:type="dxa"/>
            <w:tcBorders>
              <w:bottom w:val="single" w:sz="4" w:space="0" w:color="auto"/>
            </w:tcBorders>
          </w:tcPr>
          <w:p w:rsidR="006E7AF8" w:rsidRDefault="000F32D2" w:rsidP="000E6FA2">
            <w:r>
              <w:t>Tail</w:t>
            </w:r>
          </w:p>
        </w:tc>
        <w:tc>
          <w:tcPr>
            <w:tcW w:w="2394" w:type="dxa"/>
            <w:tcBorders>
              <w:bottom w:val="single" w:sz="4" w:space="0" w:color="auto"/>
            </w:tcBorders>
          </w:tcPr>
          <w:p w:rsidR="006E7AF8" w:rsidRDefault="006E7AF8" w:rsidP="000E6FA2">
            <w:r>
              <w:t>Location</w:t>
            </w:r>
          </w:p>
        </w:tc>
        <w:tc>
          <w:tcPr>
            <w:tcW w:w="2394" w:type="dxa"/>
            <w:tcBorders>
              <w:bottom w:val="single" w:sz="4" w:space="0" w:color="auto"/>
            </w:tcBorders>
          </w:tcPr>
          <w:p w:rsidR="006E7AF8" w:rsidRDefault="006E7AF8" w:rsidP="000E6FA2">
            <w:r>
              <w:t>Scale</w:t>
            </w:r>
          </w:p>
        </w:tc>
        <w:tc>
          <w:tcPr>
            <w:tcW w:w="2394" w:type="dxa"/>
            <w:tcBorders>
              <w:bottom w:val="single" w:sz="4" w:space="0" w:color="auto"/>
            </w:tcBorders>
          </w:tcPr>
          <w:p w:rsidR="006E7AF8" w:rsidRDefault="006E7AF8" w:rsidP="000E6FA2">
            <w:r>
              <w:t>DF</w:t>
            </w:r>
          </w:p>
        </w:tc>
      </w:tr>
      <w:tr w:rsidR="006E7AF8" w:rsidTr="000F32D2">
        <w:tc>
          <w:tcPr>
            <w:tcW w:w="1638" w:type="dxa"/>
            <w:tcBorders>
              <w:top w:val="single" w:sz="4" w:space="0" w:color="auto"/>
            </w:tcBorders>
          </w:tcPr>
          <w:p w:rsidR="006E7AF8" w:rsidRDefault="006E7AF8" w:rsidP="000E6FA2">
            <w:r>
              <w:t>lower</w:t>
            </w:r>
          </w:p>
        </w:tc>
        <w:tc>
          <w:tcPr>
            <w:tcW w:w="2394" w:type="dxa"/>
            <w:tcBorders>
              <w:top w:val="single" w:sz="4" w:space="0" w:color="auto"/>
            </w:tcBorders>
          </w:tcPr>
          <w:p w:rsidR="006E7AF8" w:rsidRDefault="006E7AF8" w:rsidP="000E6FA2">
            <w:r>
              <w:t>0.0005545295</w:t>
            </w:r>
          </w:p>
        </w:tc>
        <w:tc>
          <w:tcPr>
            <w:tcW w:w="2394" w:type="dxa"/>
            <w:tcBorders>
              <w:top w:val="single" w:sz="4" w:space="0" w:color="auto"/>
            </w:tcBorders>
          </w:tcPr>
          <w:p w:rsidR="006E7AF8" w:rsidRDefault="006E7AF8" w:rsidP="000E6FA2">
            <w:r>
              <w:t>0.005358364</w:t>
            </w:r>
          </w:p>
        </w:tc>
        <w:tc>
          <w:tcPr>
            <w:tcW w:w="2394" w:type="dxa"/>
            <w:tcBorders>
              <w:top w:val="single" w:sz="4" w:space="0" w:color="auto"/>
            </w:tcBorders>
          </w:tcPr>
          <w:p w:rsidR="006E7AF8" w:rsidRDefault="006E7AF8" w:rsidP="000E6FA2">
            <w:r>
              <w:t>2.375896</w:t>
            </w:r>
          </w:p>
        </w:tc>
      </w:tr>
      <w:tr w:rsidR="006E7AF8" w:rsidTr="000F32D2">
        <w:tc>
          <w:tcPr>
            <w:tcW w:w="1638" w:type="dxa"/>
          </w:tcPr>
          <w:p w:rsidR="006E7AF8" w:rsidRDefault="006E7AF8" w:rsidP="000E6FA2">
            <w:r>
              <w:t>upper</w:t>
            </w:r>
          </w:p>
        </w:tc>
        <w:tc>
          <w:tcPr>
            <w:tcW w:w="2394" w:type="dxa"/>
          </w:tcPr>
          <w:p w:rsidR="006E7AF8" w:rsidRDefault="006E7AF8" w:rsidP="000E6FA2">
            <w:r>
              <w:t>0.0005545295</w:t>
            </w:r>
          </w:p>
        </w:tc>
        <w:tc>
          <w:tcPr>
            <w:tcW w:w="2394" w:type="dxa"/>
          </w:tcPr>
          <w:p w:rsidR="006E7AF8" w:rsidRDefault="006E7AF8" w:rsidP="000E6FA2">
            <w:r>
              <w:t>0.006277177</w:t>
            </w:r>
          </w:p>
        </w:tc>
        <w:tc>
          <w:tcPr>
            <w:tcW w:w="2394" w:type="dxa"/>
          </w:tcPr>
          <w:p w:rsidR="006E7AF8" w:rsidRDefault="006E7AF8" w:rsidP="000E6FA2">
            <w:r>
              <w:t>3.837722</w:t>
            </w:r>
          </w:p>
        </w:tc>
      </w:tr>
    </w:tbl>
    <w:p w:rsidR="006E7AF8" w:rsidRDefault="006E7AF8" w:rsidP="000E6FA2"/>
    <w:p w:rsidR="004855B2" w:rsidRDefault="006E7AF8" w:rsidP="000E6FA2">
      <w:r>
        <w:t xml:space="preserve">As might be expected, the degrees of freedom parameter is </w:t>
      </w:r>
      <w:r w:rsidR="00A412D2">
        <w:t>lower for the negative tail.  This will extend</w:t>
      </w:r>
      <w:r>
        <w:t xml:space="preserve"> the lower tail </w:t>
      </w:r>
      <w:r w:rsidR="00A412D2">
        <w:t>and make it “fatter” than the upper tail.  The upper tail</w:t>
      </w:r>
      <w:r>
        <w:t xml:space="preserve"> does have a larger scale variable though.</w:t>
      </w:r>
    </w:p>
    <w:p w:rsidR="006E7AF8" w:rsidRDefault="006E7AF8" w:rsidP="000E6FA2"/>
    <w:p w:rsidR="006E7AF8" w:rsidRDefault="00A412D2" w:rsidP="000E6FA2">
      <w:r>
        <w:t>If</w:t>
      </w:r>
      <w:r w:rsidR="004F3871">
        <w:t xml:space="preserve"> we take into account the extra number of parameters </w:t>
      </w:r>
      <w:proofErr w:type="gramStart"/>
      <w:r w:rsidR="004F3871">
        <w:t>we’ve</w:t>
      </w:r>
      <w:proofErr w:type="gramEnd"/>
      <w:r w:rsidR="004F3871">
        <w:t xml:space="preserve"> created, splitting the distribution may not be warranted.  The AIC </w:t>
      </w:r>
      <w:proofErr w:type="gramStart"/>
      <w:r w:rsidR="004F3871">
        <w:t>is shown</w:t>
      </w:r>
      <w:proofErr w:type="gramEnd"/>
      <w:r w:rsidR="004F3871">
        <w:t xml:space="preserve"> for each fit below. This takes into account the number of parameters in each model and penalizes both the t and t-split distribution for their extra par</w:t>
      </w:r>
      <w:r w:rsidR="00381CF4">
        <w:t>a</w:t>
      </w:r>
      <w:r w:rsidR="004F3871">
        <w:t xml:space="preserve">meters.  When this </w:t>
      </w:r>
      <w:proofErr w:type="gramStart"/>
      <w:r w:rsidR="004F3871">
        <w:t>is taken</w:t>
      </w:r>
      <w:proofErr w:type="gramEnd"/>
      <w:r w:rsidR="004F3871">
        <w:t xml:space="preserve"> into account, the simple, non-split t-distribution appears best.</w:t>
      </w:r>
    </w:p>
    <w:p w:rsidR="00381CF4" w:rsidRDefault="00381CF4" w:rsidP="00381CF4">
      <w:pPr>
        <w:pStyle w:val="Code"/>
      </w:pPr>
    </w:p>
    <w:p w:rsidR="00381CF4" w:rsidRDefault="00381CF4" w:rsidP="00381CF4">
      <w:pPr>
        <w:pStyle w:val="Code"/>
      </w:pPr>
      <w:r>
        <w:t xml:space="preserve">           </w:t>
      </w:r>
      <w:proofErr w:type="gramStart"/>
      <w:r>
        <w:t>name</w:t>
      </w:r>
      <w:proofErr w:type="gramEnd"/>
      <w:r>
        <w:t xml:space="preserve">   </w:t>
      </w:r>
      <w:proofErr w:type="spellStart"/>
      <w:r>
        <w:t>loglik</w:t>
      </w:r>
      <w:proofErr w:type="spellEnd"/>
      <w:r>
        <w:t xml:space="preserve"> </w:t>
      </w:r>
      <w:proofErr w:type="spellStart"/>
      <w:r>
        <w:t>params</w:t>
      </w:r>
      <w:proofErr w:type="spellEnd"/>
      <w:r>
        <w:t xml:space="preserve">    </w:t>
      </w:r>
      <w:proofErr w:type="spellStart"/>
      <w:r>
        <w:t>akaike</w:t>
      </w:r>
      <w:proofErr w:type="spellEnd"/>
    </w:p>
    <w:p w:rsidR="00381CF4" w:rsidRDefault="00381CF4" w:rsidP="00381CF4">
      <w:pPr>
        <w:pStyle w:val="Code"/>
      </w:pPr>
      <w:r>
        <w:t xml:space="preserve">           </w:t>
      </w:r>
      <w:r w:rsidR="00A412D2">
        <w:t xml:space="preserve">   </w:t>
      </w:r>
      <w:proofErr w:type="gramStart"/>
      <w:r w:rsidR="00A412D2">
        <w:t>t</w:t>
      </w:r>
      <w:proofErr w:type="gramEnd"/>
      <w:r w:rsidR="00A412D2">
        <w:t xml:space="preserve"> 5861.753      3 -5855.753 </w:t>
      </w:r>
      <w:r>
        <w:t>&lt;- best</w:t>
      </w:r>
    </w:p>
    <w:p w:rsidR="00381CF4" w:rsidRDefault="00381CF4" w:rsidP="00381CF4">
      <w:pPr>
        <w:pStyle w:val="Code"/>
      </w:pPr>
      <w:r>
        <w:t xml:space="preserve">       </w:t>
      </w:r>
      <w:proofErr w:type="gramStart"/>
      <w:r>
        <w:t>logistic</w:t>
      </w:r>
      <w:proofErr w:type="gramEnd"/>
      <w:r>
        <w:t xml:space="preserve"> 5824.292      2 -5820.292</w:t>
      </w:r>
    </w:p>
    <w:p w:rsidR="00381CF4" w:rsidRDefault="00381CF4" w:rsidP="00381CF4">
      <w:pPr>
        <w:pStyle w:val="Code"/>
      </w:pPr>
      <w:r>
        <w:t xml:space="preserve">         </w:t>
      </w:r>
      <w:proofErr w:type="spellStart"/>
      <w:proofErr w:type="gramStart"/>
      <w:r>
        <w:t>cauchy</w:t>
      </w:r>
      <w:proofErr w:type="spellEnd"/>
      <w:proofErr w:type="gramEnd"/>
      <w:r>
        <w:t xml:space="preserve"> 5739.547      2 -5735.547</w:t>
      </w:r>
    </w:p>
    <w:p w:rsidR="00381CF4" w:rsidRDefault="00381CF4" w:rsidP="00381CF4">
      <w:pPr>
        <w:pStyle w:val="Code"/>
      </w:pPr>
      <w:r>
        <w:t xml:space="preserve">         </w:t>
      </w:r>
      <w:proofErr w:type="gramStart"/>
      <w:r>
        <w:t>normal</w:t>
      </w:r>
      <w:proofErr w:type="gramEnd"/>
      <w:r>
        <w:t xml:space="preserve"> 5707.676      2 -5703.676</w:t>
      </w:r>
    </w:p>
    <w:p w:rsidR="00381CF4" w:rsidRDefault="00381CF4" w:rsidP="000E6FA2"/>
    <w:p w:rsidR="004F3871" w:rsidRDefault="004F3871" w:rsidP="004F3871">
      <w:pPr>
        <w:pStyle w:val="Code"/>
      </w:pPr>
      <w:r>
        <w:t xml:space="preserve">           </w:t>
      </w:r>
      <w:proofErr w:type="gramStart"/>
      <w:r>
        <w:t>name</w:t>
      </w:r>
      <w:proofErr w:type="gramEnd"/>
      <w:r>
        <w:t xml:space="preserve">   </w:t>
      </w:r>
      <w:proofErr w:type="spellStart"/>
      <w:r>
        <w:t>loglik</w:t>
      </w:r>
      <w:proofErr w:type="spellEnd"/>
      <w:r>
        <w:t xml:space="preserve"> </w:t>
      </w:r>
      <w:proofErr w:type="spellStart"/>
      <w:r>
        <w:t>params</w:t>
      </w:r>
      <w:proofErr w:type="spellEnd"/>
      <w:r>
        <w:t xml:space="preserve">    </w:t>
      </w:r>
      <w:proofErr w:type="spellStart"/>
      <w:r>
        <w:t>akaike</w:t>
      </w:r>
      <w:proofErr w:type="spellEnd"/>
    </w:p>
    <w:p w:rsidR="004F3871" w:rsidRDefault="004F3871" w:rsidP="004F3871">
      <w:pPr>
        <w:pStyle w:val="Code"/>
      </w:pPr>
      <w:r>
        <w:t xml:space="preserve">        </w:t>
      </w:r>
      <w:proofErr w:type="gramStart"/>
      <w:r>
        <w:t>t-split</w:t>
      </w:r>
      <w:proofErr w:type="gramEnd"/>
      <w:r>
        <w:t xml:space="preserve"> 5865.367      6 -5853.367</w:t>
      </w:r>
      <w:r w:rsidR="00A412D2">
        <w:t xml:space="preserve"> &lt;- 2</w:t>
      </w:r>
      <w:r w:rsidR="00A412D2" w:rsidRPr="00A412D2">
        <w:rPr>
          <w:vertAlign w:val="superscript"/>
        </w:rPr>
        <w:t>nd</w:t>
      </w:r>
      <w:r w:rsidR="00A412D2">
        <w:t xml:space="preserve"> best</w:t>
      </w:r>
    </w:p>
    <w:p w:rsidR="004F3871" w:rsidRDefault="004F3871" w:rsidP="004F3871">
      <w:pPr>
        <w:pStyle w:val="Code"/>
      </w:pPr>
      <w:r>
        <w:t xml:space="preserve"> </w:t>
      </w:r>
      <w:proofErr w:type="gramStart"/>
      <w:r>
        <w:t>logistic-split</w:t>
      </w:r>
      <w:proofErr w:type="gramEnd"/>
      <w:r>
        <w:t xml:space="preserve"> 5825.133      4 -5817.133</w:t>
      </w:r>
    </w:p>
    <w:p w:rsidR="004F3871" w:rsidRDefault="004F3871" w:rsidP="004F3871">
      <w:pPr>
        <w:pStyle w:val="Code"/>
      </w:pPr>
      <w:r>
        <w:t xml:space="preserve">   </w:t>
      </w:r>
      <w:proofErr w:type="spellStart"/>
      <w:proofErr w:type="gramStart"/>
      <w:r>
        <w:t>cauchy</w:t>
      </w:r>
      <w:proofErr w:type="spellEnd"/>
      <w:r>
        <w:t>-split</w:t>
      </w:r>
      <w:proofErr w:type="gramEnd"/>
      <w:r>
        <w:t xml:space="preserve"> 5740.614      4 -5732.614</w:t>
      </w:r>
    </w:p>
    <w:p w:rsidR="004F3871" w:rsidRDefault="004F3871" w:rsidP="004F3871">
      <w:pPr>
        <w:pStyle w:val="Code"/>
      </w:pPr>
      <w:r>
        <w:t xml:space="preserve">   </w:t>
      </w:r>
      <w:proofErr w:type="gramStart"/>
      <w:r>
        <w:t>normal-split</w:t>
      </w:r>
      <w:proofErr w:type="gramEnd"/>
      <w:r>
        <w:t xml:space="preserve"> 5712.015      4 -5704.015</w:t>
      </w:r>
    </w:p>
    <w:p w:rsidR="001972AB" w:rsidRDefault="007D13D4" w:rsidP="00D24FD4">
      <w:r>
        <w:br/>
      </w:r>
      <w:r w:rsidR="00FC14DA">
        <w:t xml:space="preserve">The practitioner will need to determine if the split </w:t>
      </w:r>
      <w:proofErr w:type="gramStart"/>
      <w:r w:rsidR="00FC14DA">
        <w:t>is warranted</w:t>
      </w:r>
      <w:proofErr w:type="gramEnd"/>
      <w:r w:rsidR="00FC14DA">
        <w:t xml:space="preserve">.  In the next </w:t>
      </w:r>
      <w:proofErr w:type="gramStart"/>
      <w:r w:rsidR="00FC14DA">
        <w:t>section</w:t>
      </w:r>
      <w:proofErr w:type="gramEnd"/>
      <w:r w:rsidR="00FC14DA">
        <w:t xml:space="preserve"> we will look at the same stock returns over 30 days.  In this case, the split distribution does appear best, as shown in the scores below:</w:t>
      </w:r>
    </w:p>
    <w:p w:rsidR="00FC14DA" w:rsidRDefault="00FC14DA" w:rsidP="00D24FD4"/>
    <w:p w:rsidR="00C1026E" w:rsidRDefault="00C1026E" w:rsidP="00C1026E">
      <w:pPr>
        <w:pStyle w:val="Code"/>
      </w:pPr>
      <w:r>
        <w:t xml:space="preserve">           </w:t>
      </w:r>
      <w:proofErr w:type="gramStart"/>
      <w:r>
        <w:t>name</w:t>
      </w:r>
      <w:proofErr w:type="gramEnd"/>
      <w:r>
        <w:t xml:space="preserve">   </w:t>
      </w:r>
      <w:proofErr w:type="spellStart"/>
      <w:r>
        <w:t>loglik</w:t>
      </w:r>
      <w:proofErr w:type="spellEnd"/>
      <w:r>
        <w:t xml:space="preserve"> </w:t>
      </w:r>
      <w:proofErr w:type="spellStart"/>
      <w:r>
        <w:t>params</w:t>
      </w:r>
      <w:proofErr w:type="spellEnd"/>
      <w:r>
        <w:t xml:space="preserve">    </w:t>
      </w:r>
      <w:proofErr w:type="spellStart"/>
      <w:r>
        <w:t>akaike</w:t>
      </w:r>
      <w:proofErr w:type="spellEnd"/>
    </w:p>
    <w:p w:rsidR="00C1026E" w:rsidRDefault="00C1026E" w:rsidP="00C1026E">
      <w:pPr>
        <w:pStyle w:val="Code"/>
      </w:pPr>
      <w:r>
        <w:t xml:space="preserve">              </w:t>
      </w:r>
      <w:proofErr w:type="gramStart"/>
      <w:r>
        <w:t>t</w:t>
      </w:r>
      <w:proofErr w:type="gramEnd"/>
      <w:r>
        <w:t xml:space="preserve"> 3176.146      3 -3170.146</w:t>
      </w:r>
      <w:r w:rsidR="00A412D2">
        <w:t xml:space="preserve"> &lt;- 2</w:t>
      </w:r>
      <w:r w:rsidR="00A412D2" w:rsidRPr="00A412D2">
        <w:rPr>
          <w:vertAlign w:val="superscript"/>
        </w:rPr>
        <w:t>nd</w:t>
      </w:r>
      <w:r w:rsidR="00A412D2">
        <w:t xml:space="preserve"> best</w:t>
      </w:r>
    </w:p>
    <w:p w:rsidR="00C1026E" w:rsidRDefault="00C1026E" w:rsidP="00C1026E">
      <w:pPr>
        <w:pStyle w:val="Code"/>
      </w:pPr>
      <w:r>
        <w:t xml:space="preserve">       </w:t>
      </w:r>
      <w:proofErr w:type="gramStart"/>
      <w:r>
        <w:t>logistic</w:t>
      </w:r>
      <w:proofErr w:type="gramEnd"/>
      <w:r>
        <w:t xml:space="preserve"> 3168.327      2 -3164.327</w:t>
      </w:r>
    </w:p>
    <w:p w:rsidR="00C1026E" w:rsidRDefault="00C1026E" w:rsidP="00C1026E">
      <w:pPr>
        <w:pStyle w:val="Code"/>
      </w:pPr>
      <w:r>
        <w:t xml:space="preserve">         </w:t>
      </w:r>
      <w:proofErr w:type="gramStart"/>
      <w:r>
        <w:t>normal</w:t>
      </w:r>
      <w:proofErr w:type="gramEnd"/>
      <w:r>
        <w:t xml:space="preserve"> 3110.153      2 -3106.153</w:t>
      </w:r>
    </w:p>
    <w:p w:rsidR="00C1026E" w:rsidRDefault="00C1026E" w:rsidP="00C1026E">
      <w:pPr>
        <w:pStyle w:val="Code"/>
      </w:pPr>
      <w:r>
        <w:t xml:space="preserve">         </w:t>
      </w:r>
      <w:proofErr w:type="spellStart"/>
      <w:proofErr w:type="gramStart"/>
      <w:r>
        <w:t>cauchy</w:t>
      </w:r>
      <w:proofErr w:type="spellEnd"/>
      <w:proofErr w:type="gramEnd"/>
      <w:r>
        <w:t xml:space="preserve"> 2989.924      2 -2985.924</w:t>
      </w:r>
    </w:p>
    <w:p w:rsidR="00C1026E" w:rsidRDefault="00C1026E" w:rsidP="00C1026E">
      <w:pPr>
        <w:pStyle w:val="Code"/>
      </w:pPr>
    </w:p>
    <w:p w:rsidR="00C1026E" w:rsidRDefault="00C1026E" w:rsidP="00C1026E">
      <w:pPr>
        <w:pStyle w:val="Code"/>
      </w:pPr>
      <w:r>
        <w:t xml:space="preserve">           </w:t>
      </w:r>
      <w:proofErr w:type="gramStart"/>
      <w:r>
        <w:t>name</w:t>
      </w:r>
      <w:proofErr w:type="gramEnd"/>
      <w:r>
        <w:t xml:space="preserve">   </w:t>
      </w:r>
      <w:proofErr w:type="spellStart"/>
      <w:r>
        <w:t>loglik</w:t>
      </w:r>
      <w:proofErr w:type="spellEnd"/>
      <w:r>
        <w:t xml:space="preserve"> </w:t>
      </w:r>
      <w:proofErr w:type="spellStart"/>
      <w:r>
        <w:t>params</w:t>
      </w:r>
      <w:proofErr w:type="spellEnd"/>
      <w:r>
        <w:t xml:space="preserve">    </w:t>
      </w:r>
      <w:proofErr w:type="spellStart"/>
      <w:r>
        <w:t>akaike</w:t>
      </w:r>
      <w:proofErr w:type="spellEnd"/>
    </w:p>
    <w:p w:rsidR="00C1026E" w:rsidRDefault="00C1026E" w:rsidP="00C1026E">
      <w:pPr>
        <w:pStyle w:val="Code"/>
      </w:pPr>
      <w:r>
        <w:t xml:space="preserve">        </w:t>
      </w:r>
      <w:proofErr w:type="gramStart"/>
      <w:r>
        <w:t>t-split</w:t>
      </w:r>
      <w:proofErr w:type="gramEnd"/>
      <w:r>
        <w:t xml:space="preserve"> 3212.097      6 -3200.097 &lt;- best</w:t>
      </w:r>
    </w:p>
    <w:p w:rsidR="00C1026E" w:rsidRDefault="00C1026E" w:rsidP="00C1026E">
      <w:pPr>
        <w:pStyle w:val="Code"/>
      </w:pPr>
      <w:r>
        <w:t xml:space="preserve"> </w:t>
      </w:r>
      <w:proofErr w:type="gramStart"/>
      <w:r>
        <w:t>logistic-split</w:t>
      </w:r>
      <w:proofErr w:type="gramEnd"/>
      <w:r>
        <w:t xml:space="preserve"> 3192.817      4 -3184.817</w:t>
      </w:r>
    </w:p>
    <w:p w:rsidR="00C1026E" w:rsidRDefault="00C1026E" w:rsidP="00C1026E">
      <w:pPr>
        <w:pStyle w:val="Code"/>
      </w:pPr>
      <w:r>
        <w:t xml:space="preserve">   </w:t>
      </w:r>
      <w:proofErr w:type="gramStart"/>
      <w:r>
        <w:t>normal-split</w:t>
      </w:r>
      <w:proofErr w:type="gramEnd"/>
      <w:r>
        <w:t xml:space="preserve"> 3162.528      4 -3154.528</w:t>
      </w:r>
    </w:p>
    <w:p w:rsidR="00FC14DA" w:rsidRDefault="00C1026E" w:rsidP="00C1026E">
      <w:pPr>
        <w:pStyle w:val="Code"/>
      </w:pPr>
      <w:r>
        <w:t xml:space="preserve">   </w:t>
      </w:r>
      <w:proofErr w:type="spellStart"/>
      <w:proofErr w:type="gramStart"/>
      <w:r>
        <w:t>cauchy</w:t>
      </w:r>
      <w:proofErr w:type="spellEnd"/>
      <w:r>
        <w:t>-split</w:t>
      </w:r>
      <w:proofErr w:type="gramEnd"/>
      <w:r>
        <w:t xml:space="preserve"> 2986.870      4 -2978.870</w:t>
      </w:r>
    </w:p>
    <w:p w:rsidR="00C1026E" w:rsidRDefault="00C1026E" w:rsidP="00FC14DA">
      <w:pPr>
        <w:pStyle w:val="Heading1"/>
      </w:pPr>
    </w:p>
    <w:p w:rsidR="00FC14DA" w:rsidRDefault="00FC14DA" w:rsidP="00FC14DA">
      <w:pPr>
        <w:pStyle w:val="Heading1"/>
      </w:pPr>
      <w:r>
        <w:t>Pricing Options</w:t>
      </w:r>
    </w:p>
    <w:p w:rsidR="00FC14DA" w:rsidRDefault="00FC14DA" w:rsidP="00FC14DA"/>
    <w:p w:rsidR="00FC14DA" w:rsidRDefault="00FC14DA" w:rsidP="00FC14DA">
      <w:r>
        <w:t>So how do these different distributions affect how we might price options?  The tables below show the prices of options on the VOO fund on August 4, 2017.  The current price of the fund on this date was $227.26.</w:t>
      </w:r>
    </w:p>
    <w:p w:rsidR="00FC14DA" w:rsidRDefault="00FC14DA" w:rsidP="00FC14DA"/>
    <w:p w:rsidR="00FC14DA" w:rsidRDefault="00FC14DA" w:rsidP="00FC14DA">
      <w:r>
        <w:rPr>
          <w:noProof/>
        </w:rPr>
        <w:lastRenderedPageBreak/>
        <w:drawing>
          <wp:inline distT="0" distB="0" distL="0" distR="0">
            <wp:extent cx="59436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FC14DA" w:rsidRDefault="00FC14DA" w:rsidP="00FC14DA"/>
    <w:p w:rsidR="00FC14DA" w:rsidRDefault="00FC14DA" w:rsidP="00FC14DA">
      <w:r>
        <w:rPr>
          <w:noProof/>
        </w:rPr>
        <w:drawing>
          <wp:inline distT="0" distB="0" distL="0" distR="0">
            <wp:extent cx="5934075" cy="2162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FC14DA" w:rsidRDefault="00FC14DA" w:rsidP="00FC14DA"/>
    <w:p w:rsidR="00FC14DA" w:rsidRDefault="00FC14DA" w:rsidP="00FC14DA">
      <w:r>
        <w:t>There are 6 weeks – or 30 trading days – until these options expire.  Stock returns over 30 days were calculated and distributions fit to them.  Results are below.  Once again, the t-distribution provided the best fit:</w:t>
      </w:r>
    </w:p>
    <w:p w:rsidR="00FC14DA" w:rsidRDefault="00FC14DA" w:rsidP="00FC14DA"/>
    <w:p w:rsidR="00FC14DA" w:rsidRDefault="0081118D" w:rsidP="00FC14DA">
      <w:r>
        <w:rPr>
          <w:noProof/>
        </w:rPr>
        <w:drawing>
          <wp:inline distT="0" distB="0" distL="0" distR="0">
            <wp:extent cx="5943600" cy="2600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81118D" w:rsidRDefault="0081118D" w:rsidP="00FC14DA"/>
    <w:p w:rsidR="0081118D" w:rsidRDefault="0081118D" w:rsidP="008111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name</w:t>
      </w:r>
      <w:proofErr w:type="gramEnd"/>
      <w:r>
        <w:rPr>
          <w:rFonts w:ascii="Lucida Console" w:hAnsi="Lucida Console"/>
          <w:color w:val="000000"/>
        </w:rPr>
        <w:t xml:space="preserve">   </w:t>
      </w:r>
      <w:proofErr w:type="spellStart"/>
      <w:r>
        <w:rPr>
          <w:rFonts w:ascii="Lucida Console" w:hAnsi="Lucida Console"/>
          <w:color w:val="000000"/>
        </w:rPr>
        <w:t>loglik</w:t>
      </w:r>
      <w:proofErr w:type="spellEnd"/>
    </w:p>
    <w:p w:rsidR="0081118D" w:rsidRDefault="0081118D" w:rsidP="008111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1        t 3176.146</w:t>
      </w:r>
    </w:p>
    <w:p w:rsidR="0081118D" w:rsidRDefault="0081118D" w:rsidP="008111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2 logistic 3168.327</w:t>
      </w:r>
    </w:p>
    <w:p w:rsidR="0081118D" w:rsidRDefault="0081118D" w:rsidP="008111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3   normal 3110.153</w:t>
      </w:r>
    </w:p>
    <w:p w:rsidR="0081118D" w:rsidRDefault="0081118D" w:rsidP="0081118D">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4   </w:t>
      </w:r>
      <w:proofErr w:type="spellStart"/>
      <w:r>
        <w:rPr>
          <w:rFonts w:ascii="Lucida Console" w:hAnsi="Lucida Console"/>
          <w:color w:val="000000"/>
        </w:rPr>
        <w:t>cauchy</w:t>
      </w:r>
      <w:proofErr w:type="spellEnd"/>
      <w:r>
        <w:rPr>
          <w:rFonts w:ascii="Lucida Console" w:hAnsi="Lucida Console"/>
          <w:color w:val="000000"/>
        </w:rPr>
        <w:t xml:space="preserve"> 2989.924</w:t>
      </w:r>
    </w:p>
    <w:p w:rsidR="0081118D" w:rsidRDefault="0081118D" w:rsidP="00FC14DA"/>
    <w:p w:rsidR="0081118D" w:rsidRDefault="007A110C" w:rsidP="00FC14DA">
      <w:r>
        <w:lastRenderedPageBreak/>
        <w:t>As mentioned earlier, the split t-distribution provides an even better fit, even after accounting for the additional parameters.  When we use any of these distributions to price options, we end up with very different prices than those observed in the market:</w:t>
      </w:r>
    </w:p>
    <w:p w:rsidR="007A110C" w:rsidRDefault="007A110C" w:rsidP="00FC14DA"/>
    <w:p w:rsidR="007A110C" w:rsidRPr="007A110C" w:rsidRDefault="007A110C" w:rsidP="00A412D2">
      <w:pPr>
        <w:keepNext/>
        <w:rPr>
          <w:i/>
        </w:rPr>
      </w:pPr>
      <w:r w:rsidRPr="007A110C">
        <w:rPr>
          <w:i/>
        </w:rPr>
        <w:t>Calls:</w:t>
      </w:r>
    </w:p>
    <w:p w:rsidR="007A110C" w:rsidRDefault="007A110C" w:rsidP="00A412D2">
      <w:pPr>
        <w:keepNext/>
      </w:pPr>
    </w:p>
    <w:tbl>
      <w:tblPr>
        <w:tblW w:w="6860" w:type="dxa"/>
        <w:tblInd w:w="93" w:type="dxa"/>
        <w:tblLook w:val="04A0" w:firstRow="1" w:lastRow="0" w:firstColumn="1" w:lastColumn="0" w:noHBand="0" w:noVBand="1"/>
      </w:tblPr>
      <w:tblGrid>
        <w:gridCol w:w="960"/>
        <w:gridCol w:w="960"/>
        <w:gridCol w:w="1025"/>
        <w:gridCol w:w="895"/>
        <w:gridCol w:w="320"/>
        <w:gridCol w:w="1098"/>
        <w:gridCol w:w="663"/>
        <w:gridCol w:w="939"/>
      </w:tblGrid>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rPr>
                <w:rFonts w:ascii="Calibri" w:eastAsia="Times New Roman" w:hAnsi="Calibri" w:cs="Calibri"/>
                <w:color w:val="000000"/>
                <w:sz w:val="22"/>
              </w:rPr>
            </w:pPr>
          </w:p>
        </w:tc>
        <w:tc>
          <w:tcPr>
            <w:tcW w:w="1920" w:type="dxa"/>
            <w:gridSpan w:val="2"/>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jc w:val="center"/>
              <w:rPr>
                <w:rFonts w:ascii="Calibri" w:eastAsia="Times New Roman" w:hAnsi="Calibri" w:cs="Calibri"/>
                <w:color w:val="000000"/>
                <w:sz w:val="22"/>
              </w:rPr>
            </w:pPr>
            <w:r w:rsidRPr="007A110C">
              <w:rPr>
                <w:rFonts w:ascii="Calibri" w:eastAsia="Times New Roman" w:hAnsi="Calibri" w:cs="Calibri"/>
                <w:color w:val="000000"/>
                <w:sz w:val="22"/>
              </w:rPr>
              <w:t>Implied Volatility</w:t>
            </w:r>
          </w:p>
        </w:tc>
        <w:tc>
          <w:tcPr>
            <w:tcW w:w="320"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center"/>
              <w:rPr>
                <w:rFonts w:ascii="Calibri" w:eastAsia="Times New Roman" w:hAnsi="Calibri" w:cs="Calibri"/>
                <w:color w:val="000000"/>
                <w:sz w:val="22"/>
              </w:rPr>
            </w:pPr>
          </w:p>
        </w:tc>
        <w:tc>
          <w:tcPr>
            <w:tcW w:w="2700" w:type="dxa"/>
            <w:gridSpan w:val="3"/>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jc w:val="center"/>
              <w:rPr>
                <w:rFonts w:ascii="Calibri" w:eastAsia="Times New Roman" w:hAnsi="Calibri" w:cs="Calibri"/>
                <w:color w:val="000000"/>
                <w:sz w:val="22"/>
              </w:rPr>
            </w:pPr>
            <w:r w:rsidRPr="007A110C">
              <w:rPr>
                <w:rFonts w:ascii="Calibri" w:eastAsia="Times New Roman" w:hAnsi="Calibri" w:cs="Calibri"/>
                <w:color w:val="000000"/>
                <w:sz w:val="22"/>
              </w:rPr>
              <w:t>Price</w:t>
            </w:r>
          </w:p>
        </w:tc>
      </w:tr>
      <w:tr w:rsidR="007A110C" w:rsidRPr="007A110C" w:rsidTr="007A110C">
        <w:trPr>
          <w:trHeight w:val="300"/>
        </w:trPr>
        <w:tc>
          <w:tcPr>
            <w:tcW w:w="960" w:type="dxa"/>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rPr>
                <w:rFonts w:ascii="Calibri" w:eastAsia="Times New Roman" w:hAnsi="Calibri" w:cs="Calibri"/>
                <w:color w:val="000000"/>
                <w:sz w:val="22"/>
              </w:rPr>
            </w:pPr>
            <w:r w:rsidRPr="007A110C">
              <w:rPr>
                <w:rFonts w:ascii="Calibri" w:eastAsia="Times New Roman" w:hAnsi="Calibri" w:cs="Calibri"/>
                <w:color w:val="000000"/>
                <w:sz w:val="22"/>
              </w:rPr>
              <w:t>Strike</w:t>
            </w:r>
          </w:p>
        </w:tc>
        <w:tc>
          <w:tcPr>
            <w:tcW w:w="960" w:type="dxa"/>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Ask</w:t>
            </w:r>
          </w:p>
        </w:tc>
        <w:tc>
          <w:tcPr>
            <w:tcW w:w="1025" w:type="dxa"/>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Yahoo!</w:t>
            </w:r>
          </w:p>
        </w:tc>
        <w:tc>
          <w:tcPr>
            <w:tcW w:w="895" w:type="dxa"/>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GB</w:t>
            </w:r>
            <w:r w:rsidR="00A412D2">
              <w:rPr>
                <w:rFonts w:ascii="Calibri" w:eastAsia="Times New Roman" w:hAnsi="Calibri" w:cs="Calibri"/>
                <w:color w:val="000000"/>
                <w:sz w:val="22"/>
              </w:rPr>
              <w:t>S</w:t>
            </w:r>
          </w:p>
        </w:tc>
        <w:tc>
          <w:tcPr>
            <w:tcW w:w="320" w:type="dxa"/>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 </w:t>
            </w:r>
          </w:p>
        </w:tc>
        <w:tc>
          <w:tcPr>
            <w:tcW w:w="1098" w:type="dxa"/>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Normal</w:t>
            </w:r>
          </w:p>
        </w:tc>
        <w:tc>
          <w:tcPr>
            <w:tcW w:w="663" w:type="dxa"/>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T</w:t>
            </w:r>
          </w:p>
        </w:tc>
        <w:tc>
          <w:tcPr>
            <w:tcW w:w="939" w:type="dxa"/>
            <w:tcBorders>
              <w:top w:val="nil"/>
              <w:left w:val="nil"/>
              <w:bottom w:val="single" w:sz="4" w:space="0" w:color="auto"/>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Split-T</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rPr>
                <w:rFonts w:ascii="Calibri" w:eastAsia="Times New Roman" w:hAnsi="Calibri" w:cs="Calibri"/>
                <w:color w:val="000000"/>
                <w:sz w:val="22"/>
              </w:rPr>
            </w:pPr>
            <w:r w:rsidRPr="007A110C">
              <w:rPr>
                <w:rFonts w:ascii="Calibri" w:eastAsia="Times New Roman" w:hAnsi="Calibri" w:cs="Calibri"/>
                <w:color w:val="000000"/>
                <w:sz w:val="22"/>
              </w:rPr>
              <w:t>230</w:t>
            </w:r>
          </w:p>
        </w:tc>
        <w:tc>
          <w:tcPr>
            <w:tcW w:w="960"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1.15</w:t>
            </w:r>
          </w:p>
        </w:tc>
        <w:tc>
          <w:tcPr>
            <w:tcW w:w="1025"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7.30%</w:t>
            </w:r>
          </w:p>
        </w:tc>
        <w:tc>
          <w:tcPr>
            <w:tcW w:w="895"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7.16%</w:t>
            </w:r>
          </w:p>
        </w:tc>
        <w:tc>
          <w:tcPr>
            <w:tcW w:w="320"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3.85</w:t>
            </w:r>
          </w:p>
        </w:tc>
        <w:tc>
          <w:tcPr>
            <w:tcW w:w="663"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4.08</w:t>
            </w:r>
          </w:p>
        </w:tc>
        <w:tc>
          <w:tcPr>
            <w:tcW w:w="939"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4.12</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rPr>
                <w:rFonts w:ascii="Calibri" w:eastAsia="Times New Roman" w:hAnsi="Calibri" w:cs="Calibri"/>
                <w:color w:val="000000"/>
                <w:sz w:val="22"/>
              </w:rPr>
            </w:pPr>
            <w:r w:rsidRPr="007A110C">
              <w:rPr>
                <w:rFonts w:ascii="Calibri" w:eastAsia="Times New Roman" w:hAnsi="Calibri" w:cs="Calibri"/>
                <w:color w:val="000000"/>
                <w:sz w:val="22"/>
              </w:rPr>
              <w:t>235</w:t>
            </w:r>
          </w:p>
        </w:tc>
        <w:tc>
          <w:tcPr>
            <w:tcW w:w="960"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0.25</w:t>
            </w:r>
          </w:p>
        </w:tc>
        <w:tc>
          <w:tcPr>
            <w:tcW w:w="1025"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7.44%</w:t>
            </w:r>
          </w:p>
        </w:tc>
        <w:tc>
          <w:tcPr>
            <w:tcW w:w="895"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7.28%</w:t>
            </w:r>
          </w:p>
        </w:tc>
        <w:tc>
          <w:tcPr>
            <w:tcW w:w="320"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1.83</w:t>
            </w:r>
          </w:p>
        </w:tc>
        <w:tc>
          <w:tcPr>
            <w:tcW w:w="663"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1.92</w:t>
            </w:r>
          </w:p>
        </w:tc>
        <w:tc>
          <w:tcPr>
            <w:tcW w:w="939" w:type="dxa"/>
            <w:tcBorders>
              <w:top w:val="nil"/>
              <w:left w:val="nil"/>
              <w:bottom w:val="nil"/>
              <w:right w:val="nil"/>
            </w:tcBorders>
            <w:shd w:val="clear" w:color="auto" w:fill="auto"/>
            <w:noWrap/>
            <w:vAlign w:val="bottom"/>
            <w:hideMark/>
          </w:tcPr>
          <w:p w:rsidR="007A110C" w:rsidRPr="007A110C" w:rsidRDefault="007A110C" w:rsidP="00A412D2">
            <w:pPr>
              <w:keepNext/>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1.98</w:t>
            </w:r>
          </w:p>
        </w:tc>
      </w:tr>
    </w:tbl>
    <w:p w:rsidR="007A110C" w:rsidRDefault="007A110C" w:rsidP="00FC14DA"/>
    <w:p w:rsidR="007A110C" w:rsidRPr="007A110C" w:rsidRDefault="007A110C" w:rsidP="00FC14DA">
      <w:pPr>
        <w:rPr>
          <w:i/>
        </w:rPr>
      </w:pPr>
      <w:r w:rsidRPr="007A110C">
        <w:rPr>
          <w:i/>
        </w:rPr>
        <w:t>Puts:</w:t>
      </w:r>
    </w:p>
    <w:p w:rsidR="007A110C" w:rsidRDefault="007A110C" w:rsidP="00FC14DA"/>
    <w:tbl>
      <w:tblPr>
        <w:tblW w:w="6860" w:type="dxa"/>
        <w:tblInd w:w="93" w:type="dxa"/>
        <w:tblLook w:val="04A0" w:firstRow="1" w:lastRow="0" w:firstColumn="1" w:lastColumn="0" w:noHBand="0" w:noVBand="1"/>
      </w:tblPr>
      <w:tblGrid>
        <w:gridCol w:w="960"/>
        <w:gridCol w:w="960"/>
        <w:gridCol w:w="960"/>
        <w:gridCol w:w="960"/>
        <w:gridCol w:w="320"/>
        <w:gridCol w:w="1098"/>
        <w:gridCol w:w="663"/>
        <w:gridCol w:w="939"/>
      </w:tblGrid>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p>
        </w:tc>
        <w:tc>
          <w:tcPr>
            <w:tcW w:w="1920" w:type="dxa"/>
            <w:gridSpan w:val="2"/>
            <w:tcBorders>
              <w:top w:val="nil"/>
              <w:left w:val="nil"/>
              <w:bottom w:val="single" w:sz="4" w:space="0" w:color="auto"/>
              <w:right w:val="nil"/>
            </w:tcBorders>
            <w:shd w:val="clear" w:color="auto" w:fill="auto"/>
            <w:noWrap/>
            <w:vAlign w:val="bottom"/>
            <w:hideMark/>
          </w:tcPr>
          <w:p w:rsidR="007A110C" w:rsidRPr="007A110C" w:rsidRDefault="007A110C" w:rsidP="007A110C">
            <w:pPr>
              <w:contextualSpacing w:val="0"/>
              <w:jc w:val="center"/>
              <w:rPr>
                <w:rFonts w:ascii="Calibri" w:eastAsia="Times New Roman" w:hAnsi="Calibri" w:cs="Calibri"/>
                <w:color w:val="000000"/>
                <w:sz w:val="22"/>
              </w:rPr>
            </w:pPr>
            <w:r w:rsidRPr="007A110C">
              <w:rPr>
                <w:rFonts w:ascii="Calibri" w:eastAsia="Times New Roman" w:hAnsi="Calibri" w:cs="Calibri"/>
                <w:color w:val="000000"/>
                <w:sz w:val="22"/>
              </w:rPr>
              <w:t>Implied Volatility</w:t>
            </w:r>
          </w:p>
        </w:tc>
        <w:tc>
          <w:tcPr>
            <w:tcW w:w="32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center"/>
              <w:rPr>
                <w:rFonts w:ascii="Calibri" w:eastAsia="Times New Roman" w:hAnsi="Calibri" w:cs="Calibri"/>
                <w:color w:val="000000"/>
                <w:sz w:val="22"/>
              </w:rPr>
            </w:pPr>
          </w:p>
        </w:tc>
        <w:tc>
          <w:tcPr>
            <w:tcW w:w="2700" w:type="dxa"/>
            <w:gridSpan w:val="3"/>
            <w:tcBorders>
              <w:top w:val="nil"/>
              <w:left w:val="nil"/>
              <w:bottom w:val="single" w:sz="4" w:space="0" w:color="auto"/>
              <w:right w:val="nil"/>
            </w:tcBorders>
            <w:shd w:val="clear" w:color="auto" w:fill="auto"/>
            <w:noWrap/>
            <w:vAlign w:val="bottom"/>
            <w:hideMark/>
          </w:tcPr>
          <w:p w:rsidR="007A110C" w:rsidRPr="007A110C" w:rsidRDefault="007A110C" w:rsidP="007A110C">
            <w:pPr>
              <w:contextualSpacing w:val="0"/>
              <w:jc w:val="center"/>
              <w:rPr>
                <w:rFonts w:ascii="Calibri" w:eastAsia="Times New Roman" w:hAnsi="Calibri" w:cs="Calibri"/>
                <w:color w:val="000000"/>
                <w:sz w:val="22"/>
              </w:rPr>
            </w:pPr>
            <w:r w:rsidRPr="007A110C">
              <w:rPr>
                <w:rFonts w:ascii="Calibri" w:eastAsia="Times New Roman" w:hAnsi="Calibri" w:cs="Calibri"/>
                <w:color w:val="000000"/>
                <w:sz w:val="22"/>
              </w:rPr>
              <w:t>Price</w:t>
            </w:r>
          </w:p>
        </w:tc>
      </w:tr>
      <w:tr w:rsidR="007A110C" w:rsidRPr="007A110C" w:rsidTr="007A110C">
        <w:trPr>
          <w:trHeight w:val="300"/>
        </w:trPr>
        <w:tc>
          <w:tcPr>
            <w:tcW w:w="960" w:type="dxa"/>
            <w:tcBorders>
              <w:top w:val="nil"/>
              <w:left w:val="nil"/>
              <w:bottom w:val="single" w:sz="4" w:space="0" w:color="auto"/>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r w:rsidRPr="007A110C">
              <w:rPr>
                <w:rFonts w:ascii="Calibri" w:eastAsia="Times New Roman" w:hAnsi="Calibri" w:cs="Calibri"/>
                <w:color w:val="000000"/>
                <w:sz w:val="22"/>
              </w:rPr>
              <w:t>Strike</w:t>
            </w:r>
          </w:p>
        </w:tc>
        <w:tc>
          <w:tcPr>
            <w:tcW w:w="960" w:type="dxa"/>
            <w:tcBorders>
              <w:top w:val="nil"/>
              <w:left w:val="nil"/>
              <w:bottom w:val="single" w:sz="4" w:space="0" w:color="auto"/>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Ask</w:t>
            </w:r>
          </w:p>
        </w:tc>
        <w:tc>
          <w:tcPr>
            <w:tcW w:w="960" w:type="dxa"/>
            <w:tcBorders>
              <w:top w:val="nil"/>
              <w:left w:val="nil"/>
              <w:bottom w:val="single" w:sz="4" w:space="0" w:color="auto"/>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Yahoo!</w:t>
            </w:r>
          </w:p>
        </w:tc>
        <w:tc>
          <w:tcPr>
            <w:tcW w:w="960" w:type="dxa"/>
            <w:tcBorders>
              <w:top w:val="nil"/>
              <w:left w:val="nil"/>
              <w:bottom w:val="single" w:sz="4" w:space="0" w:color="auto"/>
              <w:right w:val="nil"/>
            </w:tcBorders>
            <w:shd w:val="clear" w:color="auto" w:fill="auto"/>
            <w:noWrap/>
            <w:vAlign w:val="bottom"/>
            <w:hideMark/>
          </w:tcPr>
          <w:p w:rsidR="007A110C" w:rsidRPr="007A110C" w:rsidRDefault="00A412D2" w:rsidP="007A110C">
            <w:pPr>
              <w:contextualSpacing w:val="0"/>
              <w:jc w:val="right"/>
              <w:rPr>
                <w:rFonts w:ascii="Calibri" w:eastAsia="Times New Roman" w:hAnsi="Calibri" w:cs="Calibri"/>
                <w:color w:val="000000"/>
                <w:sz w:val="22"/>
              </w:rPr>
            </w:pPr>
            <w:r>
              <w:rPr>
                <w:rFonts w:ascii="Calibri" w:eastAsia="Times New Roman" w:hAnsi="Calibri" w:cs="Calibri"/>
                <w:color w:val="000000"/>
                <w:sz w:val="22"/>
              </w:rPr>
              <w:t>G</w:t>
            </w:r>
            <w:r w:rsidR="007A110C" w:rsidRPr="007A110C">
              <w:rPr>
                <w:rFonts w:ascii="Calibri" w:eastAsia="Times New Roman" w:hAnsi="Calibri" w:cs="Calibri"/>
                <w:color w:val="000000"/>
                <w:sz w:val="22"/>
              </w:rPr>
              <w:t>B</w:t>
            </w:r>
            <w:r>
              <w:rPr>
                <w:rFonts w:ascii="Calibri" w:eastAsia="Times New Roman" w:hAnsi="Calibri" w:cs="Calibri"/>
                <w:color w:val="000000"/>
                <w:sz w:val="22"/>
              </w:rPr>
              <w:t>S</w:t>
            </w:r>
          </w:p>
        </w:tc>
        <w:tc>
          <w:tcPr>
            <w:tcW w:w="320" w:type="dxa"/>
            <w:tcBorders>
              <w:top w:val="nil"/>
              <w:left w:val="nil"/>
              <w:bottom w:val="single" w:sz="4" w:space="0" w:color="auto"/>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 </w:t>
            </w:r>
          </w:p>
        </w:tc>
        <w:tc>
          <w:tcPr>
            <w:tcW w:w="1098" w:type="dxa"/>
            <w:tcBorders>
              <w:top w:val="nil"/>
              <w:left w:val="nil"/>
              <w:bottom w:val="single" w:sz="4" w:space="0" w:color="auto"/>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Normal</w:t>
            </w:r>
          </w:p>
        </w:tc>
        <w:tc>
          <w:tcPr>
            <w:tcW w:w="663" w:type="dxa"/>
            <w:tcBorders>
              <w:top w:val="nil"/>
              <w:left w:val="nil"/>
              <w:bottom w:val="single" w:sz="4" w:space="0" w:color="auto"/>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T</w:t>
            </w:r>
          </w:p>
        </w:tc>
        <w:tc>
          <w:tcPr>
            <w:tcW w:w="939" w:type="dxa"/>
            <w:tcBorders>
              <w:top w:val="nil"/>
              <w:left w:val="nil"/>
              <w:bottom w:val="single" w:sz="4" w:space="0" w:color="auto"/>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Split-T</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r w:rsidRPr="007A110C">
              <w:rPr>
                <w:rFonts w:ascii="Calibri" w:eastAsia="Times New Roman" w:hAnsi="Calibri" w:cs="Calibri"/>
                <w:color w:val="000000"/>
                <w:sz w:val="22"/>
              </w:rPr>
              <w:t>199</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0.35</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23.68%</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23.19%</w:t>
            </w:r>
          </w:p>
        </w:tc>
        <w:tc>
          <w:tcPr>
            <w:tcW w:w="32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0.0002</w:t>
            </w:r>
          </w:p>
        </w:tc>
        <w:tc>
          <w:tcPr>
            <w:tcW w:w="663"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0.03</w:t>
            </w:r>
          </w:p>
        </w:tc>
        <w:tc>
          <w:tcPr>
            <w:tcW w:w="939"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0.06</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r w:rsidRPr="007A110C">
              <w:rPr>
                <w:rFonts w:ascii="Calibri" w:eastAsia="Times New Roman" w:hAnsi="Calibri" w:cs="Calibri"/>
                <w:color w:val="000000"/>
                <w:sz w:val="22"/>
              </w:rPr>
              <w:t>200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0.40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23.61%</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23.11%</w:t>
            </w:r>
          </w:p>
        </w:tc>
        <w:tc>
          <w:tcPr>
            <w:tcW w:w="32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0.0004</w:t>
            </w:r>
          </w:p>
        </w:tc>
        <w:tc>
          <w:tcPr>
            <w:tcW w:w="663"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0.03</w:t>
            </w:r>
          </w:p>
        </w:tc>
        <w:tc>
          <w:tcPr>
            <w:tcW w:w="939"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0.06</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r w:rsidRPr="007A110C">
              <w:rPr>
                <w:rFonts w:ascii="Calibri" w:eastAsia="Times New Roman" w:hAnsi="Calibri" w:cs="Calibri"/>
                <w:color w:val="000000"/>
                <w:sz w:val="22"/>
              </w:rPr>
              <w:t>205</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0.50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20.92%</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20.49%</w:t>
            </w:r>
          </w:p>
        </w:tc>
        <w:tc>
          <w:tcPr>
            <w:tcW w:w="32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0.004</w:t>
            </w:r>
          </w:p>
        </w:tc>
        <w:tc>
          <w:tcPr>
            <w:tcW w:w="663"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0.05</w:t>
            </w:r>
          </w:p>
        </w:tc>
        <w:tc>
          <w:tcPr>
            <w:tcW w:w="939"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0.09</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r w:rsidRPr="007A110C">
              <w:rPr>
                <w:rFonts w:ascii="Calibri" w:eastAsia="Times New Roman" w:hAnsi="Calibri" w:cs="Calibri"/>
                <w:color w:val="000000"/>
                <w:sz w:val="22"/>
              </w:rPr>
              <w:t>210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0.60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17.88%</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17.51%</w:t>
            </w:r>
          </w:p>
        </w:tc>
        <w:tc>
          <w:tcPr>
            <w:tcW w:w="32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0.02</w:t>
            </w:r>
          </w:p>
        </w:tc>
        <w:tc>
          <w:tcPr>
            <w:tcW w:w="663"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0.10</w:t>
            </w:r>
          </w:p>
        </w:tc>
        <w:tc>
          <w:tcPr>
            <w:tcW w:w="939"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0.14</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r w:rsidRPr="007A110C">
              <w:rPr>
                <w:rFonts w:ascii="Calibri" w:eastAsia="Times New Roman" w:hAnsi="Calibri" w:cs="Calibri"/>
                <w:color w:val="000000"/>
                <w:sz w:val="22"/>
              </w:rPr>
              <w:t>215</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0.90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15.67%</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15.34%</w:t>
            </w:r>
          </w:p>
        </w:tc>
        <w:tc>
          <w:tcPr>
            <w:tcW w:w="32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0.13</w:t>
            </w:r>
          </w:p>
        </w:tc>
        <w:tc>
          <w:tcPr>
            <w:tcW w:w="663"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0.21</w:t>
            </w:r>
          </w:p>
        </w:tc>
        <w:tc>
          <w:tcPr>
            <w:tcW w:w="939"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0.24</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r w:rsidRPr="007A110C">
              <w:rPr>
                <w:rFonts w:ascii="Calibri" w:eastAsia="Times New Roman" w:hAnsi="Calibri" w:cs="Calibri"/>
                <w:color w:val="000000"/>
                <w:sz w:val="22"/>
              </w:rPr>
              <w:t>220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1.20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12.46%</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12.20%</w:t>
            </w:r>
          </w:p>
        </w:tc>
        <w:tc>
          <w:tcPr>
            <w:tcW w:w="32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0.51</w:t>
            </w:r>
          </w:p>
        </w:tc>
        <w:tc>
          <w:tcPr>
            <w:tcW w:w="663"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0.48</w:t>
            </w:r>
          </w:p>
        </w:tc>
        <w:tc>
          <w:tcPr>
            <w:tcW w:w="939"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0.49</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r w:rsidRPr="007A110C">
              <w:rPr>
                <w:rFonts w:ascii="Calibri" w:eastAsia="Times New Roman" w:hAnsi="Calibri" w:cs="Calibri"/>
                <w:color w:val="000000"/>
                <w:sz w:val="22"/>
              </w:rPr>
              <w:t>225</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2.25</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10.65%</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10.42%</w:t>
            </w:r>
          </w:p>
        </w:tc>
        <w:tc>
          <w:tcPr>
            <w:tcW w:w="32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1.47</w:t>
            </w:r>
          </w:p>
        </w:tc>
        <w:tc>
          <w:tcPr>
            <w:tcW w:w="663"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1.16</w:t>
            </w:r>
          </w:p>
        </w:tc>
        <w:tc>
          <w:tcPr>
            <w:tcW w:w="939"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1.17</w:t>
            </w:r>
          </w:p>
        </w:tc>
      </w:tr>
      <w:tr w:rsidR="007A110C" w:rsidRPr="007A110C" w:rsidTr="007A110C">
        <w:trPr>
          <w:trHeight w:val="300"/>
        </w:trPr>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rPr>
                <w:rFonts w:ascii="Calibri" w:eastAsia="Times New Roman" w:hAnsi="Calibri" w:cs="Calibri"/>
                <w:color w:val="000000"/>
                <w:sz w:val="22"/>
              </w:rPr>
            </w:pPr>
            <w:r w:rsidRPr="007A110C">
              <w:rPr>
                <w:rFonts w:ascii="Calibri" w:eastAsia="Times New Roman" w:hAnsi="Calibri" w:cs="Calibri"/>
                <w:color w:val="000000"/>
                <w:sz w:val="22"/>
              </w:rPr>
              <w:t>230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3.80</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6.98%</w:t>
            </w:r>
          </w:p>
        </w:tc>
        <w:tc>
          <w:tcPr>
            <w:tcW w:w="96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6.83%</w:t>
            </w:r>
          </w:p>
        </w:tc>
        <w:tc>
          <w:tcPr>
            <w:tcW w:w="320"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p>
        </w:tc>
        <w:tc>
          <w:tcPr>
            <w:tcW w:w="1098"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3.35</w:t>
            </w:r>
          </w:p>
        </w:tc>
        <w:tc>
          <w:tcPr>
            <w:tcW w:w="663"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2.71</w:t>
            </w:r>
          </w:p>
        </w:tc>
        <w:tc>
          <w:tcPr>
            <w:tcW w:w="939" w:type="dxa"/>
            <w:tcBorders>
              <w:top w:val="nil"/>
              <w:left w:val="nil"/>
              <w:bottom w:val="nil"/>
              <w:right w:val="nil"/>
            </w:tcBorders>
            <w:shd w:val="clear" w:color="auto" w:fill="auto"/>
            <w:noWrap/>
            <w:vAlign w:val="bottom"/>
            <w:hideMark/>
          </w:tcPr>
          <w:p w:rsidR="007A110C" w:rsidRPr="007A110C" w:rsidRDefault="007A110C" w:rsidP="007A110C">
            <w:pPr>
              <w:contextualSpacing w:val="0"/>
              <w:jc w:val="right"/>
              <w:rPr>
                <w:rFonts w:ascii="Calibri" w:eastAsia="Times New Roman" w:hAnsi="Calibri" w:cs="Calibri"/>
                <w:color w:val="000000"/>
                <w:sz w:val="22"/>
              </w:rPr>
            </w:pPr>
            <w:r w:rsidRPr="007A110C">
              <w:rPr>
                <w:rFonts w:ascii="Calibri" w:eastAsia="Times New Roman" w:hAnsi="Calibri" w:cs="Calibri"/>
                <w:color w:val="000000"/>
                <w:sz w:val="22"/>
              </w:rPr>
              <w:t>2.75</w:t>
            </w:r>
          </w:p>
        </w:tc>
      </w:tr>
    </w:tbl>
    <w:p w:rsidR="007A110C" w:rsidRDefault="007A110C" w:rsidP="00FC14DA"/>
    <w:p w:rsidR="007A110C" w:rsidRDefault="007A110C" w:rsidP="00FC14DA">
      <w:r>
        <w:t>The strike price, ask price, and implied volatility c</w:t>
      </w:r>
      <w:r w:rsidR="00A412D2">
        <w:t>ome from Yahoo! Finance.  The G</w:t>
      </w:r>
      <w:r>
        <w:t>B</w:t>
      </w:r>
      <w:r w:rsidR="00A412D2">
        <w:t>S</w:t>
      </w:r>
      <w:r>
        <w:t xml:space="preserve"> implied volatility </w:t>
      </w:r>
      <w:proofErr w:type="gramStart"/>
      <w:r>
        <w:t>is calculated</w:t>
      </w:r>
      <w:proofErr w:type="gramEnd"/>
      <w:r>
        <w:t xml:space="preserve"> using the “</w:t>
      </w:r>
      <w:proofErr w:type="spellStart"/>
      <w:r>
        <w:t>fOptions</w:t>
      </w:r>
      <w:proofErr w:type="spellEnd"/>
      <w:r>
        <w:t>” package in R.  As an example:</w:t>
      </w:r>
    </w:p>
    <w:p w:rsidR="007A110C" w:rsidRDefault="007A110C" w:rsidP="00FC14DA"/>
    <w:p w:rsidR="007A110C" w:rsidRDefault="007A110C" w:rsidP="007A110C">
      <w:pPr>
        <w:pStyle w:val="Code"/>
      </w:pPr>
      <w:r>
        <w:t xml:space="preserve">&gt; </w:t>
      </w:r>
      <w:proofErr w:type="spellStart"/>
      <w:proofErr w:type="gramStart"/>
      <w:r w:rsidRPr="007A110C">
        <w:t>GBSVolatility</w:t>
      </w:r>
      <w:proofErr w:type="spellEnd"/>
      <w:r w:rsidRPr="007A110C">
        <w:t>(</w:t>
      </w:r>
      <w:proofErr w:type="gramEnd"/>
      <w:r>
        <w:t>1.15</w:t>
      </w:r>
      <w:r w:rsidRPr="007A110C">
        <w:t>, "</w:t>
      </w:r>
      <w:r>
        <w:t>c</w:t>
      </w:r>
      <w:r w:rsidRPr="007A110C">
        <w:t xml:space="preserve">", </w:t>
      </w:r>
      <w:r>
        <w:t>227.26</w:t>
      </w:r>
      <w:r w:rsidRPr="007A110C">
        <w:t xml:space="preserve">, </w:t>
      </w:r>
      <w:r>
        <w:t>230</w:t>
      </w:r>
      <w:r w:rsidRPr="007A110C">
        <w:t>, 30/250, 0.00, 0.00)</w:t>
      </w:r>
    </w:p>
    <w:p w:rsidR="007A110C" w:rsidRDefault="007A110C" w:rsidP="007A110C">
      <w:pPr>
        <w:pStyle w:val="Code"/>
      </w:pPr>
      <w:r>
        <w:t>[1] 0.07155463</w:t>
      </w:r>
    </w:p>
    <w:p w:rsidR="007A110C" w:rsidRDefault="007A110C" w:rsidP="007A110C">
      <w:pPr>
        <w:pStyle w:val="Code"/>
      </w:pPr>
    </w:p>
    <w:p w:rsidR="007A110C" w:rsidRDefault="007A110C" w:rsidP="007A110C">
      <w:r>
        <w:t>The formula above uses a risk-free rate of 0% since this more closely matched the results given by Yahoo.  The 1-month treasury yield is currently 1%.  If we use this in the model instead of a 0% risk-free return, we get results that differ even more from Yahoo’s results:</w:t>
      </w:r>
    </w:p>
    <w:p w:rsidR="007A110C" w:rsidRDefault="007A110C" w:rsidP="007A110C">
      <w:pPr>
        <w:pStyle w:val="Code"/>
      </w:pPr>
    </w:p>
    <w:p w:rsidR="007A110C" w:rsidRPr="000909A3" w:rsidRDefault="007A110C" w:rsidP="007A110C">
      <w:pPr>
        <w:pStyle w:val="Code"/>
      </w:pPr>
      <w:r w:rsidRPr="000909A3">
        <w:t xml:space="preserve">&gt; </w:t>
      </w:r>
      <w:proofErr w:type="spellStart"/>
      <w:proofErr w:type="gramStart"/>
      <w:r w:rsidRPr="000909A3">
        <w:t>GBSVolatility</w:t>
      </w:r>
      <w:proofErr w:type="spellEnd"/>
      <w:r w:rsidRPr="000909A3">
        <w:t>(</w:t>
      </w:r>
      <w:proofErr w:type="gramEnd"/>
      <w:r w:rsidRPr="000909A3">
        <w:t>1.15, "c", 227.26, 230, 30/250, 0.01, 0.01)</w:t>
      </w:r>
    </w:p>
    <w:p w:rsidR="007A110C" w:rsidRPr="007A110C" w:rsidRDefault="007A110C" w:rsidP="007A110C">
      <w:pPr>
        <w:pStyle w:val="Code"/>
      </w:pPr>
      <w:r w:rsidRPr="007A110C">
        <w:t>[1] 0.06848211</w:t>
      </w:r>
    </w:p>
    <w:p w:rsidR="007A110C" w:rsidRDefault="007A110C" w:rsidP="007A110C">
      <w:pPr>
        <w:pStyle w:val="Code"/>
      </w:pPr>
    </w:p>
    <w:p w:rsidR="004F2169" w:rsidRDefault="004F2169" w:rsidP="004F2169">
      <w:r>
        <w:t>The calculated volatilities match</w:t>
      </w:r>
      <w:r w:rsidR="00A412D2">
        <w:t xml:space="preserve"> those from Yahoo r</w:t>
      </w:r>
      <w:r>
        <w:t>ather closely.  The actual mean and standard deviation of these returns is 1.3% and 3.9%.  Annualized, these are 11.13% and 11.32%.  If we examine returns over 250 days, we see a mean of 10.11% and a standard deviation of 8.01%.  This latter value seems closer to the implied volatilities near the money, but this seems low compared to historical averages.</w:t>
      </w:r>
    </w:p>
    <w:p w:rsidR="004F2169" w:rsidRDefault="004F2169" w:rsidP="007A110C">
      <w:pPr>
        <w:pStyle w:val="Code"/>
      </w:pPr>
    </w:p>
    <w:p w:rsidR="007A110C" w:rsidRDefault="007A110C" w:rsidP="007A110C">
      <w:r>
        <w:t xml:space="preserve">The </w:t>
      </w:r>
      <w:proofErr w:type="gramStart"/>
      <w:r>
        <w:t>table of prices</w:t>
      </w:r>
      <w:r w:rsidR="00A412D2">
        <w:t xml:space="preserve"> (above)</w:t>
      </w:r>
      <w:r>
        <w:t xml:space="preserve"> were</w:t>
      </w:r>
      <w:proofErr w:type="gramEnd"/>
      <w:r>
        <w:t xml:space="preserve"> calculated by taking 1,000,000 random samples from each distribution.  The following R code then calculates the expected value of an option with a current price of S and exercise price X:</w:t>
      </w:r>
    </w:p>
    <w:p w:rsidR="007A110C" w:rsidRDefault="007A110C" w:rsidP="007A110C"/>
    <w:p w:rsidR="007A110C" w:rsidRDefault="007A110C" w:rsidP="00A412D2">
      <w:pPr>
        <w:pStyle w:val="Code"/>
        <w:ind w:left="720"/>
      </w:pPr>
      <w:r>
        <w:t>S &lt;- 227.26</w:t>
      </w:r>
    </w:p>
    <w:p w:rsidR="007A110C" w:rsidRDefault="007A110C" w:rsidP="00A412D2">
      <w:pPr>
        <w:pStyle w:val="Code"/>
        <w:ind w:left="720"/>
      </w:pPr>
      <w:r>
        <w:t>X &lt;- 235</w:t>
      </w:r>
    </w:p>
    <w:p w:rsidR="007A110C" w:rsidRDefault="007A110C" w:rsidP="00A412D2">
      <w:pPr>
        <w:pStyle w:val="Code"/>
        <w:ind w:left="720"/>
      </w:pPr>
      <w:proofErr w:type="spellStart"/>
      <w:r>
        <w:t>TypeFlag</w:t>
      </w:r>
      <w:proofErr w:type="spellEnd"/>
      <w:r>
        <w:t xml:space="preserve"> &lt;- "c</w:t>
      </w:r>
      <w:proofErr w:type="gramStart"/>
      <w:r>
        <w:t>"</w:t>
      </w:r>
      <w:r w:rsidR="00A412D2">
        <w:t xml:space="preserve">  #</w:t>
      </w:r>
      <w:proofErr w:type="gramEnd"/>
      <w:r w:rsidR="00A412D2">
        <w:t xml:space="preserve"> “c” = call, “p” = put</w:t>
      </w:r>
    </w:p>
    <w:p w:rsidR="007A110C" w:rsidRDefault="007A110C" w:rsidP="00A412D2">
      <w:pPr>
        <w:pStyle w:val="Code"/>
        <w:ind w:left="720"/>
      </w:pPr>
      <w:proofErr w:type="spellStart"/>
      <w:r>
        <w:t>r.sample</w:t>
      </w:r>
      <w:proofErr w:type="spellEnd"/>
      <w:r>
        <w:t xml:space="preserve"> &lt;- </w:t>
      </w:r>
      <w:proofErr w:type="spellStart"/>
      <w:r>
        <w:t>result$</w:t>
      </w:r>
      <w:proofErr w:type="gramStart"/>
      <w:r>
        <w:t>fits</w:t>
      </w:r>
      <w:proofErr w:type="spellEnd"/>
      <w:r>
        <w:t>[</w:t>
      </w:r>
      <w:proofErr w:type="gramEnd"/>
      <w:r>
        <w:t>['t-split']]$sample(1000000)</w:t>
      </w:r>
    </w:p>
    <w:p w:rsidR="007A110C" w:rsidRDefault="007A110C" w:rsidP="00A412D2">
      <w:pPr>
        <w:pStyle w:val="Code"/>
        <w:ind w:left="720"/>
      </w:pPr>
      <w:proofErr w:type="spellStart"/>
      <w:r>
        <w:t>S.T.sample</w:t>
      </w:r>
      <w:proofErr w:type="spellEnd"/>
      <w:r>
        <w:t xml:space="preserve"> &lt;- S * </w:t>
      </w:r>
      <w:proofErr w:type="spellStart"/>
      <w:proofErr w:type="gramStart"/>
      <w:r>
        <w:t>exp</w:t>
      </w:r>
      <w:proofErr w:type="spellEnd"/>
      <w:r>
        <w:t>(</w:t>
      </w:r>
      <w:proofErr w:type="spellStart"/>
      <w:proofErr w:type="gramEnd"/>
      <w:r>
        <w:t>r.sample</w:t>
      </w:r>
      <w:proofErr w:type="spellEnd"/>
      <w:r>
        <w:t>)</w:t>
      </w:r>
    </w:p>
    <w:p w:rsidR="007A110C" w:rsidRDefault="007A110C" w:rsidP="00A412D2">
      <w:pPr>
        <w:pStyle w:val="Code"/>
        <w:ind w:left="720"/>
      </w:pPr>
      <w:proofErr w:type="spellStart"/>
      <w:r>
        <w:t>V.T.sample</w:t>
      </w:r>
      <w:proofErr w:type="spellEnd"/>
      <w:r>
        <w:t xml:space="preserve"> &lt;- </w:t>
      </w:r>
      <w:proofErr w:type="gramStart"/>
      <w:r>
        <w:t>switch(</w:t>
      </w:r>
      <w:proofErr w:type="spellStart"/>
      <w:proofErr w:type="gramEnd"/>
      <w:r>
        <w:t>TypeFlag</w:t>
      </w:r>
      <w:proofErr w:type="spellEnd"/>
      <w:r>
        <w:t>,</w:t>
      </w:r>
    </w:p>
    <w:p w:rsidR="007A110C" w:rsidRDefault="007A110C" w:rsidP="00A412D2">
      <w:pPr>
        <w:pStyle w:val="Code"/>
        <w:ind w:left="720"/>
      </w:pPr>
      <w:r>
        <w:t xml:space="preserve">  c=</w:t>
      </w:r>
      <w:proofErr w:type="spellStart"/>
      <w:proofErr w:type="gramStart"/>
      <w:r>
        <w:t>pmax</w:t>
      </w:r>
      <w:proofErr w:type="spellEnd"/>
      <w:r>
        <w:t>(</w:t>
      </w:r>
      <w:proofErr w:type="gramEnd"/>
      <w:r>
        <w:t xml:space="preserve">0, </w:t>
      </w:r>
      <w:proofErr w:type="spellStart"/>
      <w:r>
        <w:t>S.T.sample</w:t>
      </w:r>
      <w:proofErr w:type="spellEnd"/>
      <w:r>
        <w:t>-X),</w:t>
      </w:r>
    </w:p>
    <w:p w:rsidR="007A110C" w:rsidRDefault="007A110C" w:rsidP="00A412D2">
      <w:pPr>
        <w:pStyle w:val="Code"/>
        <w:ind w:left="720"/>
      </w:pPr>
      <w:r>
        <w:t xml:space="preserve">  p=</w:t>
      </w:r>
      <w:proofErr w:type="spellStart"/>
      <w:proofErr w:type="gramStart"/>
      <w:r>
        <w:t>pmax</w:t>
      </w:r>
      <w:proofErr w:type="spellEnd"/>
      <w:r>
        <w:t>(</w:t>
      </w:r>
      <w:proofErr w:type="gramEnd"/>
      <w:r>
        <w:t>0, X-</w:t>
      </w:r>
      <w:proofErr w:type="spellStart"/>
      <w:r>
        <w:t>S.T.sample</w:t>
      </w:r>
      <w:proofErr w:type="spellEnd"/>
      <w:r>
        <w:t>)</w:t>
      </w:r>
    </w:p>
    <w:p w:rsidR="007A110C" w:rsidRDefault="007A110C" w:rsidP="00A412D2">
      <w:pPr>
        <w:pStyle w:val="Code"/>
        <w:ind w:left="720"/>
      </w:pPr>
      <w:r>
        <w:t xml:space="preserve">  )</w:t>
      </w:r>
    </w:p>
    <w:p w:rsidR="007A110C" w:rsidRDefault="007A110C" w:rsidP="00A412D2">
      <w:pPr>
        <w:pStyle w:val="Code"/>
        <w:ind w:left="720"/>
      </w:pPr>
      <w:proofErr w:type="gramStart"/>
      <w:r>
        <w:t>mean(</w:t>
      </w:r>
      <w:proofErr w:type="spellStart"/>
      <w:proofErr w:type="gramEnd"/>
      <w:r>
        <w:t>V.T.sample</w:t>
      </w:r>
      <w:proofErr w:type="spellEnd"/>
      <w:r>
        <w:t>)</w:t>
      </w:r>
    </w:p>
    <w:p w:rsidR="007A110C" w:rsidRDefault="007A110C" w:rsidP="007A110C"/>
    <w:p w:rsidR="00FD2409" w:rsidRDefault="001D68BF" w:rsidP="007A110C">
      <w:r>
        <w:t xml:space="preserve">The results above imply that the call options are under-valued quite significantly.  </w:t>
      </w:r>
      <w:r w:rsidR="00872850">
        <w:t xml:space="preserve">The </w:t>
      </w:r>
      <w:proofErr w:type="gramStart"/>
      <w:r w:rsidR="00872850">
        <w:t>230 call</w:t>
      </w:r>
      <w:proofErr w:type="gramEnd"/>
      <w:r w:rsidR="00872850">
        <w:t xml:space="preserve"> option is valued at $3.85 - $4.12 even though the market price is $1.15.  The </w:t>
      </w:r>
      <w:proofErr w:type="gramStart"/>
      <w:r w:rsidR="00872850">
        <w:t>235 call</w:t>
      </w:r>
      <w:proofErr w:type="gramEnd"/>
      <w:r w:rsidR="00872850">
        <w:t xml:space="preserve"> option is valued at $1.83 - $1.98 while the market is at $0.25.  This makes sense when we notice that the average 30-day return is 1.3%.  The expected value of the stock is then $230.32.  </w:t>
      </w:r>
      <w:proofErr w:type="gramStart"/>
      <w:r w:rsidR="00872850">
        <w:t>There’s</w:t>
      </w:r>
      <w:proofErr w:type="gramEnd"/>
      <w:r w:rsidR="00872850">
        <w:t xml:space="preserve"> a 50% chance that the option will expire in the money, and the upside averages out to more than $1.15.</w:t>
      </w:r>
      <w:r w:rsidR="00FD2409">
        <w:t xml:space="preserve">  </w:t>
      </w:r>
      <w:r w:rsidR="00872850">
        <w:t xml:space="preserve">Conversely, it appears that the put options are over-valued.  The market is placing a much higher probability than </w:t>
      </w:r>
      <w:proofErr w:type="gramStart"/>
      <w:r w:rsidR="00872850">
        <w:t>we</w:t>
      </w:r>
      <w:proofErr w:type="gramEnd"/>
      <w:r w:rsidR="00872850">
        <w:t xml:space="preserve"> would that the stock will drop by more than 10% to 20</w:t>
      </w:r>
      <w:r w:rsidR="00FD2409">
        <w:t>0.</w:t>
      </w:r>
    </w:p>
    <w:p w:rsidR="00FD2409" w:rsidRDefault="00FD2409" w:rsidP="007A110C"/>
    <w:p w:rsidR="00872850" w:rsidRDefault="00872850" w:rsidP="007A110C">
      <w:r>
        <w:t xml:space="preserve">It is well-known that empirical distributions under-estimate the probability of large losses – those “Black Swan” events that may still occur even though nothing like them is in our 10 years of sample data.  </w:t>
      </w:r>
      <w:r w:rsidR="00FD2409">
        <w:t xml:space="preserve">This would make us hesitate to purchase any of these put options.  However, should we consider buying call options?  For whatever reason, the market option prices imply that this fund has much less upward potential than history would suggest.  This is likely due to the high valuations out in the market today.  Once again, the trader is left to determine whether the historical model is a good predictor of the future, or is the market taking into account other factors and producing prices that are better than those based on historical </w:t>
      </w:r>
      <w:proofErr w:type="gramStart"/>
      <w:r w:rsidR="00FD2409">
        <w:t>returns</w:t>
      </w:r>
      <w:proofErr w:type="gramEnd"/>
      <w:r w:rsidR="00FD2409">
        <w:t>.</w:t>
      </w:r>
    </w:p>
    <w:p w:rsidR="007A110C" w:rsidRDefault="007A110C" w:rsidP="00FC14DA"/>
    <w:p w:rsidR="00A412D2" w:rsidRDefault="001B74F1" w:rsidP="00A412D2">
      <w:pPr>
        <w:pStyle w:val="Heading1"/>
      </w:pPr>
      <w:r>
        <w:t>Conclusion</w:t>
      </w:r>
    </w:p>
    <w:p w:rsidR="00A412D2" w:rsidRDefault="00A412D2" w:rsidP="00FC14DA"/>
    <w:p w:rsidR="00A412D2" w:rsidRDefault="00A412D2" w:rsidP="00FC14DA">
      <w:r>
        <w:t xml:space="preserve">Further investigation is required to determine which </w:t>
      </w:r>
      <w:proofErr w:type="gramStart"/>
      <w:r>
        <w:t>is a better method for pricing options</w:t>
      </w:r>
      <w:proofErr w:type="gramEnd"/>
      <w:r>
        <w:t xml:space="preserve">.  If we fit probability distributions to historical returns and use these to estimate the future value of an option, can we identify </w:t>
      </w:r>
      <w:proofErr w:type="spellStart"/>
      <w:r>
        <w:t>mis</w:t>
      </w:r>
      <w:proofErr w:type="spellEnd"/>
      <w:r>
        <w:t xml:space="preserve">-pricing </w:t>
      </w:r>
      <w:proofErr w:type="gramStart"/>
      <w:r>
        <w:t>opportunities?</w:t>
      </w:r>
      <w:proofErr w:type="gramEnd"/>
      <w:r>
        <w:t xml:space="preserve">  </w:t>
      </w:r>
      <w:proofErr w:type="gramStart"/>
      <w:r>
        <w:t>Or</w:t>
      </w:r>
      <w:proofErr w:type="gramEnd"/>
      <w:r>
        <w:t xml:space="preserve"> does the market know something that we do not know?  In either case, it will still be important to be able to model the distributions of stock returns.  Even if we are just forecasting stock prices, our model of t</w:t>
      </w:r>
      <w:r w:rsidR="001B74F1">
        <w:t xml:space="preserve">he error distribution will help us quantify risk and uncertainty in our forecasts.  For this purpose, a T-distribution seems best.  Splitting the data and modeling the upside returns separately from the downside returns </w:t>
      </w:r>
      <w:proofErr w:type="gramStart"/>
      <w:r w:rsidR="001B74F1">
        <w:t>was also shown</w:t>
      </w:r>
      <w:proofErr w:type="gramEnd"/>
      <w:r w:rsidR="001B74F1">
        <w:t xml:space="preserve"> to add value in some cases.</w:t>
      </w:r>
    </w:p>
    <w:sectPr w:rsidR="00A412D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C5F" w:rsidRDefault="00772C5F" w:rsidP="000D5E20">
      <w:r>
        <w:separator/>
      </w:r>
    </w:p>
    <w:p w:rsidR="00772C5F" w:rsidRDefault="00772C5F"/>
  </w:endnote>
  <w:endnote w:type="continuationSeparator" w:id="0">
    <w:p w:rsidR="00772C5F" w:rsidRDefault="00772C5F" w:rsidP="000D5E20">
      <w:r>
        <w:continuationSeparator/>
      </w:r>
    </w:p>
    <w:p w:rsidR="00772C5F" w:rsidRDefault="00772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Footer"/>
    </w:pPr>
  </w:p>
  <w:p w:rsidR="00972F33" w:rsidRDefault="00972F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Default="000D5E20">
    <w:pPr>
      <w:pStyle w:val="Footer"/>
    </w:pPr>
    <w:r>
      <w:tab/>
      <w:t xml:space="preserve">- Page </w:t>
    </w:r>
    <w:r>
      <w:fldChar w:fldCharType="begin"/>
    </w:r>
    <w:r>
      <w:instrText xml:space="preserve"> PAGE   \* MERGEFORMAT </w:instrText>
    </w:r>
    <w:r>
      <w:fldChar w:fldCharType="separate"/>
    </w:r>
    <w:r w:rsidR="00C67211">
      <w:rPr>
        <w:noProof/>
      </w:rPr>
      <w:t>1</w:t>
    </w:r>
    <w:r>
      <w:fldChar w:fldCharType="end"/>
    </w:r>
    <w:r>
      <w:t xml:space="preserve"> of </w:t>
    </w:r>
    <w:r w:rsidR="00772C5F">
      <w:fldChar w:fldCharType="begin"/>
    </w:r>
    <w:r w:rsidR="00772C5F">
      <w:instrText xml:space="preserve"> NUMPAGES   \* MERGEFORMAT </w:instrText>
    </w:r>
    <w:r w:rsidR="00772C5F">
      <w:fldChar w:fldCharType="separate"/>
    </w:r>
    <w:r w:rsidR="00C67211">
      <w:rPr>
        <w:noProof/>
      </w:rPr>
      <w:t>6</w:t>
    </w:r>
    <w:r w:rsidR="00772C5F">
      <w:rPr>
        <w:noProof/>
      </w:rPr>
      <w:fldChar w:fldCharType="end"/>
    </w:r>
    <w:r>
      <w:t xml:space="preserve"> -</w:t>
    </w:r>
  </w:p>
  <w:p w:rsidR="00972F33" w:rsidRDefault="00972F3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AF8" w:rsidRDefault="006E7A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C5F" w:rsidRDefault="00772C5F" w:rsidP="000D5E20">
      <w:r>
        <w:separator/>
      </w:r>
    </w:p>
    <w:p w:rsidR="00772C5F" w:rsidRDefault="00772C5F"/>
  </w:footnote>
  <w:footnote w:type="continuationSeparator" w:id="0">
    <w:p w:rsidR="00772C5F" w:rsidRDefault="00772C5F" w:rsidP="000D5E20">
      <w:r>
        <w:continuationSeparator/>
      </w:r>
    </w:p>
    <w:p w:rsidR="00772C5F" w:rsidRDefault="00772C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Header"/>
    </w:pPr>
  </w:p>
  <w:p w:rsidR="00972F33" w:rsidRDefault="00972F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6E7AF8">
      <w:t>2017-08-05</w:t>
    </w:r>
  </w:p>
  <w:p w:rsidR="00972F33" w:rsidRPr="000E6FA2" w:rsidRDefault="006E7AF8" w:rsidP="000E6FA2">
    <w:pPr>
      <w:pStyle w:val="Header"/>
      <w:spacing w:before="120" w:after="120"/>
      <w:jc w:val="center"/>
      <w:rPr>
        <w:b/>
      </w:rPr>
    </w:pPr>
    <w:r>
      <w:rPr>
        <w:b/>
      </w:rPr>
      <w:t>Modeling Stock Returns and Pricing Options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AF8" w:rsidRDefault="006E7A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5">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6">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7">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8">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9">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7"/>
  </w:num>
  <w:num w:numId="4">
    <w:abstractNumId w:val="2"/>
  </w:num>
  <w:num w:numId="5">
    <w:abstractNumId w:val="4"/>
  </w:num>
  <w:num w:numId="6">
    <w:abstractNumId w:val="8"/>
  </w:num>
  <w:num w:numId="7">
    <w:abstractNumId w:val="0"/>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909A3"/>
    <w:rsid w:val="000D5E20"/>
    <w:rsid w:val="000E33A1"/>
    <w:rsid w:val="000E6FA2"/>
    <w:rsid w:val="000E7860"/>
    <w:rsid w:val="000F32D2"/>
    <w:rsid w:val="00190F1B"/>
    <w:rsid w:val="001972AB"/>
    <w:rsid w:val="001A3EAE"/>
    <w:rsid w:val="001B74F1"/>
    <w:rsid w:val="001D68BF"/>
    <w:rsid w:val="001D76A1"/>
    <w:rsid w:val="00381CF4"/>
    <w:rsid w:val="003D14F3"/>
    <w:rsid w:val="00406C5F"/>
    <w:rsid w:val="004855B2"/>
    <w:rsid w:val="004F2169"/>
    <w:rsid w:val="004F3871"/>
    <w:rsid w:val="00506C5A"/>
    <w:rsid w:val="005B41E4"/>
    <w:rsid w:val="005C69EB"/>
    <w:rsid w:val="005F7099"/>
    <w:rsid w:val="006E7AF8"/>
    <w:rsid w:val="00772C5F"/>
    <w:rsid w:val="007A110C"/>
    <w:rsid w:val="007D13D4"/>
    <w:rsid w:val="0081118D"/>
    <w:rsid w:val="008527D9"/>
    <w:rsid w:val="00872850"/>
    <w:rsid w:val="008774AC"/>
    <w:rsid w:val="009364DC"/>
    <w:rsid w:val="00972F33"/>
    <w:rsid w:val="00A412D2"/>
    <w:rsid w:val="00A93456"/>
    <w:rsid w:val="00B32CF8"/>
    <w:rsid w:val="00C1026E"/>
    <w:rsid w:val="00C23874"/>
    <w:rsid w:val="00C67211"/>
    <w:rsid w:val="00CF1221"/>
    <w:rsid w:val="00D24FD4"/>
    <w:rsid w:val="00D3299A"/>
    <w:rsid w:val="00D54E8A"/>
    <w:rsid w:val="00EE5AA2"/>
    <w:rsid w:val="00EF53EB"/>
    <w:rsid w:val="00F5423D"/>
    <w:rsid w:val="00F544DE"/>
    <w:rsid w:val="00FC14DA"/>
    <w:rsid w:val="00FD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4855B2"/>
    <w:rPr>
      <w:rFonts w:ascii="Tahoma" w:hAnsi="Tahoma" w:cs="Tahoma"/>
      <w:sz w:val="16"/>
      <w:szCs w:val="16"/>
    </w:rPr>
  </w:style>
  <w:style w:type="character" w:customStyle="1" w:styleId="BalloonTextChar">
    <w:name w:val="Balloon Text Char"/>
    <w:basedOn w:val="DefaultParagraphFont"/>
    <w:link w:val="BalloonText"/>
    <w:uiPriority w:val="99"/>
    <w:semiHidden/>
    <w:rsid w:val="004855B2"/>
    <w:rPr>
      <w:rFonts w:ascii="Tahoma" w:hAnsi="Tahoma" w:cs="Tahoma"/>
      <w:sz w:val="16"/>
      <w:szCs w:val="16"/>
    </w:rPr>
  </w:style>
  <w:style w:type="paragraph" w:styleId="HTMLPreformatted">
    <w:name w:val="HTML Preformatted"/>
    <w:basedOn w:val="Normal"/>
    <w:link w:val="HTMLPreformattedChar"/>
    <w:uiPriority w:val="99"/>
    <w:semiHidden/>
    <w:unhideWhenUsed/>
    <w:rsid w:val="0048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5B2"/>
    <w:rPr>
      <w:rFonts w:ascii="Courier New" w:eastAsia="Times New Roman" w:hAnsi="Courier New" w:cs="Courier New"/>
      <w:sz w:val="20"/>
      <w:szCs w:val="20"/>
    </w:rPr>
  </w:style>
  <w:style w:type="table" w:styleId="TableGrid">
    <w:name w:val="Table Grid"/>
    <w:basedOn w:val="TableNormal"/>
    <w:uiPriority w:val="59"/>
    <w:rsid w:val="006E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pb">
    <w:name w:val="gghfmyibcpb"/>
    <w:basedOn w:val="DefaultParagraphFont"/>
    <w:rsid w:val="007A110C"/>
  </w:style>
  <w:style w:type="character" w:customStyle="1" w:styleId="gghfmyibcob">
    <w:name w:val="gghfmyibcob"/>
    <w:basedOn w:val="DefaultParagraphFont"/>
    <w:rsid w:val="007A11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4855B2"/>
    <w:rPr>
      <w:rFonts w:ascii="Tahoma" w:hAnsi="Tahoma" w:cs="Tahoma"/>
      <w:sz w:val="16"/>
      <w:szCs w:val="16"/>
    </w:rPr>
  </w:style>
  <w:style w:type="character" w:customStyle="1" w:styleId="BalloonTextChar">
    <w:name w:val="Balloon Text Char"/>
    <w:basedOn w:val="DefaultParagraphFont"/>
    <w:link w:val="BalloonText"/>
    <w:uiPriority w:val="99"/>
    <w:semiHidden/>
    <w:rsid w:val="004855B2"/>
    <w:rPr>
      <w:rFonts w:ascii="Tahoma" w:hAnsi="Tahoma" w:cs="Tahoma"/>
      <w:sz w:val="16"/>
      <w:szCs w:val="16"/>
    </w:rPr>
  </w:style>
  <w:style w:type="paragraph" w:styleId="HTMLPreformatted">
    <w:name w:val="HTML Preformatted"/>
    <w:basedOn w:val="Normal"/>
    <w:link w:val="HTMLPreformattedChar"/>
    <w:uiPriority w:val="99"/>
    <w:semiHidden/>
    <w:unhideWhenUsed/>
    <w:rsid w:val="0048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5B2"/>
    <w:rPr>
      <w:rFonts w:ascii="Courier New" w:eastAsia="Times New Roman" w:hAnsi="Courier New" w:cs="Courier New"/>
      <w:sz w:val="20"/>
      <w:szCs w:val="20"/>
    </w:rPr>
  </w:style>
  <w:style w:type="table" w:styleId="TableGrid">
    <w:name w:val="Table Grid"/>
    <w:basedOn w:val="TableNormal"/>
    <w:uiPriority w:val="59"/>
    <w:rsid w:val="006E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pb">
    <w:name w:val="gghfmyibcpb"/>
    <w:basedOn w:val="DefaultParagraphFont"/>
    <w:rsid w:val="007A110C"/>
  </w:style>
  <w:style w:type="character" w:customStyle="1" w:styleId="gghfmyibcob">
    <w:name w:val="gghfmyibcob"/>
    <w:basedOn w:val="DefaultParagraphFont"/>
    <w:rsid w:val="007A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7760">
      <w:bodyDiv w:val="1"/>
      <w:marLeft w:val="0"/>
      <w:marRight w:val="0"/>
      <w:marTop w:val="0"/>
      <w:marBottom w:val="0"/>
      <w:divBdr>
        <w:top w:val="none" w:sz="0" w:space="0" w:color="auto"/>
        <w:left w:val="none" w:sz="0" w:space="0" w:color="auto"/>
        <w:bottom w:val="none" w:sz="0" w:space="0" w:color="auto"/>
        <w:right w:val="none" w:sz="0" w:space="0" w:color="auto"/>
      </w:divBdr>
    </w:div>
    <w:div w:id="889996449">
      <w:bodyDiv w:val="1"/>
      <w:marLeft w:val="0"/>
      <w:marRight w:val="0"/>
      <w:marTop w:val="0"/>
      <w:marBottom w:val="0"/>
      <w:divBdr>
        <w:top w:val="none" w:sz="0" w:space="0" w:color="auto"/>
        <w:left w:val="none" w:sz="0" w:space="0" w:color="auto"/>
        <w:bottom w:val="none" w:sz="0" w:space="0" w:color="auto"/>
        <w:right w:val="none" w:sz="0" w:space="0" w:color="auto"/>
      </w:divBdr>
    </w:div>
    <w:div w:id="937058339">
      <w:bodyDiv w:val="1"/>
      <w:marLeft w:val="0"/>
      <w:marRight w:val="0"/>
      <w:marTop w:val="0"/>
      <w:marBottom w:val="0"/>
      <w:divBdr>
        <w:top w:val="none" w:sz="0" w:space="0" w:color="auto"/>
        <w:left w:val="none" w:sz="0" w:space="0" w:color="auto"/>
        <w:bottom w:val="none" w:sz="0" w:space="0" w:color="auto"/>
        <w:right w:val="none" w:sz="0" w:space="0" w:color="auto"/>
      </w:divBdr>
    </w:div>
    <w:div w:id="1113867571">
      <w:bodyDiv w:val="1"/>
      <w:marLeft w:val="0"/>
      <w:marRight w:val="0"/>
      <w:marTop w:val="0"/>
      <w:marBottom w:val="0"/>
      <w:divBdr>
        <w:top w:val="none" w:sz="0" w:space="0" w:color="auto"/>
        <w:left w:val="none" w:sz="0" w:space="0" w:color="auto"/>
        <w:bottom w:val="none" w:sz="0" w:space="0" w:color="auto"/>
        <w:right w:val="none" w:sz="0" w:space="0" w:color="auto"/>
      </w:divBdr>
    </w:div>
    <w:div w:id="1769036782">
      <w:bodyDiv w:val="1"/>
      <w:marLeft w:val="0"/>
      <w:marRight w:val="0"/>
      <w:marTop w:val="0"/>
      <w:marBottom w:val="0"/>
      <w:divBdr>
        <w:top w:val="none" w:sz="0" w:space="0" w:color="auto"/>
        <w:left w:val="none" w:sz="0" w:space="0" w:color="auto"/>
        <w:bottom w:val="none" w:sz="0" w:space="0" w:color="auto"/>
        <w:right w:val="none" w:sz="0" w:space="0" w:color="auto"/>
      </w:divBdr>
    </w:div>
    <w:div w:id="185279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13</cp:revision>
  <dcterms:created xsi:type="dcterms:W3CDTF">2017-08-06T01:49:00Z</dcterms:created>
  <dcterms:modified xsi:type="dcterms:W3CDTF">2017-08-10T03:23:00Z</dcterms:modified>
</cp:coreProperties>
</file>