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E20" w:rsidRPr="000E6FA2" w:rsidRDefault="00DE2A31" w:rsidP="000E6FA2">
      <w:pPr>
        <w:pStyle w:val="Title"/>
      </w:pPr>
      <w:r>
        <w:t>Average Return Portfolios over 10 Years</w:t>
      </w:r>
    </w:p>
    <w:p w:rsidR="000D5E20" w:rsidRDefault="000D5E20" w:rsidP="000E6FA2"/>
    <w:p w:rsidR="00C7450E" w:rsidRPr="00C7450E" w:rsidRDefault="008E354C" w:rsidP="00C7450E">
      <w:pPr>
        <w:pStyle w:val="Heading1"/>
      </w:pPr>
      <w:r>
        <w:t>Background</w:t>
      </w:r>
    </w:p>
    <w:p w:rsidR="00C7450E" w:rsidRDefault="00C7450E" w:rsidP="000E6FA2"/>
    <w:p w:rsidR="008E354C" w:rsidRDefault="00C7450E" w:rsidP="000E6FA2">
      <w:r>
        <w:t xml:space="preserve">In </w:t>
      </w:r>
      <w:proofErr w:type="gramStart"/>
      <w:r>
        <w:t>May</w:t>
      </w:r>
      <w:proofErr w:type="gramEnd"/>
      <w:r>
        <w:t xml:space="preserve"> we looked at</w:t>
      </w:r>
      <w:r w:rsidR="00DE2A31">
        <w:t xml:space="preserve"> a simple method for selecting stocks: average historical returns and picking a set of stocks with the highest returns.  Two methods </w:t>
      </w:r>
      <w:proofErr w:type="gramStart"/>
      <w:r w:rsidR="00DE2A31">
        <w:t>were examined</w:t>
      </w:r>
      <w:proofErr w:type="gramEnd"/>
      <w:r w:rsidR="00DE2A31">
        <w:t xml:space="preserve">, each picking the top 5 stocks based on </w:t>
      </w:r>
      <w:r w:rsidR="008E354C">
        <w:t xml:space="preserve">20-day returns over the past year.  One method re-assessed and trading stocks every 5 days and another every 20 days.  These </w:t>
      </w:r>
      <w:proofErr w:type="gramStart"/>
      <w:r w:rsidR="008E354C">
        <w:t>were then compared</w:t>
      </w:r>
      <w:proofErr w:type="gramEnd"/>
      <w:r w:rsidR="008E354C">
        <w:t xml:space="preserve"> to market returns from January 1 through May 10.  The following results </w:t>
      </w:r>
      <w:proofErr w:type="gramStart"/>
      <w:r w:rsidR="008E354C">
        <w:t>were observed</w:t>
      </w:r>
      <w:proofErr w:type="gramEnd"/>
      <w:r w:rsidR="008E354C">
        <w:t>:</w:t>
      </w:r>
    </w:p>
    <w:p w:rsidR="008E354C" w:rsidRDefault="008E354C" w:rsidP="000E6FA2"/>
    <w:tbl>
      <w:tblPr>
        <w:tblW w:w="6702" w:type="dxa"/>
        <w:tblInd w:w="93" w:type="dxa"/>
        <w:tblLook w:val="04A0" w:firstRow="1" w:lastRow="0" w:firstColumn="1" w:lastColumn="0" w:noHBand="0" w:noVBand="1"/>
      </w:tblPr>
      <w:tblGrid>
        <w:gridCol w:w="1717"/>
        <w:gridCol w:w="875"/>
        <w:gridCol w:w="1350"/>
        <w:gridCol w:w="960"/>
        <w:gridCol w:w="840"/>
        <w:gridCol w:w="960"/>
      </w:tblGrid>
      <w:tr w:rsidR="008E354C" w:rsidRPr="008D4286" w:rsidTr="008E354C">
        <w:trPr>
          <w:trHeight w:val="300"/>
        </w:trPr>
        <w:tc>
          <w:tcPr>
            <w:tcW w:w="1717" w:type="dxa"/>
            <w:tcBorders>
              <w:top w:val="nil"/>
              <w:left w:val="nil"/>
              <w:right w:val="nil"/>
            </w:tcBorders>
            <w:shd w:val="clear" w:color="auto" w:fill="auto"/>
            <w:noWrap/>
            <w:vAlign w:val="bottom"/>
          </w:tcPr>
          <w:p w:rsidR="008E354C" w:rsidRDefault="008E354C" w:rsidP="009F3A00">
            <w:pPr>
              <w:contextualSpacing w:val="0"/>
              <w:rPr>
                <w:rFonts w:ascii="Calibri" w:eastAsia="Times New Roman" w:hAnsi="Calibri" w:cs="Calibri"/>
                <w:color w:val="000000"/>
                <w:sz w:val="22"/>
              </w:rPr>
            </w:pPr>
          </w:p>
        </w:tc>
        <w:tc>
          <w:tcPr>
            <w:tcW w:w="875" w:type="dxa"/>
            <w:tcBorders>
              <w:top w:val="nil"/>
              <w:left w:val="nil"/>
              <w:right w:val="nil"/>
            </w:tcBorders>
            <w:vAlign w:val="center"/>
          </w:tcPr>
          <w:p w:rsidR="008E354C" w:rsidRDefault="008E354C" w:rsidP="009F3A00">
            <w:pPr>
              <w:contextualSpacing w:val="0"/>
              <w:jc w:val="right"/>
              <w:rPr>
                <w:rFonts w:ascii="Calibri" w:eastAsia="Times New Roman" w:hAnsi="Calibri" w:cs="Calibri"/>
                <w:color w:val="000000"/>
                <w:sz w:val="22"/>
              </w:rPr>
            </w:pPr>
          </w:p>
        </w:tc>
        <w:tc>
          <w:tcPr>
            <w:tcW w:w="4110" w:type="dxa"/>
            <w:gridSpan w:val="4"/>
            <w:tcBorders>
              <w:top w:val="nil"/>
              <w:left w:val="nil"/>
              <w:bottom w:val="single" w:sz="4" w:space="0" w:color="auto"/>
              <w:right w:val="nil"/>
            </w:tcBorders>
            <w:shd w:val="clear" w:color="auto" w:fill="auto"/>
            <w:noWrap/>
            <w:vAlign w:val="center"/>
          </w:tcPr>
          <w:p w:rsidR="008E354C" w:rsidRPr="008D4286" w:rsidRDefault="008E354C" w:rsidP="009F3A00">
            <w:pPr>
              <w:contextualSpacing w:val="0"/>
              <w:jc w:val="center"/>
              <w:rPr>
                <w:rFonts w:ascii="Calibri" w:eastAsia="Times New Roman" w:hAnsi="Calibri" w:cs="Calibri"/>
                <w:color w:val="000000"/>
                <w:sz w:val="22"/>
              </w:rPr>
            </w:pPr>
            <w:r>
              <w:rPr>
                <w:rFonts w:ascii="Calibri" w:eastAsia="Times New Roman" w:hAnsi="Calibri" w:cs="Calibri"/>
                <w:color w:val="000000"/>
                <w:sz w:val="22"/>
              </w:rPr>
              <w:t>Log Returns</w:t>
            </w:r>
          </w:p>
        </w:tc>
      </w:tr>
      <w:tr w:rsidR="008E354C" w:rsidRPr="008D4286" w:rsidTr="008E354C">
        <w:trPr>
          <w:trHeight w:val="300"/>
        </w:trPr>
        <w:tc>
          <w:tcPr>
            <w:tcW w:w="1717" w:type="dxa"/>
            <w:tcBorders>
              <w:left w:val="nil"/>
              <w:bottom w:val="single" w:sz="4" w:space="0" w:color="auto"/>
              <w:right w:val="nil"/>
            </w:tcBorders>
            <w:shd w:val="clear" w:color="auto" w:fill="auto"/>
            <w:noWrap/>
            <w:vAlign w:val="bottom"/>
            <w:hideMark/>
          </w:tcPr>
          <w:p w:rsidR="008E354C" w:rsidRPr="008D4286" w:rsidRDefault="008E354C" w:rsidP="009F3A00">
            <w:pPr>
              <w:contextualSpacing w:val="0"/>
              <w:rPr>
                <w:rFonts w:ascii="Calibri" w:eastAsia="Times New Roman" w:hAnsi="Calibri" w:cs="Calibri"/>
                <w:color w:val="000000"/>
                <w:sz w:val="22"/>
              </w:rPr>
            </w:pPr>
            <w:r>
              <w:rPr>
                <w:rFonts w:ascii="Calibri" w:eastAsia="Times New Roman" w:hAnsi="Calibri" w:cs="Calibri"/>
                <w:color w:val="000000"/>
                <w:sz w:val="22"/>
              </w:rPr>
              <w:t>Method</w:t>
            </w:r>
          </w:p>
        </w:tc>
        <w:tc>
          <w:tcPr>
            <w:tcW w:w="875" w:type="dxa"/>
            <w:tcBorders>
              <w:left w:val="nil"/>
              <w:bottom w:val="single" w:sz="4" w:space="0" w:color="auto"/>
              <w:right w:val="nil"/>
            </w:tcBorders>
            <w:vAlign w:val="center"/>
          </w:tcPr>
          <w:p w:rsidR="008E354C" w:rsidRPr="008D4286" w:rsidRDefault="008E354C"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Return</w:t>
            </w:r>
          </w:p>
        </w:tc>
        <w:tc>
          <w:tcPr>
            <w:tcW w:w="1350" w:type="dxa"/>
            <w:tcBorders>
              <w:top w:val="nil"/>
              <w:left w:val="nil"/>
              <w:bottom w:val="single" w:sz="4" w:space="0" w:color="auto"/>
              <w:right w:val="nil"/>
            </w:tcBorders>
            <w:shd w:val="clear" w:color="auto" w:fill="auto"/>
            <w:noWrap/>
            <w:vAlign w:val="center"/>
            <w:hideMark/>
          </w:tcPr>
          <w:p w:rsidR="008E354C" w:rsidRPr="008D4286" w:rsidRDefault="008E354C"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Avg. Return</w:t>
            </w:r>
          </w:p>
        </w:tc>
        <w:tc>
          <w:tcPr>
            <w:tcW w:w="960" w:type="dxa"/>
            <w:tcBorders>
              <w:top w:val="nil"/>
              <w:left w:val="nil"/>
              <w:bottom w:val="single" w:sz="4" w:space="0" w:color="auto"/>
              <w:right w:val="nil"/>
            </w:tcBorders>
            <w:shd w:val="clear" w:color="auto" w:fill="auto"/>
            <w:noWrap/>
            <w:vAlign w:val="center"/>
            <w:hideMark/>
          </w:tcPr>
          <w:p w:rsidR="008E354C" w:rsidRPr="008D4286" w:rsidRDefault="008E354C" w:rsidP="009F3A00">
            <w:pPr>
              <w:contextualSpacing w:val="0"/>
              <w:jc w:val="right"/>
              <w:rPr>
                <w:rFonts w:ascii="Calibri" w:eastAsia="Times New Roman" w:hAnsi="Calibri" w:cs="Calibri"/>
                <w:color w:val="000000"/>
                <w:sz w:val="22"/>
              </w:rPr>
            </w:pPr>
            <w:proofErr w:type="spellStart"/>
            <w:r w:rsidRPr="008D4286">
              <w:rPr>
                <w:rFonts w:ascii="Calibri" w:eastAsia="Times New Roman" w:hAnsi="Calibri" w:cs="Calibri"/>
                <w:color w:val="000000"/>
                <w:sz w:val="22"/>
              </w:rPr>
              <w:t>Stdev</w:t>
            </w:r>
            <w:proofErr w:type="spellEnd"/>
          </w:p>
        </w:tc>
        <w:tc>
          <w:tcPr>
            <w:tcW w:w="840" w:type="dxa"/>
            <w:tcBorders>
              <w:top w:val="nil"/>
              <w:left w:val="nil"/>
              <w:bottom w:val="single" w:sz="4" w:space="0" w:color="auto"/>
              <w:right w:val="nil"/>
            </w:tcBorders>
            <w:shd w:val="clear" w:color="auto" w:fill="auto"/>
            <w:noWrap/>
            <w:vAlign w:val="center"/>
            <w:hideMark/>
          </w:tcPr>
          <w:p w:rsidR="008E354C" w:rsidRPr="008D4286" w:rsidRDefault="008E354C" w:rsidP="009F3A00">
            <w:pPr>
              <w:contextualSpacing w:val="0"/>
              <w:jc w:val="right"/>
              <w:rPr>
                <w:rFonts w:ascii="Calibri" w:eastAsia="Times New Roman" w:hAnsi="Calibri" w:cs="Calibri"/>
                <w:color w:val="000000"/>
                <w:sz w:val="22"/>
              </w:rPr>
            </w:pPr>
            <w:r w:rsidRPr="008D4286">
              <w:rPr>
                <w:rFonts w:ascii="Calibri" w:eastAsia="Times New Roman" w:hAnsi="Calibri" w:cs="Calibri"/>
                <w:color w:val="000000"/>
                <w:sz w:val="22"/>
              </w:rPr>
              <w:t>Sharpe</w:t>
            </w:r>
          </w:p>
        </w:tc>
        <w:tc>
          <w:tcPr>
            <w:tcW w:w="960" w:type="dxa"/>
            <w:tcBorders>
              <w:top w:val="nil"/>
              <w:left w:val="nil"/>
              <w:bottom w:val="single" w:sz="4" w:space="0" w:color="auto"/>
              <w:right w:val="nil"/>
            </w:tcBorders>
            <w:shd w:val="clear" w:color="auto" w:fill="auto"/>
            <w:noWrap/>
            <w:vAlign w:val="center"/>
            <w:hideMark/>
          </w:tcPr>
          <w:p w:rsidR="008E354C" w:rsidRPr="008D4286" w:rsidRDefault="008E354C" w:rsidP="009F3A00">
            <w:pPr>
              <w:contextualSpacing w:val="0"/>
              <w:jc w:val="right"/>
              <w:rPr>
                <w:rFonts w:ascii="Calibri" w:eastAsia="Times New Roman" w:hAnsi="Calibri" w:cs="Calibri"/>
                <w:color w:val="000000"/>
                <w:sz w:val="22"/>
              </w:rPr>
            </w:pPr>
            <w:proofErr w:type="spellStart"/>
            <w:r w:rsidRPr="008D4286">
              <w:rPr>
                <w:rFonts w:ascii="Calibri" w:eastAsia="Times New Roman" w:hAnsi="Calibri" w:cs="Calibri"/>
                <w:color w:val="000000"/>
                <w:sz w:val="22"/>
              </w:rPr>
              <w:t>Sortino</w:t>
            </w:r>
            <w:proofErr w:type="spellEnd"/>
          </w:p>
        </w:tc>
      </w:tr>
      <w:tr w:rsidR="008E354C" w:rsidRPr="008D4286" w:rsidTr="008E354C">
        <w:trPr>
          <w:trHeight w:val="300"/>
        </w:trPr>
        <w:tc>
          <w:tcPr>
            <w:tcW w:w="1717" w:type="dxa"/>
            <w:tcBorders>
              <w:top w:val="nil"/>
              <w:left w:val="nil"/>
              <w:bottom w:val="nil"/>
              <w:right w:val="nil"/>
            </w:tcBorders>
            <w:shd w:val="clear" w:color="auto" w:fill="auto"/>
            <w:noWrap/>
            <w:vAlign w:val="bottom"/>
          </w:tcPr>
          <w:p w:rsidR="008E354C" w:rsidRPr="008D4286" w:rsidRDefault="008E354C" w:rsidP="009F3A00">
            <w:pPr>
              <w:contextualSpacing w:val="0"/>
              <w:rPr>
                <w:rFonts w:ascii="Calibri" w:eastAsia="Times New Roman" w:hAnsi="Calibri" w:cs="Calibri"/>
                <w:color w:val="000000"/>
                <w:sz w:val="22"/>
              </w:rPr>
            </w:pPr>
            <w:r w:rsidRPr="008D4286">
              <w:rPr>
                <w:rFonts w:ascii="Calibri" w:eastAsia="Times New Roman" w:hAnsi="Calibri" w:cs="Calibri"/>
                <w:color w:val="000000"/>
                <w:sz w:val="22"/>
              </w:rPr>
              <w:t>S&amp;P 500</w:t>
            </w:r>
          </w:p>
        </w:tc>
        <w:tc>
          <w:tcPr>
            <w:tcW w:w="875" w:type="dxa"/>
            <w:tcBorders>
              <w:top w:val="nil"/>
              <w:left w:val="nil"/>
              <w:bottom w:val="nil"/>
              <w:right w:val="nil"/>
            </w:tcBorders>
            <w:vAlign w:val="center"/>
          </w:tcPr>
          <w:p w:rsidR="008E354C" w:rsidRDefault="008E354C" w:rsidP="009F3A00">
            <w:pPr>
              <w:jc w:val="right"/>
              <w:rPr>
                <w:rFonts w:ascii="Calibri" w:hAnsi="Calibri" w:cs="Calibri"/>
                <w:color w:val="000000"/>
                <w:sz w:val="22"/>
              </w:rPr>
            </w:pPr>
            <w:r>
              <w:rPr>
                <w:rFonts w:ascii="Calibri" w:hAnsi="Calibri" w:cs="Calibri"/>
                <w:color w:val="000000"/>
                <w:sz w:val="22"/>
              </w:rPr>
              <w:t>6.40%</w:t>
            </w:r>
          </w:p>
        </w:tc>
        <w:tc>
          <w:tcPr>
            <w:tcW w:w="1350" w:type="dxa"/>
            <w:tcBorders>
              <w:top w:val="nil"/>
              <w:left w:val="nil"/>
              <w:bottom w:val="nil"/>
              <w:right w:val="nil"/>
            </w:tcBorders>
            <w:shd w:val="clear" w:color="auto" w:fill="auto"/>
            <w:noWrap/>
            <w:vAlign w:val="center"/>
          </w:tcPr>
          <w:p w:rsidR="008E354C" w:rsidRPr="008D4286" w:rsidRDefault="008E354C" w:rsidP="009F3A00">
            <w:pPr>
              <w:contextualSpacing w:val="0"/>
              <w:jc w:val="right"/>
              <w:rPr>
                <w:rFonts w:ascii="Calibri" w:eastAsia="Times New Roman" w:hAnsi="Calibri" w:cs="Calibri"/>
                <w:color w:val="000000"/>
                <w:sz w:val="22"/>
              </w:rPr>
            </w:pPr>
            <w:r w:rsidRPr="008D4286">
              <w:rPr>
                <w:rFonts w:ascii="Calibri" w:eastAsia="Times New Roman" w:hAnsi="Calibri" w:cs="Calibri"/>
                <w:color w:val="000000"/>
                <w:sz w:val="22"/>
              </w:rPr>
              <w:t>5.92%</w:t>
            </w:r>
          </w:p>
        </w:tc>
        <w:tc>
          <w:tcPr>
            <w:tcW w:w="960" w:type="dxa"/>
            <w:tcBorders>
              <w:top w:val="nil"/>
              <w:left w:val="nil"/>
              <w:bottom w:val="nil"/>
              <w:right w:val="nil"/>
            </w:tcBorders>
            <w:shd w:val="clear" w:color="auto" w:fill="auto"/>
            <w:noWrap/>
            <w:vAlign w:val="center"/>
          </w:tcPr>
          <w:p w:rsidR="008E354C" w:rsidRPr="008D4286" w:rsidRDefault="008E354C" w:rsidP="009F3A00">
            <w:pPr>
              <w:contextualSpacing w:val="0"/>
              <w:jc w:val="right"/>
              <w:rPr>
                <w:rFonts w:ascii="Calibri" w:eastAsia="Times New Roman" w:hAnsi="Calibri" w:cs="Calibri"/>
                <w:color w:val="000000"/>
                <w:sz w:val="22"/>
              </w:rPr>
            </w:pPr>
            <w:r w:rsidRPr="008D4286">
              <w:rPr>
                <w:rFonts w:ascii="Calibri" w:eastAsia="Times New Roman" w:hAnsi="Calibri" w:cs="Calibri"/>
                <w:color w:val="000000"/>
                <w:sz w:val="22"/>
              </w:rPr>
              <w:t>3.77%</w:t>
            </w:r>
          </w:p>
        </w:tc>
        <w:tc>
          <w:tcPr>
            <w:tcW w:w="840" w:type="dxa"/>
            <w:tcBorders>
              <w:top w:val="nil"/>
              <w:left w:val="nil"/>
              <w:bottom w:val="nil"/>
              <w:right w:val="nil"/>
            </w:tcBorders>
            <w:shd w:val="clear" w:color="auto" w:fill="auto"/>
            <w:noWrap/>
            <w:vAlign w:val="center"/>
          </w:tcPr>
          <w:p w:rsidR="008E354C" w:rsidRPr="008D4286" w:rsidRDefault="008E354C" w:rsidP="009F3A00">
            <w:pPr>
              <w:contextualSpacing w:val="0"/>
              <w:jc w:val="right"/>
              <w:rPr>
                <w:rFonts w:ascii="Calibri" w:eastAsia="Times New Roman" w:hAnsi="Calibri" w:cs="Calibri"/>
                <w:color w:val="000000"/>
                <w:sz w:val="22"/>
              </w:rPr>
            </w:pPr>
            <w:r w:rsidRPr="008D4286">
              <w:rPr>
                <w:rFonts w:ascii="Calibri" w:eastAsia="Times New Roman" w:hAnsi="Calibri" w:cs="Calibri"/>
                <w:color w:val="000000"/>
                <w:sz w:val="22"/>
              </w:rPr>
              <w:t>1.57</w:t>
            </w:r>
          </w:p>
        </w:tc>
        <w:tc>
          <w:tcPr>
            <w:tcW w:w="960" w:type="dxa"/>
            <w:tcBorders>
              <w:top w:val="nil"/>
              <w:left w:val="nil"/>
              <w:bottom w:val="nil"/>
              <w:right w:val="nil"/>
            </w:tcBorders>
            <w:shd w:val="clear" w:color="auto" w:fill="auto"/>
            <w:noWrap/>
            <w:vAlign w:val="center"/>
          </w:tcPr>
          <w:p w:rsidR="008E354C" w:rsidRPr="008D4286" w:rsidRDefault="008E354C" w:rsidP="009F3A00">
            <w:pPr>
              <w:contextualSpacing w:val="0"/>
              <w:jc w:val="right"/>
              <w:rPr>
                <w:rFonts w:ascii="Calibri" w:eastAsia="Times New Roman" w:hAnsi="Calibri" w:cs="Calibri"/>
                <w:color w:val="000000"/>
                <w:sz w:val="22"/>
              </w:rPr>
            </w:pPr>
            <w:r w:rsidRPr="008D4286">
              <w:rPr>
                <w:rFonts w:ascii="Calibri" w:eastAsia="Times New Roman" w:hAnsi="Calibri" w:cs="Calibri"/>
                <w:color w:val="000000"/>
                <w:sz w:val="22"/>
              </w:rPr>
              <w:t>1.92</w:t>
            </w:r>
          </w:p>
        </w:tc>
      </w:tr>
      <w:tr w:rsidR="008E354C" w:rsidRPr="008D4286" w:rsidTr="008E354C">
        <w:trPr>
          <w:trHeight w:val="300"/>
        </w:trPr>
        <w:tc>
          <w:tcPr>
            <w:tcW w:w="1717" w:type="dxa"/>
            <w:tcBorders>
              <w:top w:val="nil"/>
              <w:left w:val="nil"/>
              <w:bottom w:val="nil"/>
              <w:right w:val="nil"/>
            </w:tcBorders>
            <w:shd w:val="clear" w:color="auto" w:fill="auto"/>
            <w:noWrap/>
            <w:vAlign w:val="bottom"/>
          </w:tcPr>
          <w:p w:rsidR="008E354C" w:rsidRPr="008D4286" w:rsidRDefault="008E354C" w:rsidP="009F3A00">
            <w:pPr>
              <w:contextualSpacing w:val="0"/>
              <w:rPr>
                <w:rFonts w:ascii="Calibri" w:eastAsia="Times New Roman" w:hAnsi="Calibri" w:cs="Calibri"/>
                <w:color w:val="000000"/>
                <w:sz w:val="22"/>
              </w:rPr>
            </w:pPr>
            <w:r>
              <w:rPr>
                <w:rFonts w:ascii="Calibri" w:eastAsia="Times New Roman" w:hAnsi="Calibri" w:cs="Calibri"/>
                <w:color w:val="000000"/>
                <w:sz w:val="22"/>
              </w:rPr>
              <w:t>Avg20(trade=20)</w:t>
            </w:r>
          </w:p>
        </w:tc>
        <w:tc>
          <w:tcPr>
            <w:tcW w:w="875" w:type="dxa"/>
            <w:tcBorders>
              <w:top w:val="nil"/>
              <w:left w:val="nil"/>
              <w:bottom w:val="nil"/>
              <w:right w:val="nil"/>
            </w:tcBorders>
            <w:vAlign w:val="center"/>
          </w:tcPr>
          <w:p w:rsidR="008E354C" w:rsidRDefault="008E354C" w:rsidP="009F3A00">
            <w:pPr>
              <w:jc w:val="right"/>
              <w:rPr>
                <w:rFonts w:ascii="Calibri" w:hAnsi="Calibri" w:cs="Calibri"/>
                <w:color w:val="000000"/>
                <w:sz w:val="22"/>
              </w:rPr>
            </w:pPr>
            <w:r w:rsidRPr="00A1558F">
              <w:rPr>
                <w:rFonts w:ascii="Calibri" w:hAnsi="Calibri" w:cs="Calibri"/>
                <w:color w:val="000000"/>
                <w:sz w:val="22"/>
              </w:rPr>
              <w:t>19.17%</w:t>
            </w:r>
          </w:p>
        </w:tc>
        <w:tc>
          <w:tcPr>
            <w:tcW w:w="1350" w:type="dxa"/>
            <w:tcBorders>
              <w:top w:val="nil"/>
              <w:left w:val="nil"/>
              <w:bottom w:val="nil"/>
              <w:right w:val="nil"/>
            </w:tcBorders>
            <w:shd w:val="clear" w:color="auto" w:fill="auto"/>
            <w:noWrap/>
            <w:vAlign w:val="center"/>
          </w:tcPr>
          <w:p w:rsidR="008E354C" w:rsidRDefault="008E354C" w:rsidP="009F3A00">
            <w:pPr>
              <w:jc w:val="right"/>
              <w:rPr>
                <w:rFonts w:ascii="Calibri" w:hAnsi="Calibri" w:cs="Calibri"/>
                <w:color w:val="000000"/>
                <w:sz w:val="22"/>
              </w:rPr>
            </w:pPr>
            <w:r>
              <w:rPr>
                <w:rFonts w:ascii="Calibri" w:hAnsi="Calibri" w:cs="Calibri"/>
                <w:color w:val="000000"/>
                <w:sz w:val="22"/>
              </w:rPr>
              <w:t>17.54%</w:t>
            </w:r>
          </w:p>
        </w:tc>
        <w:tc>
          <w:tcPr>
            <w:tcW w:w="960" w:type="dxa"/>
            <w:tcBorders>
              <w:top w:val="nil"/>
              <w:left w:val="nil"/>
              <w:bottom w:val="nil"/>
              <w:right w:val="nil"/>
            </w:tcBorders>
            <w:shd w:val="clear" w:color="auto" w:fill="auto"/>
            <w:noWrap/>
            <w:vAlign w:val="center"/>
          </w:tcPr>
          <w:p w:rsidR="008E354C" w:rsidRDefault="008E354C" w:rsidP="009F3A00">
            <w:pPr>
              <w:jc w:val="right"/>
              <w:rPr>
                <w:rFonts w:ascii="Calibri" w:hAnsi="Calibri" w:cs="Calibri"/>
                <w:color w:val="000000"/>
                <w:sz w:val="22"/>
              </w:rPr>
            </w:pPr>
            <w:r>
              <w:rPr>
                <w:rFonts w:ascii="Calibri" w:hAnsi="Calibri" w:cs="Calibri"/>
                <w:color w:val="000000"/>
                <w:sz w:val="22"/>
              </w:rPr>
              <w:t>19.28%</w:t>
            </w:r>
          </w:p>
        </w:tc>
        <w:tc>
          <w:tcPr>
            <w:tcW w:w="840" w:type="dxa"/>
            <w:tcBorders>
              <w:top w:val="nil"/>
              <w:left w:val="nil"/>
              <w:bottom w:val="nil"/>
              <w:right w:val="nil"/>
            </w:tcBorders>
            <w:shd w:val="clear" w:color="auto" w:fill="auto"/>
            <w:noWrap/>
            <w:vAlign w:val="center"/>
          </w:tcPr>
          <w:p w:rsidR="008E354C" w:rsidRDefault="008E354C" w:rsidP="009F3A00">
            <w:pPr>
              <w:jc w:val="right"/>
              <w:rPr>
                <w:rFonts w:ascii="Calibri" w:hAnsi="Calibri" w:cs="Calibri"/>
                <w:color w:val="000000"/>
                <w:sz w:val="22"/>
              </w:rPr>
            </w:pPr>
            <w:r>
              <w:rPr>
                <w:rFonts w:ascii="Calibri" w:hAnsi="Calibri" w:cs="Calibri"/>
                <w:color w:val="000000"/>
                <w:sz w:val="22"/>
              </w:rPr>
              <w:t>0.91</w:t>
            </w:r>
          </w:p>
        </w:tc>
        <w:tc>
          <w:tcPr>
            <w:tcW w:w="960" w:type="dxa"/>
            <w:tcBorders>
              <w:top w:val="nil"/>
              <w:left w:val="nil"/>
              <w:bottom w:val="nil"/>
              <w:right w:val="nil"/>
            </w:tcBorders>
            <w:shd w:val="clear" w:color="auto" w:fill="auto"/>
            <w:noWrap/>
            <w:vAlign w:val="center"/>
          </w:tcPr>
          <w:p w:rsidR="008E354C" w:rsidRDefault="008E354C" w:rsidP="009F3A00">
            <w:pPr>
              <w:jc w:val="right"/>
              <w:rPr>
                <w:rFonts w:ascii="Calibri" w:hAnsi="Calibri" w:cs="Calibri"/>
                <w:color w:val="000000"/>
                <w:sz w:val="22"/>
              </w:rPr>
            </w:pPr>
            <w:r>
              <w:rPr>
                <w:rFonts w:ascii="Calibri" w:hAnsi="Calibri" w:cs="Calibri"/>
                <w:color w:val="000000"/>
                <w:sz w:val="22"/>
              </w:rPr>
              <w:t>1.02</w:t>
            </w:r>
          </w:p>
        </w:tc>
      </w:tr>
      <w:tr w:rsidR="008E354C" w:rsidRPr="008D4286" w:rsidTr="008E354C">
        <w:trPr>
          <w:trHeight w:val="300"/>
        </w:trPr>
        <w:tc>
          <w:tcPr>
            <w:tcW w:w="1717" w:type="dxa"/>
            <w:tcBorders>
              <w:top w:val="nil"/>
              <w:left w:val="nil"/>
              <w:bottom w:val="nil"/>
              <w:right w:val="nil"/>
            </w:tcBorders>
            <w:shd w:val="clear" w:color="auto" w:fill="auto"/>
            <w:noWrap/>
            <w:vAlign w:val="bottom"/>
            <w:hideMark/>
          </w:tcPr>
          <w:p w:rsidR="008E354C" w:rsidRPr="008D4286" w:rsidRDefault="008E354C" w:rsidP="009F3A00">
            <w:pPr>
              <w:contextualSpacing w:val="0"/>
              <w:rPr>
                <w:rFonts w:ascii="Calibri" w:eastAsia="Times New Roman" w:hAnsi="Calibri" w:cs="Calibri"/>
                <w:color w:val="000000"/>
                <w:sz w:val="22"/>
              </w:rPr>
            </w:pPr>
            <w:r w:rsidRPr="008D4286">
              <w:rPr>
                <w:rFonts w:ascii="Calibri" w:eastAsia="Times New Roman" w:hAnsi="Calibri" w:cs="Calibri"/>
                <w:color w:val="000000"/>
                <w:sz w:val="22"/>
              </w:rPr>
              <w:t>Avg</w:t>
            </w:r>
            <w:r>
              <w:rPr>
                <w:rFonts w:ascii="Calibri" w:eastAsia="Times New Roman" w:hAnsi="Calibri" w:cs="Calibri"/>
                <w:color w:val="000000"/>
                <w:sz w:val="22"/>
              </w:rPr>
              <w:t>20</w:t>
            </w:r>
            <w:r w:rsidRPr="008D4286">
              <w:rPr>
                <w:rFonts w:ascii="Calibri" w:eastAsia="Times New Roman" w:hAnsi="Calibri" w:cs="Calibri"/>
                <w:color w:val="000000"/>
                <w:sz w:val="22"/>
              </w:rPr>
              <w:t>(</w:t>
            </w:r>
            <w:r>
              <w:rPr>
                <w:rFonts w:ascii="Calibri" w:eastAsia="Times New Roman" w:hAnsi="Calibri" w:cs="Calibri"/>
                <w:color w:val="000000"/>
                <w:sz w:val="22"/>
              </w:rPr>
              <w:t>trade=</w:t>
            </w:r>
            <w:r w:rsidRPr="008D4286">
              <w:rPr>
                <w:rFonts w:ascii="Calibri" w:eastAsia="Times New Roman" w:hAnsi="Calibri" w:cs="Calibri"/>
                <w:color w:val="000000"/>
                <w:sz w:val="22"/>
              </w:rPr>
              <w:t>5)</w:t>
            </w:r>
          </w:p>
        </w:tc>
        <w:tc>
          <w:tcPr>
            <w:tcW w:w="875" w:type="dxa"/>
            <w:tcBorders>
              <w:top w:val="nil"/>
              <w:left w:val="nil"/>
              <w:bottom w:val="nil"/>
              <w:right w:val="nil"/>
            </w:tcBorders>
            <w:vAlign w:val="center"/>
          </w:tcPr>
          <w:p w:rsidR="008E354C" w:rsidRDefault="008E354C" w:rsidP="009F3A00">
            <w:pPr>
              <w:jc w:val="right"/>
              <w:rPr>
                <w:rFonts w:ascii="Calibri" w:hAnsi="Calibri" w:cs="Calibri"/>
                <w:color w:val="000000"/>
                <w:sz w:val="22"/>
              </w:rPr>
            </w:pPr>
            <w:r>
              <w:rPr>
                <w:rFonts w:ascii="Calibri" w:hAnsi="Calibri" w:cs="Calibri"/>
                <w:color w:val="000000"/>
                <w:sz w:val="22"/>
              </w:rPr>
              <w:t>41.40%</w:t>
            </w:r>
          </w:p>
        </w:tc>
        <w:tc>
          <w:tcPr>
            <w:tcW w:w="1350" w:type="dxa"/>
            <w:tcBorders>
              <w:top w:val="nil"/>
              <w:left w:val="nil"/>
              <w:bottom w:val="nil"/>
              <w:right w:val="nil"/>
            </w:tcBorders>
            <w:shd w:val="clear" w:color="auto" w:fill="auto"/>
            <w:noWrap/>
            <w:vAlign w:val="center"/>
            <w:hideMark/>
          </w:tcPr>
          <w:p w:rsidR="008E354C" w:rsidRPr="008D4286" w:rsidRDefault="008E354C" w:rsidP="009F3A00">
            <w:pPr>
              <w:contextualSpacing w:val="0"/>
              <w:jc w:val="right"/>
              <w:rPr>
                <w:rFonts w:ascii="Calibri" w:eastAsia="Times New Roman" w:hAnsi="Calibri" w:cs="Calibri"/>
                <w:color w:val="000000"/>
                <w:sz w:val="22"/>
              </w:rPr>
            </w:pPr>
            <w:r w:rsidRPr="008D4286">
              <w:rPr>
                <w:rFonts w:ascii="Calibri" w:eastAsia="Times New Roman" w:hAnsi="Calibri" w:cs="Calibri"/>
                <w:color w:val="000000"/>
                <w:sz w:val="22"/>
              </w:rPr>
              <w:t>34.64%</w:t>
            </w:r>
          </w:p>
        </w:tc>
        <w:tc>
          <w:tcPr>
            <w:tcW w:w="960" w:type="dxa"/>
            <w:tcBorders>
              <w:top w:val="nil"/>
              <w:left w:val="nil"/>
              <w:bottom w:val="nil"/>
              <w:right w:val="nil"/>
            </w:tcBorders>
            <w:shd w:val="clear" w:color="auto" w:fill="auto"/>
            <w:noWrap/>
            <w:vAlign w:val="center"/>
            <w:hideMark/>
          </w:tcPr>
          <w:p w:rsidR="008E354C" w:rsidRPr="008D4286" w:rsidRDefault="008E354C" w:rsidP="009F3A00">
            <w:pPr>
              <w:contextualSpacing w:val="0"/>
              <w:jc w:val="right"/>
              <w:rPr>
                <w:rFonts w:ascii="Calibri" w:eastAsia="Times New Roman" w:hAnsi="Calibri" w:cs="Calibri"/>
                <w:color w:val="000000"/>
                <w:sz w:val="22"/>
              </w:rPr>
            </w:pPr>
            <w:r w:rsidRPr="008D4286">
              <w:rPr>
                <w:rFonts w:ascii="Calibri" w:eastAsia="Times New Roman" w:hAnsi="Calibri" w:cs="Calibri"/>
                <w:color w:val="000000"/>
                <w:sz w:val="22"/>
              </w:rPr>
              <w:t>18.15%</w:t>
            </w:r>
          </w:p>
        </w:tc>
        <w:tc>
          <w:tcPr>
            <w:tcW w:w="840" w:type="dxa"/>
            <w:tcBorders>
              <w:top w:val="nil"/>
              <w:left w:val="nil"/>
              <w:bottom w:val="nil"/>
              <w:right w:val="nil"/>
            </w:tcBorders>
            <w:shd w:val="clear" w:color="auto" w:fill="auto"/>
            <w:noWrap/>
            <w:vAlign w:val="center"/>
            <w:hideMark/>
          </w:tcPr>
          <w:p w:rsidR="008E354C" w:rsidRPr="008D4286" w:rsidRDefault="008E354C" w:rsidP="009F3A00">
            <w:pPr>
              <w:contextualSpacing w:val="0"/>
              <w:jc w:val="right"/>
              <w:rPr>
                <w:rFonts w:ascii="Calibri" w:eastAsia="Times New Roman" w:hAnsi="Calibri" w:cs="Calibri"/>
                <w:color w:val="000000"/>
                <w:sz w:val="22"/>
              </w:rPr>
            </w:pPr>
            <w:r w:rsidRPr="008D4286">
              <w:rPr>
                <w:rFonts w:ascii="Calibri" w:eastAsia="Times New Roman" w:hAnsi="Calibri" w:cs="Calibri"/>
                <w:color w:val="000000"/>
                <w:sz w:val="22"/>
              </w:rPr>
              <w:t>1.91</w:t>
            </w:r>
          </w:p>
        </w:tc>
        <w:tc>
          <w:tcPr>
            <w:tcW w:w="960" w:type="dxa"/>
            <w:tcBorders>
              <w:top w:val="nil"/>
              <w:left w:val="nil"/>
              <w:bottom w:val="nil"/>
              <w:right w:val="nil"/>
            </w:tcBorders>
            <w:shd w:val="clear" w:color="auto" w:fill="auto"/>
            <w:noWrap/>
            <w:vAlign w:val="center"/>
            <w:hideMark/>
          </w:tcPr>
          <w:p w:rsidR="008E354C" w:rsidRPr="008D4286" w:rsidRDefault="008E354C" w:rsidP="009F3A00">
            <w:pPr>
              <w:contextualSpacing w:val="0"/>
              <w:jc w:val="right"/>
              <w:rPr>
                <w:rFonts w:ascii="Calibri" w:eastAsia="Times New Roman" w:hAnsi="Calibri" w:cs="Calibri"/>
                <w:color w:val="000000"/>
                <w:sz w:val="22"/>
              </w:rPr>
            </w:pPr>
            <w:r w:rsidRPr="008D4286">
              <w:rPr>
                <w:rFonts w:ascii="Calibri" w:eastAsia="Times New Roman" w:hAnsi="Calibri" w:cs="Calibri"/>
                <w:color w:val="000000"/>
                <w:sz w:val="22"/>
              </w:rPr>
              <w:t>2.30</w:t>
            </w:r>
          </w:p>
        </w:tc>
      </w:tr>
    </w:tbl>
    <w:p w:rsidR="008E354C" w:rsidRDefault="008E354C" w:rsidP="000E6FA2"/>
    <w:p w:rsidR="00B834A3" w:rsidRDefault="008E354C" w:rsidP="008E354C">
      <w:r>
        <w:t>These simple methods out-performed the market by a substantial amount.  On a risk-adjusted basis – as measured by the Sharpe an</w:t>
      </w:r>
      <w:r w:rsidR="00CC1572">
        <w:t>d</w:t>
      </w:r>
      <w:bookmarkStart w:id="0" w:name="_GoBack"/>
      <w:bookmarkEnd w:id="0"/>
      <w:r>
        <w:t xml:space="preserve"> </w:t>
      </w:r>
      <w:proofErr w:type="spellStart"/>
      <w:r>
        <w:t>Sortino</w:t>
      </w:r>
      <w:proofErr w:type="spellEnd"/>
      <w:r>
        <w:t xml:space="preserve"> ratios – the method that traded every 20 days did not out-perform the market.  However, the method that traded every 5 days did.  This required further investigation to determine if these results hold up over longer </w:t>
      </w:r>
      <w:proofErr w:type="gramStart"/>
      <w:r>
        <w:t>periods of time</w:t>
      </w:r>
      <w:proofErr w:type="gramEnd"/>
      <w:r>
        <w:t>.</w:t>
      </w:r>
    </w:p>
    <w:p w:rsidR="008E354C" w:rsidRDefault="008E354C" w:rsidP="008E354C"/>
    <w:p w:rsidR="008E354C" w:rsidRDefault="008E354C" w:rsidP="008E354C">
      <w:r>
        <w:t xml:space="preserve">This paper looks at the same method back-tested using 10 years of data.  </w:t>
      </w:r>
      <w:r w:rsidR="000402B9">
        <w:t>We find that performances of these models do not hold up over the long-term.  The method that trades every 20 days actually loses money over the long-term. The method that trades every 5 days makes a negligible amount of profit compared to the market, but it also introduces such a large degree of risk and variance that we would not suggest using this method to select stocks.</w:t>
      </w:r>
    </w:p>
    <w:p w:rsidR="008E354C" w:rsidRDefault="008E354C" w:rsidP="008E354C"/>
    <w:p w:rsidR="008E354C" w:rsidRDefault="00690066" w:rsidP="00690066">
      <w:pPr>
        <w:pStyle w:val="Heading1"/>
      </w:pPr>
      <w:r>
        <w:t>Baseline: S&amp;P 500</w:t>
      </w:r>
    </w:p>
    <w:p w:rsidR="00690066" w:rsidRDefault="00690066" w:rsidP="008E354C"/>
    <w:p w:rsidR="00690066" w:rsidRDefault="00690066" w:rsidP="008E354C">
      <w:r>
        <w:t>First, we establish a baseline using the S&amp;P 500.  A trader who simply bought and held this index from 6/2/2008 through 5/10/2017 would have observed the following returns:</w:t>
      </w:r>
    </w:p>
    <w:p w:rsidR="00690066" w:rsidRDefault="00690066" w:rsidP="00FC6782">
      <w:pPr>
        <w:ind w:left="720"/>
      </w:pPr>
      <w:r>
        <w:rPr>
          <w:noProof/>
        </w:rPr>
        <w:drawing>
          <wp:inline distT="0" distB="0" distL="0" distR="0" wp14:anchorId="52A77D83" wp14:editId="7E86F848">
            <wp:extent cx="4124325" cy="23694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3001" cy="2368673"/>
                    </a:xfrm>
                    <a:prstGeom prst="rect">
                      <a:avLst/>
                    </a:prstGeom>
                    <a:noFill/>
                  </pic:spPr>
                </pic:pic>
              </a:graphicData>
            </a:graphic>
          </wp:inline>
        </w:drawing>
      </w:r>
    </w:p>
    <w:p w:rsidR="008E354C" w:rsidRDefault="008E354C" w:rsidP="00FC6782">
      <w:pPr>
        <w:ind w:left="720"/>
      </w:pPr>
    </w:p>
    <w:p w:rsidR="008E354C" w:rsidRDefault="00690066" w:rsidP="00FC6782">
      <w:pPr>
        <w:ind w:left="720"/>
      </w:pPr>
      <w:r>
        <w:rPr>
          <w:noProof/>
        </w:rPr>
        <w:drawing>
          <wp:inline distT="0" distB="0" distL="0" distR="0" wp14:anchorId="1AEFDF5D" wp14:editId="7F58BA57">
            <wp:extent cx="4216400" cy="198030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7776" cy="1980951"/>
                    </a:xfrm>
                    <a:prstGeom prst="rect">
                      <a:avLst/>
                    </a:prstGeom>
                    <a:noFill/>
                  </pic:spPr>
                </pic:pic>
              </a:graphicData>
            </a:graphic>
          </wp:inline>
        </w:drawing>
      </w:r>
    </w:p>
    <w:p w:rsidR="00690066" w:rsidRDefault="00690066" w:rsidP="00FC6782">
      <w:pPr>
        <w:ind w:left="720"/>
      </w:pPr>
      <w:r>
        <w:rPr>
          <w:noProof/>
        </w:rPr>
        <w:drawing>
          <wp:inline distT="0" distB="0" distL="0" distR="0" wp14:anchorId="09F1875B" wp14:editId="11E2692E">
            <wp:extent cx="4165729" cy="20764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7568" cy="2077367"/>
                    </a:xfrm>
                    <a:prstGeom prst="rect">
                      <a:avLst/>
                    </a:prstGeom>
                    <a:noFill/>
                  </pic:spPr>
                </pic:pic>
              </a:graphicData>
            </a:graphic>
          </wp:inline>
        </w:drawing>
      </w:r>
    </w:p>
    <w:p w:rsidR="00B834A3" w:rsidRDefault="00B834A3" w:rsidP="00FC6782">
      <w:pPr>
        <w:ind w:left="720"/>
      </w:pPr>
    </w:p>
    <w:p w:rsidR="00690066" w:rsidRDefault="00690066" w:rsidP="000E6FA2">
      <w:r>
        <w:t xml:space="preserve">The portfolio grows in value from $100,000 to $173,005, but there were many fluctuations along the way.  First, this data begins right in the middle of the financial crash of 2008.   Losses begin at -40% for the first 90-days simulated.  </w:t>
      </w:r>
      <w:proofErr w:type="gramStart"/>
      <w:r>
        <w:t>During the recovery, these rose to +40%.</w:t>
      </w:r>
      <w:proofErr w:type="gramEnd"/>
      <w:r>
        <w:t xml:space="preserve">  Afterwards, things settle down.  There are several 90-day periods that see negative </w:t>
      </w:r>
      <w:proofErr w:type="gramStart"/>
      <w:r>
        <w:t>returns ,</w:t>
      </w:r>
      <w:proofErr w:type="gramEnd"/>
      <w:r>
        <w:t xml:space="preserve"> but fewer periods lose money on an annual basis.  Average 90-day returns were 3.1% and average annual returns were 11.4%.  These are the numbers to beat.</w:t>
      </w:r>
    </w:p>
    <w:p w:rsidR="00690066" w:rsidRDefault="00690066" w:rsidP="000E6FA2"/>
    <w:p w:rsidR="00690066" w:rsidRDefault="00FC6782" w:rsidP="00FC6782">
      <w:pPr>
        <w:pStyle w:val="Heading1"/>
      </w:pPr>
      <w:r>
        <w:t xml:space="preserve">Average </w:t>
      </w:r>
      <w:r w:rsidR="007B51A1">
        <w:t xml:space="preserve">Return </w:t>
      </w:r>
      <w:r>
        <w:t>Portfolio, Trading Every 20 Days</w:t>
      </w:r>
    </w:p>
    <w:p w:rsidR="00FC6782" w:rsidRDefault="00FC6782" w:rsidP="000E6FA2"/>
    <w:p w:rsidR="00FC6782" w:rsidRDefault="00FC6782" w:rsidP="000E6FA2">
      <w:r>
        <w:t xml:space="preserve">Compared to the S&amp;P 500, the average return portfolios are in for a crazy ride.  As the charts below, this portfolio grew from $100,000 to a high of $600,000 before crashing back down to end at $99,253. </w:t>
      </w:r>
    </w:p>
    <w:p w:rsidR="00FC6782" w:rsidRDefault="00FC6782" w:rsidP="009C3CBF">
      <w:pPr>
        <w:ind w:left="720"/>
      </w:pPr>
      <w:r>
        <w:rPr>
          <w:noProof/>
        </w:rPr>
        <w:lastRenderedPageBreak/>
        <w:drawing>
          <wp:inline distT="0" distB="0" distL="0" distR="0" wp14:anchorId="698B817A">
            <wp:extent cx="4260949" cy="244792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2101" cy="2448587"/>
                    </a:xfrm>
                    <a:prstGeom prst="rect">
                      <a:avLst/>
                    </a:prstGeom>
                    <a:noFill/>
                  </pic:spPr>
                </pic:pic>
              </a:graphicData>
            </a:graphic>
          </wp:inline>
        </w:drawing>
      </w:r>
    </w:p>
    <w:p w:rsidR="00FC6782" w:rsidRDefault="00FC6782" w:rsidP="009C3CBF">
      <w:pPr>
        <w:ind w:left="720"/>
      </w:pPr>
      <w:r>
        <w:rPr>
          <w:noProof/>
        </w:rPr>
        <w:drawing>
          <wp:inline distT="0" distB="0" distL="0" distR="0" wp14:anchorId="75ECEECE" wp14:editId="1D925950">
            <wp:extent cx="4200525" cy="197284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1895" cy="1973493"/>
                    </a:xfrm>
                    <a:prstGeom prst="rect">
                      <a:avLst/>
                    </a:prstGeom>
                    <a:noFill/>
                  </pic:spPr>
                </pic:pic>
              </a:graphicData>
            </a:graphic>
          </wp:inline>
        </w:drawing>
      </w:r>
    </w:p>
    <w:p w:rsidR="00FC6782" w:rsidRDefault="00FC6782" w:rsidP="009C3CBF">
      <w:pPr>
        <w:ind w:left="720"/>
      </w:pPr>
      <w:r>
        <w:rPr>
          <w:noProof/>
        </w:rPr>
        <w:drawing>
          <wp:inline distT="0" distB="0" distL="0" distR="0" wp14:anchorId="12790AF0" wp14:editId="48A5477E">
            <wp:extent cx="4200525" cy="20937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5671" cy="2096360"/>
                    </a:xfrm>
                    <a:prstGeom prst="rect">
                      <a:avLst/>
                    </a:prstGeom>
                    <a:noFill/>
                  </pic:spPr>
                </pic:pic>
              </a:graphicData>
            </a:graphic>
          </wp:inline>
        </w:drawing>
      </w:r>
    </w:p>
    <w:p w:rsidR="00FC6782" w:rsidRDefault="00FC6782" w:rsidP="000E6FA2"/>
    <w:p w:rsidR="00FC6782" w:rsidRDefault="00FC6782" w:rsidP="000E6FA2">
      <w:r>
        <w:t xml:space="preserve">The long-term returns averaged 6.1% over a 90-day period or 24.7% over a 250-day period.  However, there are many more periods of negative returns compared to the S&amp;P 500.  </w:t>
      </w:r>
      <w:r w:rsidR="007B51A1">
        <w:t xml:space="preserve">Overall, these periods of losses wiped out the large gains that </w:t>
      </w:r>
      <w:proofErr w:type="gramStart"/>
      <w:r w:rsidR="007B51A1">
        <w:t>were obtained</w:t>
      </w:r>
      <w:proofErr w:type="gramEnd"/>
      <w:r w:rsidR="007B51A1">
        <w:t xml:space="preserve"> in other periods.</w:t>
      </w:r>
    </w:p>
    <w:p w:rsidR="007B51A1" w:rsidRDefault="007B51A1" w:rsidP="000E6FA2"/>
    <w:p w:rsidR="005D2840" w:rsidRDefault="005D2840">
      <w:pPr>
        <w:spacing w:after="200" w:line="276" w:lineRule="auto"/>
        <w:contextualSpacing w:val="0"/>
        <w:rPr>
          <w:b/>
        </w:rPr>
      </w:pPr>
      <w:r>
        <w:br w:type="page"/>
      </w:r>
    </w:p>
    <w:p w:rsidR="007B51A1" w:rsidRDefault="007B51A1" w:rsidP="007B51A1">
      <w:pPr>
        <w:pStyle w:val="Heading1"/>
      </w:pPr>
      <w:r>
        <w:lastRenderedPageBreak/>
        <w:t>Average Return Portfolio, Trading Every 5 Days</w:t>
      </w:r>
    </w:p>
    <w:p w:rsidR="007B51A1" w:rsidRDefault="007B51A1" w:rsidP="007B51A1">
      <w:pPr>
        <w:tabs>
          <w:tab w:val="left" w:pos="2715"/>
        </w:tabs>
      </w:pPr>
      <w:r>
        <w:tab/>
      </w:r>
    </w:p>
    <w:p w:rsidR="007B51A1" w:rsidRDefault="007B51A1" w:rsidP="007B51A1">
      <w:pPr>
        <w:tabs>
          <w:tab w:val="left" w:pos="2715"/>
        </w:tabs>
      </w:pPr>
      <w:r>
        <w:t>This same portfolio selection method does better if we re-assess and re-balance the portfolio every 5 days instead of every 20 days.  This portfolio increased to a maximum value of $700,000 before crashing again and finishing at $179,375.  This method beat the S&amp;P 500 by $6,370, hardly enough to really get excited about.</w:t>
      </w:r>
    </w:p>
    <w:p w:rsidR="007B51A1" w:rsidRDefault="007B51A1" w:rsidP="009C3CBF">
      <w:pPr>
        <w:ind w:left="720"/>
      </w:pPr>
    </w:p>
    <w:p w:rsidR="007B51A1" w:rsidRDefault="007B51A1" w:rsidP="009C3CBF">
      <w:pPr>
        <w:ind w:left="720"/>
      </w:pPr>
      <w:r>
        <w:rPr>
          <w:noProof/>
        </w:rPr>
        <w:drawing>
          <wp:inline distT="0" distB="0" distL="0" distR="0" wp14:anchorId="44ACBDD8" wp14:editId="31FBDA31">
            <wp:extent cx="4324350" cy="24843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2962" cy="2483550"/>
                    </a:xfrm>
                    <a:prstGeom prst="rect">
                      <a:avLst/>
                    </a:prstGeom>
                    <a:noFill/>
                  </pic:spPr>
                </pic:pic>
              </a:graphicData>
            </a:graphic>
          </wp:inline>
        </w:drawing>
      </w:r>
    </w:p>
    <w:p w:rsidR="007B51A1" w:rsidRDefault="007B51A1" w:rsidP="009C3CBF">
      <w:pPr>
        <w:ind w:left="720"/>
      </w:pPr>
      <w:r>
        <w:rPr>
          <w:noProof/>
        </w:rPr>
        <w:drawing>
          <wp:inline distT="0" distB="0" distL="0" distR="0" wp14:anchorId="25EE68A9" wp14:editId="4631F396">
            <wp:extent cx="4248150" cy="1995217"/>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7679" cy="1994996"/>
                    </a:xfrm>
                    <a:prstGeom prst="rect">
                      <a:avLst/>
                    </a:prstGeom>
                    <a:noFill/>
                  </pic:spPr>
                </pic:pic>
              </a:graphicData>
            </a:graphic>
          </wp:inline>
        </w:drawing>
      </w:r>
    </w:p>
    <w:p w:rsidR="007B51A1" w:rsidRDefault="007B51A1" w:rsidP="009C3CBF">
      <w:pPr>
        <w:ind w:left="720"/>
      </w:pPr>
      <w:r>
        <w:rPr>
          <w:noProof/>
        </w:rPr>
        <w:drawing>
          <wp:inline distT="0" distB="0" distL="0" distR="0" wp14:anchorId="055A9351" wp14:editId="7ED24B63">
            <wp:extent cx="4219928" cy="210346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5007" cy="2105998"/>
                    </a:xfrm>
                    <a:prstGeom prst="rect">
                      <a:avLst/>
                    </a:prstGeom>
                    <a:noFill/>
                  </pic:spPr>
                </pic:pic>
              </a:graphicData>
            </a:graphic>
          </wp:inline>
        </w:drawing>
      </w:r>
    </w:p>
    <w:p w:rsidR="005D2840" w:rsidRDefault="005D2840">
      <w:pPr>
        <w:spacing w:after="200" w:line="276" w:lineRule="auto"/>
        <w:contextualSpacing w:val="0"/>
      </w:pPr>
      <w:r>
        <w:br w:type="page"/>
      </w:r>
    </w:p>
    <w:p w:rsidR="005D2840" w:rsidRDefault="001B262E" w:rsidP="005D2840">
      <w:pPr>
        <w:pStyle w:val="Heading1"/>
      </w:pPr>
      <w:r>
        <w:lastRenderedPageBreak/>
        <w:t>Analysis</w:t>
      </w:r>
    </w:p>
    <w:p w:rsidR="005D2840" w:rsidRDefault="005D2840" w:rsidP="005D2840"/>
    <w:p w:rsidR="006305DC" w:rsidRDefault="006305DC" w:rsidP="005D2840">
      <w:r>
        <w:t>Summarizing the charts above, we get:</w:t>
      </w:r>
    </w:p>
    <w:p w:rsidR="006305DC" w:rsidRDefault="006305DC" w:rsidP="005D2840"/>
    <w:tbl>
      <w:tblPr>
        <w:tblW w:w="8181" w:type="dxa"/>
        <w:tblInd w:w="93" w:type="dxa"/>
        <w:tblLook w:val="04A0" w:firstRow="1" w:lastRow="0" w:firstColumn="1" w:lastColumn="0" w:noHBand="0" w:noVBand="1"/>
      </w:tblPr>
      <w:tblGrid>
        <w:gridCol w:w="1905"/>
        <w:gridCol w:w="1132"/>
        <w:gridCol w:w="488"/>
        <w:gridCol w:w="1006"/>
        <w:gridCol w:w="1164"/>
        <w:gridCol w:w="378"/>
        <w:gridCol w:w="944"/>
        <w:gridCol w:w="1164"/>
      </w:tblGrid>
      <w:tr w:rsidR="001B262E" w:rsidRPr="008D4286" w:rsidTr="001B262E">
        <w:trPr>
          <w:trHeight w:val="300"/>
        </w:trPr>
        <w:tc>
          <w:tcPr>
            <w:tcW w:w="1905" w:type="dxa"/>
            <w:tcBorders>
              <w:top w:val="nil"/>
              <w:left w:val="nil"/>
              <w:right w:val="nil"/>
            </w:tcBorders>
            <w:shd w:val="clear" w:color="auto" w:fill="auto"/>
            <w:noWrap/>
            <w:vAlign w:val="bottom"/>
          </w:tcPr>
          <w:p w:rsidR="001B262E" w:rsidRDefault="001B262E" w:rsidP="009F3A00">
            <w:pPr>
              <w:contextualSpacing w:val="0"/>
              <w:rPr>
                <w:rFonts w:ascii="Calibri" w:eastAsia="Times New Roman" w:hAnsi="Calibri" w:cs="Calibri"/>
                <w:color w:val="000000"/>
                <w:sz w:val="22"/>
              </w:rPr>
            </w:pPr>
          </w:p>
        </w:tc>
        <w:tc>
          <w:tcPr>
            <w:tcW w:w="1132" w:type="dxa"/>
            <w:vMerge w:val="restart"/>
            <w:tcBorders>
              <w:top w:val="nil"/>
              <w:left w:val="nil"/>
              <w:right w:val="nil"/>
            </w:tcBorders>
          </w:tcPr>
          <w:p w:rsidR="001B262E" w:rsidRDefault="001B262E" w:rsidP="001B262E">
            <w:pPr>
              <w:ind w:right="-108"/>
              <w:jc w:val="center"/>
              <w:rPr>
                <w:rFonts w:ascii="Calibri" w:eastAsia="Times New Roman" w:hAnsi="Calibri" w:cs="Calibri"/>
                <w:color w:val="000000"/>
                <w:sz w:val="22"/>
              </w:rPr>
            </w:pPr>
            <w:r>
              <w:rPr>
                <w:rFonts w:ascii="Calibri" w:eastAsia="Times New Roman" w:hAnsi="Calibri" w:cs="Calibri"/>
                <w:color w:val="000000"/>
                <w:sz w:val="22"/>
              </w:rPr>
              <w:t>Growth of $100k</w:t>
            </w:r>
          </w:p>
        </w:tc>
        <w:tc>
          <w:tcPr>
            <w:tcW w:w="488" w:type="dxa"/>
            <w:tcBorders>
              <w:top w:val="nil"/>
              <w:left w:val="nil"/>
              <w:right w:val="nil"/>
            </w:tcBorders>
          </w:tcPr>
          <w:p w:rsidR="001B262E" w:rsidRDefault="001B262E" w:rsidP="006305DC">
            <w:pPr>
              <w:contextualSpacing w:val="0"/>
              <w:jc w:val="center"/>
              <w:rPr>
                <w:rFonts w:ascii="Calibri" w:eastAsia="Times New Roman" w:hAnsi="Calibri" w:cs="Calibri"/>
                <w:color w:val="000000"/>
                <w:sz w:val="22"/>
              </w:rPr>
            </w:pPr>
          </w:p>
        </w:tc>
        <w:tc>
          <w:tcPr>
            <w:tcW w:w="2170" w:type="dxa"/>
            <w:gridSpan w:val="2"/>
            <w:tcBorders>
              <w:top w:val="nil"/>
              <w:left w:val="nil"/>
              <w:bottom w:val="single" w:sz="4" w:space="0" w:color="auto"/>
              <w:right w:val="nil"/>
            </w:tcBorders>
            <w:vAlign w:val="center"/>
          </w:tcPr>
          <w:p w:rsidR="001B262E" w:rsidRDefault="001B262E" w:rsidP="006305DC">
            <w:pPr>
              <w:contextualSpacing w:val="0"/>
              <w:jc w:val="center"/>
              <w:rPr>
                <w:rFonts w:ascii="Calibri" w:eastAsia="Times New Roman" w:hAnsi="Calibri" w:cs="Calibri"/>
                <w:color w:val="000000"/>
                <w:sz w:val="22"/>
              </w:rPr>
            </w:pPr>
            <w:r>
              <w:rPr>
                <w:rFonts w:ascii="Calibri" w:eastAsia="Times New Roman" w:hAnsi="Calibri" w:cs="Calibri"/>
                <w:color w:val="000000"/>
                <w:sz w:val="22"/>
              </w:rPr>
              <w:t>Avg. Returns</w:t>
            </w:r>
          </w:p>
        </w:tc>
        <w:tc>
          <w:tcPr>
            <w:tcW w:w="378" w:type="dxa"/>
            <w:tcBorders>
              <w:top w:val="nil"/>
              <w:left w:val="nil"/>
              <w:bottom w:val="single" w:sz="4" w:space="0" w:color="auto"/>
              <w:right w:val="nil"/>
            </w:tcBorders>
          </w:tcPr>
          <w:p w:rsidR="001B262E" w:rsidRDefault="001B262E" w:rsidP="006305DC">
            <w:pPr>
              <w:contextualSpacing w:val="0"/>
              <w:jc w:val="center"/>
              <w:rPr>
                <w:rFonts w:ascii="Calibri" w:eastAsia="Times New Roman" w:hAnsi="Calibri" w:cs="Calibri"/>
                <w:color w:val="000000"/>
                <w:sz w:val="22"/>
              </w:rPr>
            </w:pPr>
          </w:p>
        </w:tc>
        <w:tc>
          <w:tcPr>
            <w:tcW w:w="2108" w:type="dxa"/>
            <w:gridSpan w:val="2"/>
            <w:tcBorders>
              <w:top w:val="nil"/>
              <w:left w:val="nil"/>
              <w:bottom w:val="single" w:sz="4" w:space="0" w:color="auto"/>
              <w:right w:val="nil"/>
            </w:tcBorders>
          </w:tcPr>
          <w:p w:rsidR="001B262E" w:rsidRDefault="001B262E" w:rsidP="006305DC">
            <w:pPr>
              <w:contextualSpacing w:val="0"/>
              <w:jc w:val="center"/>
              <w:rPr>
                <w:rFonts w:ascii="Calibri" w:eastAsia="Times New Roman" w:hAnsi="Calibri" w:cs="Calibri"/>
                <w:color w:val="000000"/>
                <w:sz w:val="22"/>
              </w:rPr>
            </w:pPr>
            <w:r>
              <w:rPr>
                <w:rFonts w:ascii="Calibri" w:eastAsia="Times New Roman" w:hAnsi="Calibri" w:cs="Calibri"/>
                <w:color w:val="000000"/>
                <w:sz w:val="22"/>
              </w:rPr>
              <w:t>Avg. Log Returns</w:t>
            </w:r>
          </w:p>
        </w:tc>
      </w:tr>
      <w:tr w:rsidR="001B262E" w:rsidRPr="008D4286" w:rsidTr="001B262E">
        <w:trPr>
          <w:trHeight w:val="300"/>
        </w:trPr>
        <w:tc>
          <w:tcPr>
            <w:tcW w:w="1905" w:type="dxa"/>
            <w:tcBorders>
              <w:left w:val="nil"/>
              <w:bottom w:val="single" w:sz="4" w:space="0" w:color="auto"/>
              <w:right w:val="nil"/>
            </w:tcBorders>
            <w:shd w:val="clear" w:color="auto" w:fill="auto"/>
            <w:noWrap/>
            <w:vAlign w:val="bottom"/>
            <w:hideMark/>
          </w:tcPr>
          <w:p w:rsidR="001B262E" w:rsidRPr="008D4286" w:rsidRDefault="001B262E" w:rsidP="009F3A00">
            <w:pPr>
              <w:contextualSpacing w:val="0"/>
              <w:rPr>
                <w:rFonts w:ascii="Calibri" w:eastAsia="Times New Roman" w:hAnsi="Calibri" w:cs="Calibri"/>
                <w:color w:val="000000"/>
                <w:sz w:val="22"/>
              </w:rPr>
            </w:pPr>
            <w:r>
              <w:rPr>
                <w:rFonts w:ascii="Calibri" w:eastAsia="Times New Roman" w:hAnsi="Calibri" w:cs="Calibri"/>
                <w:color w:val="000000"/>
                <w:sz w:val="22"/>
              </w:rPr>
              <w:t>Method</w:t>
            </w:r>
          </w:p>
        </w:tc>
        <w:tc>
          <w:tcPr>
            <w:tcW w:w="1132" w:type="dxa"/>
            <w:vMerge/>
            <w:tcBorders>
              <w:left w:val="nil"/>
              <w:bottom w:val="single" w:sz="4" w:space="0" w:color="auto"/>
              <w:right w:val="nil"/>
            </w:tcBorders>
          </w:tcPr>
          <w:p w:rsidR="001B262E" w:rsidRDefault="001B262E" w:rsidP="001B262E">
            <w:pPr>
              <w:ind w:right="-108"/>
              <w:contextualSpacing w:val="0"/>
              <w:jc w:val="right"/>
              <w:rPr>
                <w:rFonts w:ascii="Calibri" w:eastAsia="Times New Roman" w:hAnsi="Calibri" w:cs="Calibri"/>
                <w:color w:val="000000"/>
                <w:sz w:val="22"/>
              </w:rPr>
            </w:pPr>
          </w:p>
        </w:tc>
        <w:tc>
          <w:tcPr>
            <w:tcW w:w="488" w:type="dxa"/>
            <w:tcBorders>
              <w:left w:val="nil"/>
              <w:bottom w:val="single" w:sz="4" w:space="0" w:color="auto"/>
              <w:right w:val="nil"/>
            </w:tcBorders>
          </w:tcPr>
          <w:p w:rsidR="001B262E" w:rsidRDefault="001B262E" w:rsidP="009F3A00">
            <w:pPr>
              <w:contextualSpacing w:val="0"/>
              <w:jc w:val="right"/>
              <w:rPr>
                <w:rFonts w:ascii="Calibri" w:eastAsia="Times New Roman" w:hAnsi="Calibri" w:cs="Calibri"/>
                <w:color w:val="000000"/>
                <w:sz w:val="22"/>
              </w:rPr>
            </w:pPr>
          </w:p>
        </w:tc>
        <w:tc>
          <w:tcPr>
            <w:tcW w:w="1006" w:type="dxa"/>
            <w:tcBorders>
              <w:top w:val="single" w:sz="4" w:space="0" w:color="auto"/>
              <w:left w:val="nil"/>
              <w:bottom w:val="single" w:sz="4" w:space="0" w:color="auto"/>
              <w:right w:val="nil"/>
            </w:tcBorders>
            <w:vAlign w:val="center"/>
          </w:tcPr>
          <w:p w:rsidR="001B262E" w:rsidRPr="008D4286" w:rsidRDefault="001B262E"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 xml:space="preserve">90-Days </w:t>
            </w:r>
          </w:p>
        </w:tc>
        <w:tc>
          <w:tcPr>
            <w:tcW w:w="1164" w:type="dxa"/>
            <w:tcBorders>
              <w:top w:val="single" w:sz="4" w:space="0" w:color="auto"/>
              <w:left w:val="nil"/>
              <w:bottom w:val="single" w:sz="4" w:space="0" w:color="auto"/>
              <w:right w:val="nil"/>
            </w:tcBorders>
          </w:tcPr>
          <w:p w:rsidR="001B262E" w:rsidRDefault="001B262E" w:rsidP="006305DC">
            <w:pPr>
              <w:contextualSpacing w:val="0"/>
              <w:jc w:val="right"/>
              <w:rPr>
                <w:rFonts w:ascii="Calibri" w:eastAsia="Times New Roman" w:hAnsi="Calibri" w:cs="Calibri"/>
                <w:color w:val="000000"/>
                <w:sz w:val="22"/>
              </w:rPr>
            </w:pPr>
            <w:r>
              <w:rPr>
                <w:rFonts w:ascii="Calibri" w:eastAsia="Times New Roman" w:hAnsi="Calibri" w:cs="Calibri"/>
                <w:color w:val="000000"/>
                <w:sz w:val="22"/>
              </w:rPr>
              <w:t>250-Days</w:t>
            </w:r>
          </w:p>
        </w:tc>
        <w:tc>
          <w:tcPr>
            <w:tcW w:w="378" w:type="dxa"/>
            <w:tcBorders>
              <w:top w:val="single" w:sz="4" w:space="0" w:color="auto"/>
              <w:left w:val="nil"/>
              <w:bottom w:val="single" w:sz="4" w:space="0" w:color="auto"/>
              <w:right w:val="nil"/>
            </w:tcBorders>
          </w:tcPr>
          <w:p w:rsidR="001B262E" w:rsidRDefault="001B262E" w:rsidP="006305DC">
            <w:pPr>
              <w:contextualSpacing w:val="0"/>
              <w:jc w:val="right"/>
              <w:rPr>
                <w:rFonts w:ascii="Calibri" w:eastAsia="Times New Roman" w:hAnsi="Calibri" w:cs="Calibri"/>
                <w:color w:val="000000"/>
                <w:sz w:val="22"/>
              </w:rPr>
            </w:pPr>
          </w:p>
        </w:tc>
        <w:tc>
          <w:tcPr>
            <w:tcW w:w="944" w:type="dxa"/>
            <w:tcBorders>
              <w:top w:val="single" w:sz="4" w:space="0" w:color="auto"/>
              <w:left w:val="nil"/>
              <w:bottom w:val="single" w:sz="4" w:space="0" w:color="auto"/>
              <w:right w:val="nil"/>
            </w:tcBorders>
          </w:tcPr>
          <w:p w:rsidR="001B262E" w:rsidRDefault="001B262E" w:rsidP="006305DC">
            <w:pPr>
              <w:contextualSpacing w:val="0"/>
              <w:jc w:val="right"/>
              <w:rPr>
                <w:rFonts w:ascii="Calibri" w:eastAsia="Times New Roman" w:hAnsi="Calibri" w:cs="Calibri"/>
                <w:color w:val="000000"/>
                <w:sz w:val="22"/>
              </w:rPr>
            </w:pPr>
            <w:r>
              <w:rPr>
                <w:rFonts w:ascii="Calibri" w:eastAsia="Times New Roman" w:hAnsi="Calibri" w:cs="Calibri"/>
                <w:color w:val="000000"/>
                <w:sz w:val="22"/>
              </w:rPr>
              <w:t>90-Days</w:t>
            </w:r>
          </w:p>
        </w:tc>
        <w:tc>
          <w:tcPr>
            <w:tcW w:w="1164" w:type="dxa"/>
            <w:tcBorders>
              <w:top w:val="single" w:sz="4" w:space="0" w:color="auto"/>
              <w:left w:val="nil"/>
              <w:bottom w:val="single" w:sz="4" w:space="0" w:color="auto"/>
              <w:right w:val="nil"/>
            </w:tcBorders>
          </w:tcPr>
          <w:p w:rsidR="001B262E" w:rsidRDefault="001B262E" w:rsidP="006305DC">
            <w:pPr>
              <w:contextualSpacing w:val="0"/>
              <w:jc w:val="right"/>
              <w:rPr>
                <w:rFonts w:ascii="Calibri" w:eastAsia="Times New Roman" w:hAnsi="Calibri" w:cs="Calibri"/>
                <w:color w:val="000000"/>
                <w:sz w:val="22"/>
              </w:rPr>
            </w:pPr>
            <w:r>
              <w:rPr>
                <w:rFonts w:ascii="Calibri" w:eastAsia="Times New Roman" w:hAnsi="Calibri" w:cs="Calibri"/>
                <w:color w:val="000000"/>
                <w:sz w:val="22"/>
              </w:rPr>
              <w:t>250-Days</w:t>
            </w:r>
          </w:p>
        </w:tc>
      </w:tr>
      <w:tr w:rsidR="001B262E" w:rsidRPr="008D4286" w:rsidTr="001B262E">
        <w:trPr>
          <w:trHeight w:val="300"/>
        </w:trPr>
        <w:tc>
          <w:tcPr>
            <w:tcW w:w="1905" w:type="dxa"/>
            <w:tcBorders>
              <w:top w:val="nil"/>
              <w:left w:val="nil"/>
              <w:bottom w:val="nil"/>
              <w:right w:val="nil"/>
            </w:tcBorders>
            <w:shd w:val="clear" w:color="auto" w:fill="auto"/>
            <w:noWrap/>
            <w:vAlign w:val="bottom"/>
          </w:tcPr>
          <w:p w:rsidR="001B262E" w:rsidRPr="008D4286" w:rsidRDefault="001B262E" w:rsidP="009F3A00">
            <w:pPr>
              <w:contextualSpacing w:val="0"/>
              <w:rPr>
                <w:rFonts w:ascii="Calibri" w:eastAsia="Times New Roman" w:hAnsi="Calibri" w:cs="Calibri"/>
                <w:color w:val="000000"/>
                <w:sz w:val="22"/>
              </w:rPr>
            </w:pPr>
            <w:r w:rsidRPr="008D4286">
              <w:rPr>
                <w:rFonts w:ascii="Calibri" w:eastAsia="Times New Roman" w:hAnsi="Calibri" w:cs="Calibri"/>
                <w:color w:val="000000"/>
                <w:sz w:val="22"/>
              </w:rPr>
              <w:t>S&amp;P 500</w:t>
            </w:r>
          </w:p>
        </w:tc>
        <w:tc>
          <w:tcPr>
            <w:tcW w:w="1132" w:type="dxa"/>
            <w:tcBorders>
              <w:top w:val="nil"/>
              <w:left w:val="nil"/>
              <w:bottom w:val="nil"/>
              <w:right w:val="nil"/>
            </w:tcBorders>
          </w:tcPr>
          <w:p w:rsidR="001B262E" w:rsidRDefault="001B262E" w:rsidP="009F3A00">
            <w:pPr>
              <w:jc w:val="right"/>
              <w:rPr>
                <w:rFonts w:ascii="Calibri" w:hAnsi="Calibri" w:cs="Calibri"/>
                <w:color w:val="000000"/>
                <w:sz w:val="22"/>
              </w:rPr>
            </w:pPr>
            <w:r>
              <w:rPr>
                <w:rFonts w:ascii="Calibri" w:hAnsi="Calibri" w:cs="Calibri"/>
                <w:color w:val="000000"/>
                <w:sz w:val="22"/>
              </w:rPr>
              <w:t>$173,005</w:t>
            </w:r>
          </w:p>
        </w:tc>
        <w:tc>
          <w:tcPr>
            <w:tcW w:w="488" w:type="dxa"/>
            <w:tcBorders>
              <w:top w:val="nil"/>
              <w:left w:val="nil"/>
              <w:bottom w:val="nil"/>
              <w:right w:val="nil"/>
            </w:tcBorders>
          </w:tcPr>
          <w:p w:rsidR="001B262E" w:rsidRDefault="001B262E" w:rsidP="009F3A00">
            <w:pPr>
              <w:jc w:val="right"/>
              <w:rPr>
                <w:rFonts w:ascii="Calibri" w:hAnsi="Calibri" w:cs="Calibri"/>
                <w:color w:val="000000"/>
                <w:sz w:val="22"/>
              </w:rPr>
            </w:pPr>
          </w:p>
        </w:tc>
        <w:tc>
          <w:tcPr>
            <w:tcW w:w="1006" w:type="dxa"/>
            <w:tcBorders>
              <w:top w:val="nil"/>
              <w:left w:val="nil"/>
              <w:bottom w:val="nil"/>
              <w:right w:val="nil"/>
            </w:tcBorders>
            <w:vAlign w:val="center"/>
          </w:tcPr>
          <w:p w:rsidR="001B262E" w:rsidRDefault="001B262E" w:rsidP="009F3A00">
            <w:pPr>
              <w:jc w:val="right"/>
              <w:rPr>
                <w:rFonts w:ascii="Calibri" w:hAnsi="Calibri" w:cs="Calibri"/>
                <w:color w:val="000000"/>
                <w:sz w:val="22"/>
              </w:rPr>
            </w:pPr>
            <w:r>
              <w:rPr>
                <w:rFonts w:ascii="Calibri" w:hAnsi="Calibri" w:cs="Calibri"/>
                <w:color w:val="000000"/>
                <w:sz w:val="22"/>
              </w:rPr>
              <w:t>3.1%</w:t>
            </w:r>
          </w:p>
        </w:tc>
        <w:tc>
          <w:tcPr>
            <w:tcW w:w="1164" w:type="dxa"/>
            <w:tcBorders>
              <w:top w:val="nil"/>
              <w:left w:val="nil"/>
              <w:bottom w:val="nil"/>
              <w:right w:val="nil"/>
            </w:tcBorders>
          </w:tcPr>
          <w:p w:rsidR="001B262E" w:rsidRDefault="001B262E" w:rsidP="009F3A00">
            <w:pPr>
              <w:jc w:val="right"/>
              <w:rPr>
                <w:rFonts w:ascii="Calibri" w:hAnsi="Calibri" w:cs="Calibri"/>
                <w:color w:val="000000"/>
                <w:sz w:val="22"/>
              </w:rPr>
            </w:pPr>
            <w:r>
              <w:rPr>
                <w:rFonts w:ascii="Calibri" w:hAnsi="Calibri" w:cs="Calibri"/>
                <w:color w:val="000000"/>
                <w:sz w:val="22"/>
              </w:rPr>
              <w:t>11.4%</w:t>
            </w:r>
          </w:p>
        </w:tc>
        <w:tc>
          <w:tcPr>
            <w:tcW w:w="378" w:type="dxa"/>
            <w:tcBorders>
              <w:top w:val="nil"/>
              <w:left w:val="nil"/>
              <w:bottom w:val="nil"/>
              <w:right w:val="nil"/>
            </w:tcBorders>
          </w:tcPr>
          <w:p w:rsidR="001B262E" w:rsidRDefault="001B262E" w:rsidP="009F3A00">
            <w:pPr>
              <w:jc w:val="right"/>
              <w:rPr>
                <w:rFonts w:ascii="Calibri" w:hAnsi="Calibri" w:cs="Calibri"/>
                <w:color w:val="000000"/>
                <w:sz w:val="22"/>
              </w:rPr>
            </w:pPr>
          </w:p>
        </w:tc>
        <w:tc>
          <w:tcPr>
            <w:tcW w:w="944" w:type="dxa"/>
            <w:tcBorders>
              <w:top w:val="nil"/>
              <w:left w:val="nil"/>
              <w:bottom w:val="nil"/>
              <w:right w:val="nil"/>
            </w:tcBorders>
          </w:tcPr>
          <w:p w:rsidR="001B262E" w:rsidRDefault="001B262E" w:rsidP="009F3A00">
            <w:pPr>
              <w:jc w:val="right"/>
              <w:rPr>
                <w:rFonts w:ascii="Calibri" w:hAnsi="Calibri" w:cs="Calibri"/>
                <w:color w:val="000000"/>
                <w:sz w:val="22"/>
              </w:rPr>
            </w:pPr>
            <w:r>
              <w:rPr>
                <w:rFonts w:ascii="Calibri" w:hAnsi="Calibri" w:cs="Calibri"/>
                <w:color w:val="000000"/>
                <w:sz w:val="22"/>
              </w:rPr>
              <w:t>2.5%</w:t>
            </w:r>
          </w:p>
        </w:tc>
        <w:tc>
          <w:tcPr>
            <w:tcW w:w="1164" w:type="dxa"/>
            <w:tcBorders>
              <w:top w:val="nil"/>
              <w:left w:val="nil"/>
              <w:bottom w:val="nil"/>
              <w:right w:val="nil"/>
            </w:tcBorders>
          </w:tcPr>
          <w:p w:rsidR="001B262E" w:rsidRDefault="001B262E" w:rsidP="009F3A00">
            <w:pPr>
              <w:jc w:val="right"/>
              <w:rPr>
                <w:rFonts w:ascii="Calibri" w:hAnsi="Calibri" w:cs="Calibri"/>
                <w:color w:val="000000"/>
                <w:sz w:val="22"/>
              </w:rPr>
            </w:pPr>
            <w:r>
              <w:rPr>
                <w:rFonts w:ascii="Calibri" w:hAnsi="Calibri" w:cs="Calibri"/>
                <w:color w:val="000000"/>
                <w:sz w:val="22"/>
              </w:rPr>
              <w:t>10.1%</w:t>
            </w:r>
          </w:p>
        </w:tc>
      </w:tr>
      <w:tr w:rsidR="001B262E" w:rsidRPr="008D4286" w:rsidTr="001B262E">
        <w:trPr>
          <w:trHeight w:val="300"/>
        </w:trPr>
        <w:tc>
          <w:tcPr>
            <w:tcW w:w="1905" w:type="dxa"/>
            <w:tcBorders>
              <w:top w:val="nil"/>
              <w:left w:val="nil"/>
              <w:bottom w:val="nil"/>
              <w:right w:val="nil"/>
            </w:tcBorders>
            <w:shd w:val="clear" w:color="auto" w:fill="auto"/>
            <w:noWrap/>
            <w:vAlign w:val="bottom"/>
          </w:tcPr>
          <w:p w:rsidR="001B262E" w:rsidRPr="008D4286" w:rsidRDefault="001B262E" w:rsidP="009F3A00">
            <w:pPr>
              <w:contextualSpacing w:val="0"/>
              <w:rPr>
                <w:rFonts w:ascii="Calibri" w:eastAsia="Times New Roman" w:hAnsi="Calibri" w:cs="Calibri"/>
                <w:color w:val="000000"/>
                <w:sz w:val="22"/>
              </w:rPr>
            </w:pPr>
            <w:r>
              <w:rPr>
                <w:rFonts w:ascii="Calibri" w:eastAsia="Times New Roman" w:hAnsi="Calibri" w:cs="Calibri"/>
                <w:color w:val="000000"/>
                <w:sz w:val="22"/>
              </w:rPr>
              <w:t>Avg20(trade=20)</w:t>
            </w:r>
          </w:p>
        </w:tc>
        <w:tc>
          <w:tcPr>
            <w:tcW w:w="1132" w:type="dxa"/>
            <w:tcBorders>
              <w:top w:val="nil"/>
              <w:left w:val="nil"/>
              <w:bottom w:val="nil"/>
              <w:right w:val="nil"/>
            </w:tcBorders>
          </w:tcPr>
          <w:p w:rsidR="001B262E" w:rsidRDefault="001B262E" w:rsidP="009F3A00">
            <w:pPr>
              <w:jc w:val="right"/>
              <w:rPr>
                <w:rFonts w:ascii="Calibri" w:hAnsi="Calibri" w:cs="Calibri"/>
                <w:color w:val="000000"/>
                <w:sz w:val="22"/>
              </w:rPr>
            </w:pPr>
            <w:r>
              <w:rPr>
                <w:rFonts w:ascii="Calibri" w:hAnsi="Calibri" w:cs="Calibri"/>
                <w:color w:val="000000"/>
                <w:sz w:val="22"/>
              </w:rPr>
              <w:t>$99,253</w:t>
            </w:r>
          </w:p>
        </w:tc>
        <w:tc>
          <w:tcPr>
            <w:tcW w:w="488" w:type="dxa"/>
            <w:tcBorders>
              <w:top w:val="nil"/>
              <w:left w:val="nil"/>
              <w:bottom w:val="nil"/>
              <w:right w:val="nil"/>
            </w:tcBorders>
          </w:tcPr>
          <w:p w:rsidR="001B262E" w:rsidRDefault="001B262E" w:rsidP="009F3A00">
            <w:pPr>
              <w:jc w:val="right"/>
              <w:rPr>
                <w:rFonts w:ascii="Calibri" w:hAnsi="Calibri" w:cs="Calibri"/>
                <w:color w:val="000000"/>
                <w:sz w:val="22"/>
              </w:rPr>
            </w:pPr>
          </w:p>
        </w:tc>
        <w:tc>
          <w:tcPr>
            <w:tcW w:w="1006" w:type="dxa"/>
            <w:tcBorders>
              <w:top w:val="nil"/>
              <w:left w:val="nil"/>
              <w:bottom w:val="nil"/>
              <w:right w:val="nil"/>
            </w:tcBorders>
            <w:vAlign w:val="center"/>
          </w:tcPr>
          <w:p w:rsidR="001B262E" w:rsidRDefault="001B262E" w:rsidP="009F3A00">
            <w:pPr>
              <w:jc w:val="right"/>
              <w:rPr>
                <w:rFonts w:ascii="Calibri" w:hAnsi="Calibri" w:cs="Calibri"/>
                <w:color w:val="000000"/>
                <w:sz w:val="22"/>
              </w:rPr>
            </w:pPr>
            <w:r>
              <w:rPr>
                <w:rFonts w:ascii="Calibri" w:hAnsi="Calibri" w:cs="Calibri"/>
                <w:color w:val="000000"/>
                <w:sz w:val="22"/>
              </w:rPr>
              <w:t>6.1</w:t>
            </w:r>
            <w:r w:rsidRPr="00A1558F">
              <w:rPr>
                <w:rFonts w:ascii="Calibri" w:hAnsi="Calibri" w:cs="Calibri"/>
                <w:color w:val="000000"/>
                <w:sz w:val="22"/>
              </w:rPr>
              <w:t>%</w:t>
            </w:r>
          </w:p>
        </w:tc>
        <w:tc>
          <w:tcPr>
            <w:tcW w:w="1164" w:type="dxa"/>
            <w:tcBorders>
              <w:top w:val="nil"/>
              <w:left w:val="nil"/>
              <w:bottom w:val="nil"/>
              <w:right w:val="nil"/>
            </w:tcBorders>
          </w:tcPr>
          <w:p w:rsidR="001B262E" w:rsidRDefault="001B262E" w:rsidP="009F3A00">
            <w:pPr>
              <w:jc w:val="right"/>
              <w:rPr>
                <w:rFonts w:ascii="Calibri" w:hAnsi="Calibri" w:cs="Calibri"/>
                <w:color w:val="000000"/>
                <w:sz w:val="22"/>
              </w:rPr>
            </w:pPr>
            <w:r>
              <w:rPr>
                <w:rFonts w:ascii="Calibri" w:hAnsi="Calibri" w:cs="Calibri"/>
                <w:color w:val="000000"/>
                <w:sz w:val="22"/>
              </w:rPr>
              <w:t>24.7%</w:t>
            </w:r>
          </w:p>
        </w:tc>
        <w:tc>
          <w:tcPr>
            <w:tcW w:w="378" w:type="dxa"/>
            <w:tcBorders>
              <w:top w:val="nil"/>
              <w:left w:val="nil"/>
              <w:bottom w:val="nil"/>
              <w:right w:val="nil"/>
            </w:tcBorders>
          </w:tcPr>
          <w:p w:rsidR="001B262E" w:rsidRDefault="001B262E" w:rsidP="009F3A00">
            <w:pPr>
              <w:jc w:val="right"/>
              <w:rPr>
                <w:rFonts w:ascii="Calibri" w:hAnsi="Calibri" w:cs="Calibri"/>
                <w:color w:val="000000"/>
                <w:sz w:val="22"/>
              </w:rPr>
            </w:pPr>
          </w:p>
        </w:tc>
        <w:tc>
          <w:tcPr>
            <w:tcW w:w="944" w:type="dxa"/>
            <w:tcBorders>
              <w:top w:val="nil"/>
              <w:left w:val="nil"/>
              <w:bottom w:val="nil"/>
              <w:right w:val="nil"/>
            </w:tcBorders>
          </w:tcPr>
          <w:p w:rsidR="001B262E" w:rsidRDefault="001B262E" w:rsidP="009F3A00">
            <w:pPr>
              <w:jc w:val="right"/>
              <w:rPr>
                <w:rFonts w:ascii="Calibri" w:hAnsi="Calibri" w:cs="Calibri"/>
                <w:color w:val="000000"/>
                <w:sz w:val="22"/>
              </w:rPr>
            </w:pPr>
            <w:r>
              <w:rPr>
                <w:rFonts w:ascii="Calibri" w:hAnsi="Calibri" w:cs="Calibri"/>
                <w:color w:val="000000"/>
                <w:sz w:val="22"/>
              </w:rPr>
              <w:t>-0.1%</w:t>
            </w:r>
          </w:p>
        </w:tc>
        <w:tc>
          <w:tcPr>
            <w:tcW w:w="1164" w:type="dxa"/>
            <w:tcBorders>
              <w:top w:val="nil"/>
              <w:left w:val="nil"/>
              <w:bottom w:val="nil"/>
              <w:right w:val="nil"/>
            </w:tcBorders>
          </w:tcPr>
          <w:p w:rsidR="001B262E" w:rsidRDefault="001B262E" w:rsidP="009F3A00">
            <w:pPr>
              <w:jc w:val="right"/>
              <w:rPr>
                <w:rFonts w:ascii="Calibri" w:hAnsi="Calibri" w:cs="Calibri"/>
                <w:color w:val="000000"/>
                <w:sz w:val="22"/>
              </w:rPr>
            </w:pPr>
            <w:r>
              <w:rPr>
                <w:rFonts w:ascii="Calibri" w:hAnsi="Calibri" w:cs="Calibri"/>
                <w:color w:val="000000"/>
                <w:sz w:val="22"/>
              </w:rPr>
              <w:t>5.5%</w:t>
            </w:r>
          </w:p>
        </w:tc>
      </w:tr>
      <w:tr w:rsidR="001B262E" w:rsidRPr="008D4286" w:rsidTr="001B262E">
        <w:trPr>
          <w:trHeight w:val="300"/>
        </w:trPr>
        <w:tc>
          <w:tcPr>
            <w:tcW w:w="1905" w:type="dxa"/>
            <w:tcBorders>
              <w:top w:val="nil"/>
              <w:left w:val="nil"/>
              <w:bottom w:val="nil"/>
              <w:right w:val="nil"/>
            </w:tcBorders>
            <w:shd w:val="clear" w:color="auto" w:fill="auto"/>
            <w:noWrap/>
            <w:vAlign w:val="bottom"/>
            <w:hideMark/>
          </w:tcPr>
          <w:p w:rsidR="001B262E" w:rsidRPr="008D4286" w:rsidRDefault="001B262E" w:rsidP="009F3A00">
            <w:pPr>
              <w:contextualSpacing w:val="0"/>
              <w:rPr>
                <w:rFonts w:ascii="Calibri" w:eastAsia="Times New Roman" w:hAnsi="Calibri" w:cs="Calibri"/>
                <w:color w:val="000000"/>
                <w:sz w:val="22"/>
              </w:rPr>
            </w:pPr>
            <w:r w:rsidRPr="008D4286">
              <w:rPr>
                <w:rFonts w:ascii="Calibri" w:eastAsia="Times New Roman" w:hAnsi="Calibri" w:cs="Calibri"/>
                <w:color w:val="000000"/>
                <w:sz w:val="22"/>
              </w:rPr>
              <w:t>Avg</w:t>
            </w:r>
            <w:r>
              <w:rPr>
                <w:rFonts w:ascii="Calibri" w:eastAsia="Times New Roman" w:hAnsi="Calibri" w:cs="Calibri"/>
                <w:color w:val="000000"/>
                <w:sz w:val="22"/>
              </w:rPr>
              <w:t>20</w:t>
            </w:r>
            <w:r w:rsidRPr="008D4286">
              <w:rPr>
                <w:rFonts w:ascii="Calibri" w:eastAsia="Times New Roman" w:hAnsi="Calibri" w:cs="Calibri"/>
                <w:color w:val="000000"/>
                <w:sz w:val="22"/>
              </w:rPr>
              <w:t>(</w:t>
            </w:r>
            <w:r>
              <w:rPr>
                <w:rFonts w:ascii="Calibri" w:eastAsia="Times New Roman" w:hAnsi="Calibri" w:cs="Calibri"/>
                <w:color w:val="000000"/>
                <w:sz w:val="22"/>
              </w:rPr>
              <w:t>trade=</w:t>
            </w:r>
            <w:r w:rsidRPr="008D4286">
              <w:rPr>
                <w:rFonts w:ascii="Calibri" w:eastAsia="Times New Roman" w:hAnsi="Calibri" w:cs="Calibri"/>
                <w:color w:val="000000"/>
                <w:sz w:val="22"/>
              </w:rPr>
              <w:t>5)</w:t>
            </w:r>
          </w:p>
        </w:tc>
        <w:tc>
          <w:tcPr>
            <w:tcW w:w="1132" w:type="dxa"/>
            <w:tcBorders>
              <w:top w:val="nil"/>
              <w:left w:val="nil"/>
              <w:bottom w:val="nil"/>
              <w:right w:val="nil"/>
            </w:tcBorders>
          </w:tcPr>
          <w:p w:rsidR="001B262E" w:rsidRDefault="001B262E" w:rsidP="009F3A00">
            <w:pPr>
              <w:jc w:val="right"/>
              <w:rPr>
                <w:rFonts w:ascii="Calibri" w:hAnsi="Calibri" w:cs="Calibri"/>
                <w:color w:val="000000"/>
                <w:sz w:val="22"/>
              </w:rPr>
            </w:pPr>
            <w:r>
              <w:rPr>
                <w:rFonts w:ascii="Calibri" w:hAnsi="Calibri" w:cs="Calibri"/>
                <w:color w:val="000000"/>
                <w:sz w:val="22"/>
              </w:rPr>
              <w:t>$179,375</w:t>
            </w:r>
          </w:p>
        </w:tc>
        <w:tc>
          <w:tcPr>
            <w:tcW w:w="488" w:type="dxa"/>
            <w:tcBorders>
              <w:top w:val="nil"/>
              <w:left w:val="nil"/>
              <w:bottom w:val="nil"/>
              <w:right w:val="nil"/>
            </w:tcBorders>
          </w:tcPr>
          <w:p w:rsidR="001B262E" w:rsidRDefault="001B262E" w:rsidP="009F3A00">
            <w:pPr>
              <w:jc w:val="right"/>
              <w:rPr>
                <w:rFonts w:ascii="Calibri" w:hAnsi="Calibri" w:cs="Calibri"/>
                <w:color w:val="000000"/>
                <w:sz w:val="22"/>
              </w:rPr>
            </w:pPr>
          </w:p>
        </w:tc>
        <w:tc>
          <w:tcPr>
            <w:tcW w:w="1006" w:type="dxa"/>
            <w:tcBorders>
              <w:top w:val="nil"/>
              <w:left w:val="nil"/>
              <w:bottom w:val="nil"/>
              <w:right w:val="nil"/>
            </w:tcBorders>
            <w:vAlign w:val="center"/>
          </w:tcPr>
          <w:p w:rsidR="001B262E" w:rsidRDefault="001B262E" w:rsidP="009F3A00">
            <w:pPr>
              <w:jc w:val="right"/>
              <w:rPr>
                <w:rFonts w:ascii="Calibri" w:hAnsi="Calibri" w:cs="Calibri"/>
                <w:color w:val="000000"/>
                <w:sz w:val="22"/>
              </w:rPr>
            </w:pPr>
            <w:r>
              <w:rPr>
                <w:rFonts w:ascii="Calibri" w:hAnsi="Calibri" w:cs="Calibri"/>
                <w:color w:val="000000"/>
                <w:sz w:val="22"/>
              </w:rPr>
              <w:t>7.5%</w:t>
            </w:r>
          </w:p>
        </w:tc>
        <w:tc>
          <w:tcPr>
            <w:tcW w:w="1164" w:type="dxa"/>
            <w:tcBorders>
              <w:top w:val="nil"/>
              <w:left w:val="nil"/>
              <w:bottom w:val="nil"/>
              <w:right w:val="nil"/>
            </w:tcBorders>
          </w:tcPr>
          <w:p w:rsidR="001B262E" w:rsidRDefault="001B262E" w:rsidP="009F3A00">
            <w:pPr>
              <w:jc w:val="right"/>
              <w:rPr>
                <w:rFonts w:ascii="Calibri" w:hAnsi="Calibri" w:cs="Calibri"/>
                <w:color w:val="000000"/>
                <w:sz w:val="22"/>
              </w:rPr>
            </w:pPr>
            <w:r>
              <w:rPr>
                <w:rFonts w:ascii="Calibri" w:hAnsi="Calibri" w:cs="Calibri"/>
                <w:color w:val="000000"/>
                <w:sz w:val="22"/>
              </w:rPr>
              <w:t>28.5%</w:t>
            </w:r>
          </w:p>
        </w:tc>
        <w:tc>
          <w:tcPr>
            <w:tcW w:w="378" w:type="dxa"/>
            <w:tcBorders>
              <w:top w:val="nil"/>
              <w:left w:val="nil"/>
              <w:bottom w:val="nil"/>
              <w:right w:val="nil"/>
            </w:tcBorders>
          </w:tcPr>
          <w:p w:rsidR="001B262E" w:rsidRDefault="001B262E" w:rsidP="009F3A00">
            <w:pPr>
              <w:jc w:val="right"/>
              <w:rPr>
                <w:rFonts w:ascii="Calibri" w:hAnsi="Calibri" w:cs="Calibri"/>
                <w:color w:val="000000"/>
                <w:sz w:val="22"/>
              </w:rPr>
            </w:pPr>
          </w:p>
        </w:tc>
        <w:tc>
          <w:tcPr>
            <w:tcW w:w="944" w:type="dxa"/>
            <w:tcBorders>
              <w:top w:val="nil"/>
              <w:left w:val="nil"/>
              <w:bottom w:val="nil"/>
              <w:right w:val="nil"/>
            </w:tcBorders>
          </w:tcPr>
          <w:p w:rsidR="001B262E" w:rsidRDefault="001B262E" w:rsidP="009F3A00">
            <w:pPr>
              <w:jc w:val="right"/>
              <w:rPr>
                <w:rFonts w:ascii="Calibri" w:hAnsi="Calibri" w:cs="Calibri"/>
                <w:color w:val="000000"/>
                <w:sz w:val="22"/>
              </w:rPr>
            </w:pPr>
            <w:r>
              <w:rPr>
                <w:rFonts w:ascii="Calibri" w:hAnsi="Calibri" w:cs="Calibri"/>
                <w:color w:val="000000"/>
                <w:sz w:val="22"/>
              </w:rPr>
              <w:t>2.0%</w:t>
            </w:r>
          </w:p>
        </w:tc>
        <w:tc>
          <w:tcPr>
            <w:tcW w:w="1164" w:type="dxa"/>
            <w:tcBorders>
              <w:top w:val="nil"/>
              <w:left w:val="nil"/>
              <w:bottom w:val="nil"/>
              <w:right w:val="nil"/>
            </w:tcBorders>
          </w:tcPr>
          <w:p w:rsidR="001B262E" w:rsidRDefault="001B262E" w:rsidP="009F3A00">
            <w:pPr>
              <w:jc w:val="right"/>
              <w:rPr>
                <w:rFonts w:ascii="Calibri" w:hAnsi="Calibri" w:cs="Calibri"/>
                <w:color w:val="000000"/>
                <w:sz w:val="22"/>
              </w:rPr>
            </w:pPr>
            <w:r>
              <w:rPr>
                <w:rFonts w:ascii="Calibri" w:hAnsi="Calibri" w:cs="Calibri"/>
                <w:color w:val="000000"/>
                <w:sz w:val="22"/>
              </w:rPr>
              <w:t>11.4%</w:t>
            </w:r>
          </w:p>
        </w:tc>
      </w:tr>
    </w:tbl>
    <w:p w:rsidR="006305DC" w:rsidRDefault="006305DC" w:rsidP="005D2840"/>
    <w:p w:rsidR="00101390" w:rsidRDefault="00101390" w:rsidP="005D2840">
      <w:r>
        <w:t xml:space="preserve">The average returns make it appear that the average return portfolios out-perform the market.  However, we know that this is not the case since the value of portfolio that traded every </w:t>
      </w:r>
      <w:proofErr w:type="gramStart"/>
      <w:r>
        <w:t>20-days</w:t>
      </w:r>
      <w:proofErr w:type="gramEnd"/>
      <w:r>
        <w:t xml:space="preserve"> was actually lower than the market returns.  </w:t>
      </w:r>
      <w:proofErr w:type="gramStart"/>
      <w:r>
        <w:t>It is the log returns that</w:t>
      </w:r>
      <w:proofErr w:type="gramEnd"/>
      <w:r>
        <w:t xml:space="preserve"> actually matter in this case, as they give a better view of expected wealth growth over time than just the simple returns.  Here, it appears that none of the portfolios </w:t>
      </w:r>
      <w:proofErr w:type="gramStart"/>
      <w:r>
        <w:t>out-perform</w:t>
      </w:r>
      <w:proofErr w:type="gramEnd"/>
      <w:r>
        <w:t xml:space="preserve"> the market over a 90-day period.  The portfolio that trades every 5 days might still out-perform over 250-days, but not by much.</w:t>
      </w:r>
    </w:p>
    <w:p w:rsidR="00101390" w:rsidRDefault="00101390" w:rsidP="005D2840"/>
    <w:p w:rsidR="00101390" w:rsidRDefault="00101390" w:rsidP="005D2840">
      <w:r>
        <w:t xml:space="preserve">The </w:t>
      </w:r>
      <w:proofErr w:type="gramStart"/>
      <w:r>
        <w:t>table below give</w:t>
      </w:r>
      <w:proofErr w:type="gramEnd"/>
      <w:r>
        <w:t xml:space="preserve"> average returns and risk-adjusted metrics for the 90-day portfolios.  The great variance in the average returns portfolio </w:t>
      </w:r>
      <w:proofErr w:type="gramStart"/>
      <w:r>
        <w:t>is penalized</w:t>
      </w:r>
      <w:proofErr w:type="gramEnd"/>
      <w:r>
        <w:t xml:space="preserve"> against them.  Where they were already under-performing the market portfolio based on return alone they are performing even worse on the risk-adjusted Sharpe and </w:t>
      </w:r>
      <w:proofErr w:type="spellStart"/>
      <w:r>
        <w:t>Sortino</w:t>
      </w:r>
      <w:proofErr w:type="spellEnd"/>
      <w:r>
        <w:t xml:space="preserve"> ratios.</w:t>
      </w:r>
    </w:p>
    <w:p w:rsidR="006305DC" w:rsidRDefault="006305DC" w:rsidP="005D2840"/>
    <w:p w:rsidR="005D2840" w:rsidRPr="006305DC" w:rsidRDefault="005D2840" w:rsidP="005D2840">
      <w:pPr>
        <w:rPr>
          <w:i/>
        </w:rPr>
      </w:pPr>
      <w:r w:rsidRPr="006305DC">
        <w:rPr>
          <w:i/>
        </w:rPr>
        <w:t>90-Day Returns</w:t>
      </w:r>
      <w:r w:rsidR="006305DC" w:rsidRPr="006305DC">
        <w:rPr>
          <w:i/>
        </w:rPr>
        <w:t xml:space="preserve"> (starting 6/2/2008)</w:t>
      </w:r>
    </w:p>
    <w:p w:rsidR="005D2840" w:rsidRDefault="005D2840" w:rsidP="005D2840"/>
    <w:tbl>
      <w:tblPr>
        <w:tblW w:w="7862" w:type="dxa"/>
        <w:tblInd w:w="93" w:type="dxa"/>
        <w:tblLook w:val="04A0" w:firstRow="1" w:lastRow="0" w:firstColumn="1" w:lastColumn="0" w:noHBand="0" w:noVBand="1"/>
      </w:tblPr>
      <w:tblGrid>
        <w:gridCol w:w="1905"/>
        <w:gridCol w:w="990"/>
        <w:gridCol w:w="1268"/>
        <w:gridCol w:w="1162"/>
        <w:gridCol w:w="1187"/>
        <w:gridCol w:w="1350"/>
      </w:tblGrid>
      <w:tr w:rsidR="005D2840" w:rsidRPr="008D4286" w:rsidTr="006305DC">
        <w:trPr>
          <w:trHeight w:val="300"/>
        </w:trPr>
        <w:tc>
          <w:tcPr>
            <w:tcW w:w="1905" w:type="dxa"/>
            <w:tcBorders>
              <w:top w:val="nil"/>
              <w:left w:val="nil"/>
              <w:right w:val="nil"/>
            </w:tcBorders>
            <w:shd w:val="clear" w:color="auto" w:fill="auto"/>
            <w:noWrap/>
            <w:vAlign w:val="bottom"/>
          </w:tcPr>
          <w:p w:rsidR="005D2840" w:rsidRDefault="005D2840" w:rsidP="009F3A00">
            <w:pPr>
              <w:contextualSpacing w:val="0"/>
              <w:rPr>
                <w:rFonts w:ascii="Calibri" w:eastAsia="Times New Roman" w:hAnsi="Calibri" w:cs="Calibri"/>
                <w:color w:val="000000"/>
                <w:sz w:val="22"/>
              </w:rPr>
            </w:pPr>
          </w:p>
        </w:tc>
        <w:tc>
          <w:tcPr>
            <w:tcW w:w="990" w:type="dxa"/>
            <w:tcBorders>
              <w:top w:val="nil"/>
              <w:left w:val="nil"/>
              <w:right w:val="nil"/>
            </w:tcBorders>
            <w:vAlign w:val="center"/>
          </w:tcPr>
          <w:p w:rsidR="005D2840" w:rsidRDefault="005D2840" w:rsidP="009F3A00">
            <w:pPr>
              <w:contextualSpacing w:val="0"/>
              <w:jc w:val="right"/>
              <w:rPr>
                <w:rFonts w:ascii="Calibri" w:eastAsia="Times New Roman" w:hAnsi="Calibri" w:cs="Calibri"/>
                <w:color w:val="000000"/>
                <w:sz w:val="22"/>
              </w:rPr>
            </w:pPr>
          </w:p>
        </w:tc>
        <w:tc>
          <w:tcPr>
            <w:tcW w:w="4967" w:type="dxa"/>
            <w:gridSpan w:val="4"/>
            <w:tcBorders>
              <w:top w:val="nil"/>
              <w:left w:val="nil"/>
              <w:bottom w:val="single" w:sz="4" w:space="0" w:color="auto"/>
              <w:right w:val="nil"/>
            </w:tcBorders>
            <w:shd w:val="clear" w:color="auto" w:fill="auto"/>
            <w:noWrap/>
            <w:vAlign w:val="center"/>
          </w:tcPr>
          <w:p w:rsidR="005D2840" w:rsidRPr="008D4286" w:rsidRDefault="005D2840" w:rsidP="009F3A00">
            <w:pPr>
              <w:contextualSpacing w:val="0"/>
              <w:jc w:val="center"/>
              <w:rPr>
                <w:rFonts w:ascii="Calibri" w:eastAsia="Times New Roman" w:hAnsi="Calibri" w:cs="Calibri"/>
                <w:color w:val="000000"/>
                <w:sz w:val="22"/>
              </w:rPr>
            </w:pPr>
            <w:r>
              <w:rPr>
                <w:rFonts w:ascii="Calibri" w:eastAsia="Times New Roman" w:hAnsi="Calibri" w:cs="Calibri"/>
                <w:color w:val="000000"/>
                <w:sz w:val="22"/>
              </w:rPr>
              <w:t>Log Returns</w:t>
            </w:r>
          </w:p>
        </w:tc>
      </w:tr>
      <w:tr w:rsidR="005D2840" w:rsidRPr="008D4286" w:rsidTr="006305DC">
        <w:trPr>
          <w:trHeight w:val="300"/>
        </w:trPr>
        <w:tc>
          <w:tcPr>
            <w:tcW w:w="1905" w:type="dxa"/>
            <w:tcBorders>
              <w:left w:val="nil"/>
              <w:bottom w:val="single" w:sz="4" w:space="0" w:color="auto"/>
              <w:right w:val="nil"/>
            </w:tcBorders>
            <w:shd w:val="clear" w:color="auto" w:fill="auto"/>
            <w:noWrap/>
            <w:vAlign w:val="bottom"/>
            <w:hideMark/>
          </w:tcPr>
          <w:p w:rsidR="005D2840" w:rsidRPr="008D4286" w:rsidRDefault="005D2840" w:rsidP="009F3A00">
            <w:pPr>
              <w:contextualSpacing w:val="0"/>
              <w:rPr>
                <w:rFonts w:ascii="Calibri" w:eastAsia="Times New Roman" w:hAnsi="Calibri" w:cs="Calibri"/>
                <w:color w:val="000000"/>
                <w:sz w:val="22"/>
              </w:rPr>
            </w:pPr>
            <w:r>
              <w:rPr>
                <w:rFonts w:ascii="Calibri" w:eastAsia="Times New Roman" w:hAnsi="Calibri" w:cs="Calibri"/>
                <w:color w:val="000000"/>
                <w:sz w:val="22"/>
              </w:rPr>
              <w:t>Method</w:t>
            </w:r>
          </w:p>
        </w:tc>
        <w:tc>
          <w:tcPr>
            <w:tcW w:w="990" w:type="dxa"/>
            <w:tcBorders>
              <w:left w:val="nil"/>
              <w:bottom w:val="single" w:sz="4" w:space="0" w:color="auto"/>
              <w:right w:val="nil"/>
            </w:tcBorders>
            <w:vAlign w:val="center"/>
          </w:tcPr>
          <w:p w:rsidR="005D2840" w:rsidRPr="008D4286" w:rsidRDefault="005D2840" w:rsidP="005D2840">
            <w:pPr>
              <w:contextualSpacing w:val="0"/>
              <w:jc w:val="right"/>
              <w:rPr>
                <w:rFonts w:ascii="Calibri" w:eastAsia="Times New Roman" w:hAnsi="Calibri" w:cs="Calibri"/>
                <w:color w:val="000000"/>
                <w:sz w:val="22"/>
              </w:rPr>
            </w:pPr>
            <w:r>
              <w:rPr>
                <w:rFonts w:ascii="Calibri" w:eastAsia="Times New Roman" w:hAnsi="Calibri" w:cs="Calibri"/>
                <w:color w:val="000000"/>
                <w:sz w:val="22"/>
              </w:rPr>
              <w:t xml:space="preserve">Avg. </w:t>
            </w:r>
          </w:p>
        </w:tc>
        <w:tc>
          <w:tcPr>
            <w:tcW w:w="1268" w:type="dxa"/>
            <w:tcBorders>
              <w:top w:val="nil"/>
              <w:left w:val="nil"/>
              <w:bottom w:val="single" w:sz="4" w:space="0" w:color="auto"/>
              <w:right w:val="nil"/>
            </w:tcBorders>
            <w:shd w:val="clear" w:color="auto" w:fill="auto"/>
            <w:noWrap/>
            <w:vAlign w:val="center"/>
            <w:hideMark/>
          </w:tcPr>
          <w:p w:rsidR="005D2840" w:rsidRPr="008D4286" w:rsidRDefault="005D2840"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Avg. Return</w:t>
            </w:r>
          </w:p>
        </w:tc>
        <w:tc>
          <w:tcPr>
            <w:tcW w:w="1162" w:type="dxa"/>
            <w:tcBorders>
              <w:top w:val="nil"/>
              <w:left w:val="nil"/>
              <w:bottom w:val="single" w:sz="4" w:space="0" w:color="auto"/>
              <w:right w:val="nil"/>
            </w:tcBorders>
            <w:shd w:val="clear" w:color="auto" w:fill="auto"/>
            <w:noWrap/>
            <w:vAlign w:val="center"/>
            <w:hideMark/>
          </w:tcPr>
          <w:p w:rsidR="005D2840" w:rsidRPr="008D4286" w:rsidRDefault="005D2840" w:rsidP="009F3A00">
            <w:pPr>
              <w:contextualSpacing w:val="0"/>
              <w:jc w:val="right"/>
              <w:rPr>
                <w:rFonts w:ascii="Calibri" w:eastAsia="Times New Roman" w:hAnsi="Calibri" w:cs="Calibri"/>
                <w:color w:val="000000"/>
                <w:sz w:val="22"/>
              </w:rPr>
            </w:pPr>
            <w:proofErr w:type="spellStart"/>
            <w:r w:rsidRPr="008D4286">
              <w:rPr>
                <w:rFonts w:ascii="Calibri" w:eastAsia="Times New Roman" w:hAnsi="Calibri" w:cs="Calibri"/>
                <w:color w:val="000000"/>
                <w:sz w:val="22"/>
              </w:rPr>
              <w:t>Stdev</w:t>
            </w:r>
            <w:proofErr w:type="spellEnd"/>
          </w:p>
        </w:tc>
        <w:tc>
          <w:tcPr>
            <w:tcW w:w="1187" w:type="dxa"/>
            <w:tcBorders>
              <w:top w:val="nil"/>
              <w:left w:val="nil"/>
              <w:bottom w:val="single" w:sz="4" w:space="0" w:color="auto"/>
              <w:right w:val="nil"/>
            </w:tcBorders>
            <w:shd w:val="clear" w:color="auto" w:fill="auto"/>
            <w:noWrap/>
            <w:vAlign w:val="center"/>
            <w:hideMark/>
          </w:tcPr>
          <w:p w:rsidR="005D2840" w:rsidRPr="008D4286" w:rsidRDefault="005D2840" w:rsidP="009F3A00">
            <w:pPr>
              <w:contextualSpacing w:val="0"/>
              <w:jc w:val="right"/>
              <w:rPr>
                <w:rFonts w:ascii="Calibri" w:eastAsia="Times New Roman" w:hAnsi="Calibri" w:cs="Calibri"/>
                <w:color w:val="000000"/>
                <w:sz w:val="22"/>
              </w:rPr>
            </w:pPr>
            <w:r w:rsidRPr="008D4286">
              <w:rPr>
                <w:rFonts w:ascii="Calibri" w:eastAsia="Times New Roman" w:hAnsi="Calibri" w:cs="Calibri"/>
                <w:color w:val="000000"/>
                <w:sz w:val="22"/>
              </w:rPr>
              <w:t>Sharpe</w:t>
            </w:r>
          </w:p>
        </w:tc>
        <w:tc>
          <w:tcPr>
            <w:tcW w:w="1350" w:type="dxa"/>
            <w:tcBorders>
              <w:top w:val="nil"/>
              <w:left w:val="nil"/>
              <w:bottom w:val="single" w:sz="4" w:space="0" w:color="auto"/>
              <w:right w:val="nil"/>
            </w:tcBorders>
            <w:shd w:val="clear" w:color="auto" w:fill="auto"/>
            <w:noWrap/>
            <w:vAlign w:val="center"/>
            <w:hideMark/>
          </w:tcPr>
          <w:p w:rsidR="005D2840" w:rsidRPr="008D4286" w:rsidRDefault="005D2840" w:rsidP="009F3A00">
            <w:pPr>
              <w:contextualSpacing w:val="0"/>
              <w:jc w:val="right"/>
              <w:rPr>
                <w:rFonts w:ascii="Calibri" w:eastAsia="Times New Roman" w:hAnsi="Calibri" w:cs="Calibri"/>
                <w:color w:val="000000"/>
                <w:sz w:val="22"/>
              </w:rPr>
            </w:pPr>
            <w:proofErr w:type="spellStart"/>
            <w:r w:rsidRPr="008D4286">
              <w:rPr>
                <w:rFonts w:ascii="Calibri" w:eastAsia="Times New Roman" w:hAnsi="Calibri" w:cs="Calibri"/>
                <w:color w:val="000000"/>
                <w:sz w:val="22"/>
              </w:rPr>
              <w:t>Sortino</w:t>
            </w:r>
            <w:proofErr w:type="spellEnd"/>
          </w:p>
        </w:tc>
      </w:tr>
      <w:tr w:rsidR="005D2840" w:rsidRPr="008D4286" w:rsidTr="006305DC">
        <w:trPr>
          <w:trHeight w:val="300"/>
        </w:trPr>
        <w:tc>
          <w:tcPr>
            <w:tcW w:w="1905" w:type="dxa"/>
            <w:tcBorders>
              <w:top w:val="nil"/>
              <w:left w:val="nil"/>
              <w:bottom w:val="nil"/>
              <w:right w:val="nil"/>
            </w:tcBorders>
            <w:shd w:val="clear" w:color="auto" w:fill="auto"/>
            <w:noWrap/>
            <w:vAlign w:val="bottom"/>
          </w:tcPr>
          <w:p w:rsidR="005D2840" w:rsidRPr="008D4286" w:rsidRDefault="005D2840" w:rsidP="009F3A00">
            <w:pPr>
              <w:contextualSpacing w:val="0"/>
              <w:rPr>
                <w:rFonts w:ascii="Calibri" w:eastAsia="Times New Roman" w:hAnsi="Calibri" w:cs="Calibri"/>
                <w:color w:val="000000"/>
                <w:sz w:val="22"/>
              </w:rPr>
            </w:pPr>
            <w:r w:rsidRPr="008D4286">
              <w:rPr>
                <w:rFonts w:ascii="Calibri" w:eastAsia="Times New Roman" w:hAnsi="Calibri" w:cs="Calibri"/>
                <w:color w:val="000000"/>
                <w:sz w:val="22"/>
              </w:rPr>
              <w:t>S&amp;P 500</w:t>
            </w:r>
          </w:p>
        </w:tc>
        <w:tc>
          <w:tcPr>
            <w:tcW w:w="990" w:type="dxa"/>
            <w:tcBorders>
              <w:top w:val="nil"/>
              <w:left w:val="nil"/>
              <w:bottom w:val="nil"/>
              <w:right w:val="nil"/>
            </w:tcBorders>
            <w:vAlign w:val="center"/>
          </w:tcPr>
          <w:p w:rsidR="005D2840" w:rsidRDefault="005D2840" w:rsidP="009F3A00">
            <w:pPr>
              <w:jc w:val="right"/>
              <w:rPr>
                <w:rFonts w:ascii="Calibri" w:hAnsi="Calibri" w:cs="Calibri"/>
                <w:color w:val="000000"/>
                <w:sz w:val="22"/>
              </w:rPr>
            </w:pPr>
            <w:r>
              <w:rPr>
                <w:rFonts w:ascii="Calibri" w:hAnsi="Calibri" w:cs="Calibri"/>
                <w:color w:val="000000"/>
                <w:sz w:val="22"/>
              </w:rPr>
              <w:t>3.1%</w:t>
            </w:r>
          </w:p>
        </w:tc>
        <w:tc>
          <w:tcPr>
            <w:tcW w:w="1268" w:type="dxa"/>
            <w:tcBorders>
              <w:top w:val="nil"/>
              <w:left w:val="nil"/>
              <w:bottom w:val="nil"/>
              <w:right w:val="nil"/>
            </w:tcBorders>
            <w:shd w:val="clear" w:color="auto" w:fill="auto"/>
            <w:noWrap/>
            <w:vAlign w:val="center"/>
          </w:tcPr>
          <w:p w:rsidR="005D2840" w:rsidRPr="008D4286" w:rsidRDefault="005D2840"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2.5%</w:t>
            </w:r>
          </w:p>
        </w:tc>
        <w:tc>
          <w:tcPr>
            <w:tcW w:w="1162" w:type="dxa"/>
            <w:tcBorders>
              <w:top w:val="nil"/>
              <w:left w:val="nil"/>
              <w:bottom w:val="nil"/>
              <w:right w:val="nil"/>
            </w:tcBorders>
            <w:shd w:val="clear" w:color="auto" w:fill="auto"/>
            <w:noWrap/>
            <w:vAlign w:val="center"/>
          </w:tcPr>
          <w:p w:rsidR="005D2840" w:rsidRPr="008D4286" w:rsidRDefault="006305DC"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10.8</w:t>
            </w:r>
            <w:r w:rsidR="003C5695">
              <w:rPr>
                <w:rFonts w:ascii="Calibri" w:eastAsia="Times New Roman" w:hAnsi="Calibri" w:cs="Calibri"/>
                <w:color w:val="000000"/>
                <w:sz w:val="22"/>
              </w:rPr>
              <w:t>0</w:t>
            </w:r>
            <w:r>
              <w:rPr>
                <w:rFonts w:ascii="Calibri" w:eastAsia="Times New Roman" w:hAnsi="Calibri" w:cs="Calibri"/>
                <w:color w:val="000000"/>
                <w:sz w:val="22"/>
              </w:rPr>
              <w:t>%</w:t>
            </w:r>
          </w:p>
        </w:tc>
        <w:tc>
          <w:tcPr>
            <w:tcW w:w="1187" w:type="dxa"/>
            <w:tcBorders>
              <w:top w:val="nil"/>
              <w:left w:val="nil"/>
              <w:bottom w:val="nil"/>
              <w:right w:val="nil"/>
            </w:tcBorders>
            <w:shd w:val="clear" w:color="auto" w:fill="auto"/>
            <w:noWrap/>
            <w:vAlign w:val="center"/>
          </w:tcPr>
          <w:p w:rsidR="005D2840" w:rsidRPr="008D4286" w:rsidRDefault="006305DC"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0.2337</w:t>
            </w:r>
          </w:p>
        </w:tc>
        <w:tc>
          <w:tcPr>
            <w:tcW w:w="1350" w:type="dxa"/>
            <w:tcBorders>
              <w:top w:val="nil"/>
              <w:left w:val="nil"/>
              <w:bottom w:val="nil"/>
              <w:right w:val="nil"/>
            </w:tcBorders>
            <w:shd w:val="clear" w:color="auto" w:fill="auto"/>
            <w:noWrap/>
            <w:vAlign w:val="center"/>
          </w:tcPr>
          <w:p w:rsidR="005D2840" w:rsidRPr="008D4286" w:rsidRDefault="001B262E"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0.1704</w:t>
            </w:r>
          </w:p>
        </w:tc>
      </w:tr>
      <w:tr w:rsidR="005D2840" w:rsidRPr="008D4286" w:rsidTr="006305DC">
        <w:trPr>
          <w:trHeight w:val="300"/>
        </w:trPr>
        <w:tc>
          <w:tcPr>
            <w:tcW w:w="1905" w:type="dxa"/>
            <w:tcBorders>
              <w:top w:val="nil"/>
              <w:left w:val="nil"/>
              <w:bottom w:val="nil"/>
              <w:right w:val="nil"/>
            </w:tcBorders>
            <w:shd w:val="clear" w:color="auto" w:fill="auto"/>
            <w:noWrap/>
            <w:vAlign w:val="bottom"/>
          </w:tcPr>
          <w:p w:rsidR="005D2840" w:rsidRPr="008D4286" w:rsidRDefault="005D2840" w:rsidP="009F3A00">
            <w:pPr>
              <w:contextualSpacing w:val="0"/>
              <w:rPr>
                <w:rFonts w:ascii="Calibri" w:eastAsia="Times New Roman" w:hAnsi="Calibri" w:cs="Calibri"/>
                <w:color w:val="000000"/>
                <w:sz w:val="22"/>
              </w:rPr>
            </w:pPr>
            <w:r>
              <w:rPr>
                <w:rFonts w:ascii="Calibri" w:eastAsia="Times New Roman" w:hAnsi="Calibri" w:cs="Calibri"/>
                <w:color w:val="000000"/>
                <w:sz w:val="22"/>
              </w:rPr>
              <w:t>Avg20(trade=20)</w:t>
            </w:r>
          </w:p>
        </w:tc>
        <w:tc>
          <w:tcPr>
            <w:tcW w:w="990" w:type="dxa"/>
            <w:tcBorders>
              <w:top w:val="nil"/>
              <w:left w:val="nil"/>
              <w:bottom w:val="nil"/>
              <w:right w:val="nil"/>
            </w:tcBorders>
            <w:vAlign w:val="center"/>
          </w:tcPr>
          <w:p w:rsidR="005D2840" w:rsidRDefault="005D2840" w:rsidP="009F3A00">
            <w:pPr>
              <w:jc w:val="right"/>
              <w:rPr>
                <w:rFonts w:ascii="Calibri" w:hAnsi="Calibri" w:cs="Calibri"/>
                <w:color w:val="000000"/>
                <w:sz w:val="22"/>
              </w:rPr>
            </w:pPr>
            <w:r>
              <w:rPr>
                <w:rFonts w:ascii="Calibri" w:hAnsi="Calibri" w:cs="Calibri"/>
                <w:color w:val="000000"/>
                <w:sz w:val="22"/>
              </w:rPr>
              <w:t>6.1</w:t>
            </w:r>
            <w:r w:rsidRPr="00A1558F">
              <w:rPr>
                <w:rFonts w:ascii="Calibri" w:hAnsi="Calibri" w:cs="Calibri"/>
                <w:color w:val="000000"/>
                <w:sz w:val="22"/>
              </w:rPr>
              <w:t>%</w:t>
            </w:r>
          </w:p>
        </w:tc>
        <w:tc>
          <w:tcPr>
            <w:tcW w:w="1268" w:type="dxa"/>
            <w:tcBorders>
              <w:top w:val="nil"/>
              <w:left w:val="nil"/>
              <w:bottom w:val="nil"/>
              <w:right w:val="nil"/>
            </w:tcBorders>
            <w:shd w:val="clear" w:color="auto" w:fill="auto"/>
            <w:noWrap/>
            <w:vAlign w:val="center"/>
          </w:tcPr>
          <w:p w:rsidR="005D2840" w:rsidRDefault="006305DC" w:rsidP="009F3A00">
            <w:pPr>
              <w:jc w:val="right"/>
              <w:rPr>
                <w:rFonts w:ascii="Calibri" w:hAnsi="Calibri" w:cs="Calibri"/>
                <w:color w:val="000000"/>
                <w:sz w:val="22"/>
              </w:rPr>
            </w:pPr>
            <w:r>
              <w:rPr>
                <w:rFonts w:ascii="Calibri" w:hAnsi="Calibri" w:cs="Calibri"/>
                <w:color w:val="000000"/>
                <w:sz w:val="22"/>
              </w:rPr>
              <w:t>-0.1%</w:t>
            </w:r>
          </w:p>
        </w:tc>
        <w:tc>
          <w:tcPr>
            <w:tcW w:w="1162" w:type="dxa"/>
            <w:tcBorders>
              <w:top w:val="nil"/>
              <w:left w:val="nil"/>
              <w:bottom w:val="nil"/>
              <w:right w:val="nil"/>
            </w:tcBorders>
            <w:shd w:val="clear" w:color="auto" w:fill="auto"/>
            <w:noWrap/>
            <w:vAlign w:val="center"/>
          </w:tcPr>
          <w:p w:rsidR="005D2840" w:rsidRDefault="006305DC" w:rsidP="009F3A00">
            <w:pPr>
              <w:jc w:val="right"/>
              <w:rPr>
                <w:rFonts w:ascii="Calibri" w:hAnsi="Calibri" w:cs="Calibri"/>
                <w:color w:val="000000"/>
                <w:sz w:val="22"/>
              </w:rPr>
            </w:pPr>
            <w:r>
              <w:rPr>
                <w:rFonts w:ascii="Calibri" w:hAnsi="Calibri" w:cs="Calibri"/>
                <w:color w:val="000000"/>
                <w:sz w:val="22"/>
              </w:rPr>
              <w:t>35.13%</w:t>
            </w:r>
          </w:p>
        </w:tc>
        <w:tc>
          <w:tcPr>
            <w:tcW w:w="1187" w:type="dxa"/>
            <w:tcBorders>
              <w:top w:val="nil"/>
              <w:left w:val="nil"/>
              <w:bottom w:val="nil"/>
              <w:right w:val="nil"/>
            </w:tcBorders>
            <w:shd w:val="clear" w:color="auto" w:fill="auto"/>
            <w:noWrap/>
            <w:vAlign w:val="center"/>
          </w:tcPr>
          <w:p w:rsidR="005D2840" w:rsidRDefault="006305DC" w:rsidP="009F3A00">
            <w:pPr>
              <w:jc w:val="right"/>
              <w:rPr>
                <w:rFonts w:ascii="Calibri" w:hAnsi="Calibri" w:cs="Calibri"/>
                <w:color w:val="000000"/>
                <w:sz w:val="22"/>
              </w:rPr>
            </w:pPr>
            <w:r>
              <w:rPr>
                <w:rFonts w:ascii="Calibri" w:hAnsi="Calibri" w:cs="Calibri"/>
                <w:color w:val="000000"/>
                <w:sz w:val="22"/>
              </w:rPr>
              <w:t>-0.0039</w:t>
            </w:r>
          </w:p>
        </w:tc>
        <w:tc>
          <w:tcPr>
            <w:tcW w:w="1350" w:type="dxa"/>
            <w:tcBorders>
              <w:top w:val="nil"/>
              <w:left w:val="nil"/>
              <w:bottom w:val="nil"/>
              <w:right w:val="nil"/>
            </w:tcBorders>
            <w:shd w:val="clear" w:color="auto" w:fill="auto"/>
            <w:noWrap/>
            <w:vAlign w:val="center"/>
          </w:tcPr>
          <w:p w:rsidR="005D2840" w:rsidRDefault="006305DC" w:rsidP="001B262E">
            <w:pPr>
              <w:jc w:val="right"/>
              <w:rPr>
                <w:rFonts w:ascii="Calibri" w:hAnsi="Calibri" w:cs="Calibri"/>
                <w:color w:val="000000"/>
                <w:sz w:val="22"/>
              </w:rPr>
            </w:pPr>
            <w:r>
              <w:rPr>
                <w:rFonts w:ascii="Calibri" w:hAnsi="Calibri" w:cs="Calibri"/>
                <w:color w:val="000000"/>
                <w:sz w:val="22"/>
              </w:rPr>
              <w:t>-0.00</w:t>
            </w:r>
            <w:r w:rsidR="001B262E">
              <w:rPr>
                <w:rFonts w:ascii="Calibri" w:hAnsi="Calibri" w:cs="Calibri"/>
                <w:color w:val="000000"/>
                <w:sz w:val="22"/>
              </w:rPr>
              <w:t>37</w:t>
            </w:r>
          </w:p>
        </w:tc>
      </w:tr>
      <w:tr w:rsidR="005D2840" w:rsidRPr="008D4286" w:rsidTr="006305DC">
        <w:trPr>
          <w:trHeight w:val="300"/>
        </w:trPr>
        <w:tc>
          <w:tcPr>
            <w:tcW w:w="1905" w:type="dxa"/>
            <w:tcBorders>
              <w:top w:val="nil"/>
              <w:left w:val="nil"/>
              <w:bottom w:val="nil"/>
              <w:right w:val="nil"/>
            </w:tcBorders>
            <w:shd w:val="clear" w:color="auto" w:fill="auto"/>
            <w:noWrap/>
            <w:vAlign w:val="bottom"/>
            <w:hideMark/>
          </w:tcPr>
          <w:p w:rsidR="005D2840" w:rsidRPr="008D4286" w:rsidRDefault="005D2840" w:rsidP="009F3A00">
            <w:pPr>
              <w:contextualSpacing w:val="0"/>
              <w:rPr>
                <w:rFonts w:ascii="Calibri" w:eastAsia="Times New Roman" w:hAnsi="Calibri" w:cs="Calibri"/>
                <w:color w:val="000000"/>
                <w:sz w:val="22"/>
              </w:rPr>
            </w:pPr>
            <w:r w:rsidRPr="008D4286">
              <w:rPr>
                <w:rFonts w:ascii="Calibri" w:eastAsia="Times New Roman" w:hAnsi="Calibri" w:cs="Calibri"/>
                <w:color w:val="000000"/>
                <w:sz w:val="22"/>
              </w:rPr>
              <w:t>Avg</w:t>
            </w:r>
            <w:r>
              <w:rPr>
                <w:rFonts w:ascii="Calibri" w:eastAsia="Times New Roman" w:hAnsi="Calibri" w:cs="Calibri"/>
                <w:color w:val="000000"/>
                <w:sz w:val="22"/>
              </w:rPr>
              <w:t>20</w:t>
            </w:r>
            <w:r w:rsidRPr="008D4286">
              <w:rPr>
                <w:rFonts w:ascii="Calibri" w:eastAsia="Times New Roman" w:hAnsi="Calibri" w:cs="Calibri"/>
                <w:color w:val="000000"/>
                <w:sz w:val="22"/>
              </w:rPr>
              <w:t>(</w:t>
            </w:r>
            <w:r>
              <w:rPr>
                <w:rFonts w:ascii="Calibri" w:eastAsia="Times New Roman" w:hAnsi="Calibri" w:cs="Calibri"/>
                <w:color w:val="000000"/>
                <w:sz w:val="22"/>
              </w:rPr>
              <w:t>trade=</w:t>
            </w:r>
            <w:r w:rsidRPr="008D4286">
              <w:rPr>
                <w:rFonts w:ascii="Calibri" w:eastAsia="Times New Roman" w:hAnsi="Calibri" w:cs="Calibri"/>
                <w:color w:val="000000"/>
                <w:sz w:val="22"/>
              </w:rPr>
              <w:t>5)</w:t>
            </w:r>
          </w:p>
        </w:tc>
        <w:tc>
          <w:tcPr>
            <w:tcW w:w="990" w:type="dxa"/>
            <w:tcBorders>
              <w:top w:val="nil"/>
              <w:left w:val="nil"/>
              <w:bottom w:val="nil"/>
              <w:right w:val="nil"/>
            </w:tcBorders>
            <w:vAlign w:val="center"/>
          </w:tcPr>
          <w:p w:rsidR="005D2840" w:rsidRDefault="005D2840" w:rsidP="009F3A00">
            <w:pPr>
              <w:jc w:val="right"/>
              <w:rPr>
                <w:rFonts w:ascii="Calibri" w:hAnsi="Calibri" w:cs="Calibri"/>
                <w:color w:val="000000"/>
                <w:sz w:val="22"/>
              </w:rPr>
            </w:pPr>
            <w:r>
              <w:rPr>
                <w:rFonts w:ascii="Calibri" w:hAnsi="Calibri" w:cs="Calibri"/>
                <w:color w:val="000000"/>
                <w:sz w:val="22"/>
              </w:rPr>
              <w:t>7.5%</w:t>
            </w:r>
          </w:p>
        </w:tc>
        <w:tc>
          <w:tcPr>
            <w:tcW w:w="1268" w:type="dxa"/>
            <w:tcBorders>
              <w:top w:val="nil"/>
              <w:left w:val="nil"/>
              <w:bottom w:val="nil"/>
              <w:right w:val="nil"/>
            </w:tcBorders>
            <w:shd w:val="clear" w:color="auto" w:fill="auto"/>
            <w:noWrap/>
            <w:vAlign w:val="center"/>
            <w:hideMark/>
          </w:tcPr>
          <w:p w:rsidR="005D2840" w:rsidRPr="008D4286" w:rsidRDefault="006305DC"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2.0%</w:t>
            </w:r>
          </w:p>
        </w:tc>
        <w:tc>
          <w:tcPr>
            <w:tcW w:w="1162" w:type="dxa"/>
            <w:tcBorders>
              <w:top w:val="nil"/>
              <w:left w:val="nil"/>
              <w:bottom w:val="nil"/>
              <w:right w:val="nil"/>
            </w:tcBorders>
            <w:shd w:val="clear" w:color="auto" w:fill="auto"/>
            <w:noWrap/>
            <w:vAlign w:val="center"/>
            <w:hideMark/>
          </w:tcPr>
          <w:p w:rsidR="005D2840" w:rsidRPr="008D4286" w:rsidRDefault="006305DC"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32.97%</w:t>
            </w:r>
          </w:p>
        </w:tc>
        <w:tc>
          <w:tcPr>
            <w:tcW w:w="1187" w:type="dxa"/>
            <w:tcBorders>
              <w:top w:val="nil"/>
              <w:left w:val="nil"/>
              <w:bottom w:val="nil"/>
              <w:right w:val="nil"/>
            </w:tcBorders>
            <w:shd w:val="clear" w:color="auto" w:fill="auto"/>
            <w:noWrap/>
            <w:vAlign w:val="center"/>
            <w:hideMark/>
          </w:tcPr>
          <w:p w:rsidR="005D2840" w:rsidRPr="008D4286" w:rsidRDefault="006305DC"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0.0604</w:t>
            </w:r>
          </w:p>
        </w:tc>
        <w:tc>
          <w:tcPr>
            <w:tcW w:w="1350" w:type="dxa"/>
            <w:tcBorders>
              <w:top w:val="nil"/>
              <w:left w:val="nil"/>
              <w:bottom w:val="nil"/>
              <w:right w:val="nil"/>
            </w:tcBorders>
            <w:shd w:val="clear" w:color="auto" w:fill="auto"/>
            <w:noWrap/>
            <w:vAlign w:val="center"/>
            <w:hideMark/>
          </w:tcPr>
          <w:p w:rsidR="005D2840" w:rsidRPr="008D4286" w:rsidRDefault="006305DC" w:rsidP="001B262E">
            <w:pPr>
              <w:contextualSpacing w:val="0"/>
              <w:jc w:val="right"/>
              <w:rPr>
                <w:rFonts w:ascii="Calibri" w:eastAsia="Times New Roman" w:hAnsi="Calibri" w:cs="Calibri"/>
                <w:color w:val="000000"/>
                <w:sz w:val="22"/>
              </w:rPr>
            </w:pPr>
            <w:r>
              <w:rPr>
                <w:rFonts w:ascii="Calibri" w:eastAsia="Times New Roman" w:hAnsi="Calibri" w:cs="Calibri"/>
                <w:color w:val="000000"/>
                <w:sz w:val="22"/>
              </w:rPr>
              <w:t>0.0</w:t>
            </w:r>
            <w:r w:rsidR="001B262E">
              <w:rPr>
                <w:rFonts w:ascii="Calibri" w:eastAsia="Times New Roman" w:hAnsi="Calibri" w:cs="Calibri"/>
                <w:color w:val="000000"/>
                <w:sz w:val="22"/>
              </w:rPr>
              <w:t>545</w:t>
            </w:r>
          </w:p>
        </w:tc>
      </w:tr>
    </w:tbl>
    <w:p w:rsidR="005D2840" w:rsidRDefault="005D2840" w:rsidP="005D2840"/>
    <w:p w:rsidR="00101390" w:rsidRDefault="00101390" w:rsidP="005D2840">
      <w:r>
        <w:t>The period around 2008-2009 was a very turbulent time for stocks.  Perhaps we should remove this from our data set.  Even when we do this, the results are still similar:</w:t>
      </w:r>
    </w:p>
    <w:p w:rsidR="00101390" w:rsidRPr="005D2840" w:rsidRDefault="00101390" w:rsidP="005D2840">
      <w:r w:rsidRPr="005D2840">
        <w:t xml:space="preserve"> </w:t>
      </w:r>
    </w:p>
    <w:p w:rsidR="005D2840" w:rsidRPr="006305DC" w:rsidRDefault="006305DC" w:rsidP="006305DC">
      <w:pPr>
        <w:rPr>
          <w:i/>
        </w:rPr>
      </w:pPr>
      <w:r w:rsidRPr="006305DC">
        <w:rPr>
          <w:i/>
        </w:rPr>
        <w:t>90-Day Returns (starting 6/2/2010)</w:t>
      </w:r>
    </w:p>
    <w:p w:rsidR="006305DC" w:rsidRDefault="006305DC" w:rsidP="006305DC"/>
    <w:tbl>
      <w:tblPr>
        <w:tblW w:w="7862" w:type="dxa"/>
        <w:tblInd w:w="93" w:type="dxa"/>
        <w:tblLook w:val="04A0" w:firstRow="1" w:lastRow="0" w:firstColumn="1" w:lastColumn="0" w:noHBand="0" w:noVBand="1"/>
      </w:tblPr>
      <w:tblGrid>
        <w:gridCol w:w="1905"/>
        <w:gridCol w:w="990"/>
        <w:gridCol w:w="1268"/>
        <w:gridCol w:w="1162"/>
        <w:gridCol w:w="1187"/>
        <w:gridCol w:w="1350"/>
      </w:tblGrid>
      <w:tr w:rsidR="006305DC" w:rsidRPr="008D4286" w:rsidTr="009F3A00">
        <w:trPr>
          <w:trHeight w:val="300"/>
        </w:trPr>
        <w:tc>
          <w:tcPr>
            <w:tcW w:w="1905" w:type="dxa"/>
            <w:tcBorders>
              <w:top w:val="nil"/>
              <w:left w:val="nil"/>
              <w:right w:val="nil"/>
            </w:tcBorders>
            <w:shd w:val="clear" w:color="auto" w:fill="auto"/>
            <w:noWrap/>
            <w:vAlign w:val="bottom"/>
          </w:tcPr>
          <w:p w:rsidR="006305DC" w:rsidRDefault="006305DC" w:rsidP="009F3A00">
            <w:pPr>
              <w:contextualSpacing w:val="0"/>
              <w:rPr>
                <w:rFonts w:ascii="Calibri" w:eastAsia="Times New Roman" w:hAnsi="Calibri" w:cs="Calibri"/>
                <w:color w:val="000000"/>
                <w:sz w:val="22"/>
              </w:rPr>
            </w:pPr>
          </w:p>
        </w:tc>
        <w:tc>
          <w:tcPr>
            <w:tcW w:w="990" w:type="dxa"/>
            <w:tcBorders>
              <w:top w:val="nil"/>
              <w:left w:val="nil"/>
              <w:right w:val="nil"/>
            </w:tcBorders>
            <w:vAlign w:val="center"/>
          </w:tcPr>
          <w:p w:rsidR="006305DC" w:rsidRDefault="006305DC" w:rsidP="009F3A00">
            <w:pPr>
              <w:contextualSpacing w:val="0"/>
              <w:jc w:val="right"/>
              <w:rPr>
                <w:rFonts w:ascii="Calibri" w:eastAsia="Times New Roman" w:hAnsi="Calibri" w:cs="Calibri"/>
                <w:color w:val="000000"/>
                <w:sz w:val="22"/>
              </w:rPr>
            </w:pPr>
          </w:p>
        </w:tc>
        <w:tc>
          <w:tcPr>
            <w:tcW w:w="4967" w:type="dxa"/>
            <w:gridSpan w:val="4"/>
            <w:tcBorders>
              <w:top w:val="nil"/>
              <w:left w:val="nil"/>
              <w:bottom w:val="single" w:sz="4" w:space="0" w:color="auto"/>
              <w:right w:val="nil"/>
            </w:tcBorders>
            <w:shd w:val="clear" w:color="auto" w:fill="auto"/>
            <w:noWrap/>
            <w:vAlign w:val="center"/>
          </w:tcPr>
          <w:p w:rsidR="006305DC" w:rsidRPr="008D4286" w:rsidRDefault="006305DC" w:rsidP="009F3A00">
            <w:pPr>
              <w:contextualSpacing w:val="0"/>
              <w:jc w:val="center"/>
              <w:rPr>
                <w:rFonts w:ascii="Calibri" w:eastAsia="Times New Roman" w:hAnsi="Calibri" w:cs="Calibri"/>
                <w:color w:val="000000"/>
                <w:sz w:val="22"/>
              </w:rPr>
            </w:pPr>
            <w:r>
              <w:rPr>
                <w:rFonts w:ascii="Calibri" w:eastAsia="Times New Roman" w:hAnsi="Calibri" w:cs="Calibri"/>
                <w:color w:val="000000"/>
                <w:sz w:val="22"/>
              </w:rPr>
              <w:t>Log Returns</w:t>
            </w:r>
          </w:p>
        </w:tc>
      </w:tr>
      <w:tr w:rsidR="006305DC" w:rsidRPr="008D4286" w:rsidTr="009F3A00">
        <w:trPr>
          <w:trHeight w:val="300"/>
        </w:trPr>
        <w:tc>
          <w:tcPr>
            <w:tcW w:w="1905" w:type="dxa"/>
            <w:tcBorders>
              <w:left w:val="nil"/>
              <w:bottom w:val="single" w:sz="4" w:space="0" w:color="auto"/>
              <w:right w:val="nil"/>
            </w:tcBorders>
            <w:shd w:val="clear" w:color="auto" w:fill="auto"/>
            <w:noWrap/>
            <w:vAlign w:val="bottom"/>
            <w:hideMark/>
          </w:tcPr>
          <w:p w:rsidR="006305DC" w:rsidRPr="008D4286" w:rsidRDefault="006305DC" w:rsidP="009F3A00">
            <w:pPr>
              <w:contextualSpacing w:val="0"/>
              <w:rPr>
                <w:rFonts w:ascii="Calibri" w:eastAsia="Times New Roman" w:hAnsi="Calibri" w:cs="Calibri"/>
                <w:color w:val="000000"/>
                <w:sz w:val="22"/>
              </w:rPr>
            </w:pPr>
            <w:r>
              <w:rPr>
                <w:rFonts w:ascii="Calibri" w:eastAsia="Times New Roman" w:hAnsi="Calibri" w:cs="Calibri"/>
                <w:color w:val="000000"/>
                <w:sz w:val="22"/>
              </w:rPr>
              <w:t>Method</w:t>
            </w:r>
          </w:p>
        </w:tc>
        <w:tc>
          <w:tcPr>
            <w:tcW w:w="990" w:type="dxa"/>
            <w:tcBorders>
              <w:left w:val="nil"/>
              <w:bottom w:val="single" w:sz="4" w:space="0" w:color="auto"/>
              <w:right w:val="nil"/>
            </w:tcBorders>
            <w:vAlign w:val="center"/>
          </w:tcPr>
          <w:p w:rsidR="006305DC" w:rsidRPr="008D4286" w:rsidRDefault="006305DC"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 xml:space="preserve">Avg. </w:t>
            </w:r>
          </w:p>
        </w:tc>
        <w:tc>
          <w:tcPr>
            <w:tcW w:w="1268" w:type="dxa"/>
            <w:tcBorders>
              <w:top w:val="nil"/>
              <w:left w:val="nil"/>
              <w:bottom w:val="single" w:sz="4" w:space="0" w:color="auto"/>
              <w:right w:val="nil"/>
            </w:tcBorders>
            <w:shd w:val="clear" w:color="auto" w:fill="auto"/>
            <w:noWrap/>
            <w:vAlign w:val="center"/>
            <w:hideMark/>
          </w:tcPr>
          <w:p w:rsidR="006305DC" w:rsidRPr="008D4286" w:rsidRDefault="006305DC"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Avg. Return</w:t>
            </w:r>
          </w:p>
        </w:tc>
        <w:tc>
          <w:tcPr>
            <w:tcW w:w="1162" w:type="dxa"/>
            <w:tcBorders>
              <w:top w:val="nil"/>
              <w:left w:val="nil"/>
              <w:bottom w:val="single" w:sz="4" w:space="0" w:color="auto"/>
              <w:right w:val="nil"/>
            </w:tcBorders>
            <w:shd w:val="clear" w:color="auto" w:fill="auto"/>
            <w:noWrap/>
            <w:vAlign w:val="center"/>
            <w:hideMark/>
          </w:tcPr>
          <w:p w:rsidR="006305DC" w:rsidRPr="008D4286" w:rsidRDefault="006305DC" w:rsidP="009F3A00">
            <w:pPr>
              <w:contextualSpacing w:val="0"/>
              <w:jc w:val="right"/>
              <w:rPr>
                <w:rFonts w:ascii="Calibri" w:eastAsia="Times New Roman" w:hAnsi="Calibri" w:cs="Calibri"/>
                <w:color w:val="000000"/>
                <w:sz w:val="22"/>
              </w:rPr>
            </w:pPr>
            <w:proofErr w:type="spellStart"/>
            <w:r w:rsidRPr="008D4286">
              <w:rPr>
                <w:rFonts w:ascii="Calibri" w:eastAsia="Times New Roman" w:hAnsi="Calibri" w:cs="Calibri"/>
                <w:color w:val="000000"/>
                <w:sz w:val="22"/>
              </w:rPr>
              <w:t>Stdev</w:t>
            </w:r>
            <w:proofErr w:type="spellEnd"/>
          </w:p>
        </w:tc>
        <w:tc>
          <w:tcPr>
            <w:tcW w:w="1187" w:type="dxa"/>
            <w:tcBorders>
              <w:top w:val="nil"/>
              <w:left w:val="nil"/>
              <w:bottom w:val="single" w:sz="4" w:space="0" w:color="auto"/>
              <w:right w:val="nil"/>
            </w:tcBorders>
            <w:shd w:val="clear" w:color="auto" w:fill="auto"/>
            <w:noWrap/>
            <w:vAlign w:val="center"/>
            <w:hideMark/>
          </w:tcPr>
          <w:p w:rsidR="006305DC" w:rsidRPr="008D4286" w:rsidRDefault="006305DC" w:rsidP="009F3A00">
            <w:pPr>
              <w:contextualSpacing w:val="0"/>
              <w:jc w:val="right"/>
              <w:rPr>
                <w:rFonts w:ascii="Calibri" w:eastAsia="Times New Roman" w:hAnsi="Calibri" w:cs="Calibri"/>
                <w:color w:val="000000"/>
                <w:sz w:val="22"/>
              </w:rPr>
            </w:pPr>
            <w:r w:rsidRPr="008D4286">
              <w:rPr>
                <w:rFonts w:ascii="Calibri" w:eastAsia="Times New Roman" w:hAnsi="Calibri" w:cs="Calibri"/>
                <w:color w:val="000000"/>
                <w:sz w:val="22"/>
              </w:rPr>
              <w:t>Sharpe</w:t>
            </w:r>
          </w:p>
        </w:tc>
        <w:tc>
          <w:tcPr>
            <w:tcW w:w="1350" w:type="dxa"/>
            <w:tcBorders>
              <w:top w:val="nil"/>
              <w:left w:val="nil"/>
              <w:bottom w:val="single" w:sz="4" w:space="0" w:color="auto"/>
              <w:right w:val="nil"/>
            </w:tcBorders>
            <w:shd w:val="clear" w:color="auto" w:fill="auto"/>
            <w:noWrap/>
            <w:vAlign w:val="center"/>
            <w:hideMark/>
          </w:tcPr>
          <w:p w:rsidR="006305DC" w:rsidRPr="008D4286" w:rsidRDefault="006305DC" w:rsidP="009F3A00">
            <w:pPr>
              <w:contextualSpacing w:val="0"/>
              <w:jc w:val="right"/>
              <w:rPr>
                <w:rFonts w:ascii="Calibri" w:eastAsia="Times New Roman" w:hAnsi="Calibri" w:cs="Calibri"/>
                <w:color w:val="000000"/>
                <w:sz w:val="22"/>
              </w:rPr>
            </w:pPr>
            <w:proofErr w:type="spellStart"/>
            <w:r w:rsidRPr="008D4286">
              <w:rPr>
                <w:rFonts w:ascii="Calibri" w:eastAsia="Times New Roman" w:hAnsi="Calibri" w:cs="Calibri"/>
                <w:color w:val="000000"/>
                <w:sz w:val="22"/>
              </w:rPr>
              <w:t>Sortino</w:t>
            </w:r>
            <w:proofErr w:type="spellEnd"/>
          </w:p>
        </w:tc>
      </w:tr>
      <w:tr w:rsidR="006305DC" w:rsidRPr="008D4286" w:rsidTr="009F3A00">
        <w:trPr>
          <w:trHeight w:val="300"/>
        </w:trPr>
        <w:tc>
          <w:tcPr>
            <w:tcW w:w="1905" w:type="dxa"/>
            <w:tcBorders>
              <w:top w:val="nil"/>
              <w:left w:val="nil"/>
              <w:bottom w:val="nil"/>
              <w:right w:val="nil"/>
            </w:tcBorders>
            <w:shd w:val="clear" w:color="auto" w:fill="auto"/>
            <w:noWrap/>
            <w:vAlign w:val="bottom"/>
          </w:tcPr>
          <w:p w:rsidR="006305DC" w:rsidRPr="008D4286" w:rsidRDefault="006305DC" w:rsidP="009F3A00">
            <w:pPr>
              <w:contextualSpacing w:val="0"/>
              <w:rPr>
                <w:rFonts w:ascii="Calibri" w:eastAsia="Times New Roman" w:hAnsi="Calibri" w:cs="Calibri"/>
                <w:color w:val="000000"/>
                <w:sz w:val="22"/>
              </w:rPr>
            </w:pPr>
            <w:r w:rsidRPr="008D4286">
              <w:rPr>
                <w:rFonts w:ascii="Calibri" w:eastAsia="Times New Roman" w:hAnsi="Calibri" w:cs="Calibri"/>
                <w:color w:val="000000"/>
                <w:sz w:val="22"/>
              </w:rPr>
              <w:t>S&amp;P 500</w:t>
            </w:r>
          </w:p>
        </w:tc>
        <w:tc>
          <w:tcPr>
            <w:tcW w:w="990" w:type="dxa"/>
            <w:tcBorders>
              <w:top w:val="nil"/>
              <w:left w:val="nil"/>
              <w:bottom w:val="nil"/>
              <w:right w:val="nil"/>
            </w:tcBorders>
            <w:vAlign w:val="center"/>
          </w:tcPr>
          <w:p w:rsidR="006305DC" w:rsidRDefault="006305DC" w:rsidP="009F3A00">
            <w:pPr>
              <w:jc w:val="right"/>
              <w:rPr>
                <w:rFonts w:ascii="Calibri" w:hAnsi="Calibri" w:cs="Calibri"/>
                <w:color w:val="000000"/>
                <w:sz w:val="22"/>
              </w:rPr>
            </w:pPr>
            <w:r>
              <w:rPr>
                <w:rFonts w:ascii="Calibri" w:hAnsi="Calibri" w:cs="Calibri"/>
                <w:color w:val="000000"/>
                <w:sz w:val="22"/>
              </w:rPr>
              <w:t>3.9%</w:t>
            </w:r>
          </w:p>
        </w:tc>
        <w:tc>
          <w:tcPr>
            <w:tcW w:w="1268" w:type="dxa"/>
            <w:tcBorders>
              <w:top w:val="nil"/>
              <w:left w:val="nil"/>
              <w:bottom w:val="nil"/>
              <w:right w:val="nil"/>
            </w:tcBorders>
            <w:shd w:val="clear" w:color="auto" w:fill="auto"/>
            <w:noWrap/>
            <w:vAlign w:val="center"/>
          </w:tcPr>
          <w:p w:rsidR="006305DC" w:rsidRPr="008D4286" w:rsidRDefault="006305DC"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3.7%</w:t>
            </w:r>
          </w:p>
        </w:tc>
        <w:tc>
          <w:tcPr>
            <w:tcW w:w="1162" w:type="dxa"/>
            <w:tcBorders>
              <w:top w:val="nil"/>
              <w:left w:val="nil"/>
              <w:bottom w:val="nil"/>
              <w:right w:val="nil"/>
            </w:tcBorders>
            <w:shd w:val="clear" w:color="auto" w:fill="auto"/>
            <w:noWrap/>
            <w:vAlign w:val="center"/>
          </w:tcPr>
          <w:p w:rsidR="006305DC" w:rsidRPr="008D4286" w:rsidRDefault="006305DC"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6.2</w:t>
            </w:r>
            <w:r w:rsidR="003C5695">
              <w:rPr>
                <w:rFonts w:ascii="Calibri" w:eastAsia="Times New Roman" w:hAnsi="Calibri" w:cs="Calibri"/>
                <w:color w:val="000000"/>
                <w:sz w:val="22"/>
              </w:rPr>
              <w:t>0</w:t>
            </w:r>
            <w:r>
              <w:rPr>
                <w:rFonts w:ascii="Calibri" w:eastAsia="Times New Roman" w:hAnsi="Calibri" w:cs="Calibri"/>
                <w:color w:val="000000"/>
                <w:sz w:val="22"/>
              </w:rPr>
              <w:t>%</w:t>
            </w:r>
          </w:p>
        </w:tc>
        <w:tc>
          <w:tcPr>
            <w:tcW w:w="1187" w:type="dxa"/>
            <w:tcBorders>
              <w:top w:val="nil"/>
              <w:left w:val="nil"/>
              <w:bottom w:val="nil"/>
              <w:right w:val="nil"/>
            </w:tcBorders>
            <w:shd w:val="clear" w:color="auto" w:fill="auto"/>
            <w:noWrap/>
            <w:vAlign w:val="center"/>
          </w:tcPr>
          <w:p w:rsidR="006305DC" w:rsidRPr="008D4286" w:rsidRDefault="006305DC"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0.5901</w:t>
            </w:r>
          </w:p>
        </w:tc>
        <w:tc>
          <w:tcPr>
            <w:tcW w:w="1350" w:type="dxa"/>
            <w:tcBorders>
              <w:top w:val="nil"/>
              <w:left w:val="nil"/>
              <w:bottom w:val="nil"/>
              <w:right w:val="nil"/>
            </w:tcBorders>
            <w:shd w:val="clear" w:color="auto" w:fill="auto"/>
            <w:noWrap/>
            <w:vAlign w:val="center"/>
          </w:tcPr>
          <w:p w:rsidR="006305DC" w:rsidRPr="008D4286" w:rsidRDefault="001B262E"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0.5265</w:t>
            </w:r>
          </w:p>
        </w:tc>
      </w:tr>
      <w:tr w:rsidR="006305DC" w:rsidRPr="008D4286" w:rsidTr="009F3A00">
        <w:trPr>
          <w:trHeight w:val="300"/>
        </w:trPr>
        <w:tc>
          <w:tcPr>
            <w:tcW w:w="1905" w:type="dxa"/>
            <w:tcBorders>
              <w:top w:val="nil"/>
              <w:left w:val="nil"/>
              <w:bottom w:val="nil"/>
              <w:right w:val="nil"/>
            </w:tcBorders>
            <w:shd w:val="clear" w:color="auto" w:fill="auto"/>
            <w:noWrap/>
            <w:vAlign w:val="bottom"/>
          </w:tcPr>
          <w:p w:rsidR="006305DC" w:rsidRPr="008D4286" w:rsidRDefault="006305DC" w:rsidP="009F3A00">
            <w:pPr>
              <w:contextualSpacing w:val="0"/>
              <w:rPr>
                <w:rFonts w:ascii="Calibri" w:eastAsia="Times New Roman" w:hAnsi="Calibri" w:cs="Calibri"/>
                <w:color w:val="000000"/>
                <w:sz w:val="22"/>
              </w:rPr>
            </w:pPr>
            <w:r>
              <w:rPr>
                <w:rFonts w:ascii="Calibri" w:eastAsia="Times New Roman" w:hAnsi="Calibri" w:cs="Calibri"/>
                <w:color w:val="000000"/>
                <w:sz w:val="22"/>
              </w:rPr>
              <w:t>Avg20(trade=20)</w:t>
            </w:r>
          </w:p>
        </w:tc>
        <w:tc>
          <w:tcPr>
            <w:tcW w:w="990" w:type="dxa"/>
            <w:tcBorders>
              <w:top w:val="nil"/>
              <w:left w:val="nil"/>
              <w:bottom w:val="nil"/>
              <w:right w:val="nil"/>
            </w:tcBorders>
            <w:vAlign w:val="center"/>
          </w:tcPr>
          <w:p w:rsidR="006305DC" w:rsidRDefault="006305DC" w:rsidP="009F3A00">
            <w:pPr>
              <w:jc w:val="right"/>
              <w:rPr>
                <w:rFonts w:ascii="Calibri" w:hAnsi="Calibri" w:cs="Calibri"/>
                <w:color w:val="000000"/>
                <w:sz w:val="22"/>
              </w:rPr>
            </w:pPr>
            <w:r>
              <w:rPr>
                <w:rFonts w:ascii="Calibri" w:hAnsi="Calibri" w:cs="Calibri"/>
                <w:color w:val="000000"/>
                <w:sz w:val="22"/>
              </w:rPr>
              <w:t>2.1%</w:t>
            </w:r>
          </w:p>
        </w:tc>
        <w:tc>
          <w:tcPr>
            <w:tcW w:w="1268" w:type="dxa"/>
            <w:tcBorders>
              <w:top w:val="nil"/>
              <w:left w:val="nil"/>
              <w:bottom w:val="nil"/>
              <w:right w:val="nil"/>
            </w:tcBorders>
            <w:shd w:val="clear" w:color="auto" w:fill="auto"/>
            <w:noWrap/>
            <w:vAlign w:val="center"/>
          </w:tcPr>
          <w:p w:rsidR="006305DC" w:rsidRDefault="006305DC" w:rsidP="009F3A00">
            <w:pPr>
              <w:jc w:val="right"/>
              <w:rPr>
                <w:rFonts w:ascii="Calibri" w:hAnsi="Calibri" w:cs="Calibri"/>
                <w:color w:val="000000"/>
                <w:sz w:val="22"/>
              </w:rPr>
            </w:pPr>
            <w:r>
              <w:rPr>
                <w:rFonts w:ascii="Calibri" w:hAnsi="Calibri" w:cs="Calibri"/>
                <w:color w:val="000000"/>
                <w:sz w:val="22"/>
              </w:rPr>
              <w:t>-2.2%</w:t>
            </w:r>
          </w:p>
        </w:tc>
        <w:tc>
          <w:tcPr>
            <w:tcW w:w="1162" w:type="dxa"/>
            <w:tcBorders>
              <w:top w:val="nil"/>
              <w:left w:val="nil"/>
              <w:bottom w:val="nil"/>
              <w:right w:val="nil"/>
            </w:tcBorders>
            <w:shd w:val="clear" w:color="auto" w:fill="auto"/>
            <w:noWrap/>
            <w:vAlign w:val="center"/>
          </w:tcPr>
          <w:p w:rsidR="006305DC" w:rsidRDefault="006305DC" w:rsidP="009F3A00">
            <w:pPr>
              <w:jc w:val="right"/>
              <w:rPr>
                <w:rFonts w:ascii="Calibri" w:hAnsi="Calibri" w:cs="Calibri"/>
                <w:color w:val="000000"/>
                <w:sz w:val="22"/>
              </w:rPr>
            </w:pPr>
            <w:r>
              <w:rPr>
                <w:rFonts w:ascii="Calibri" w:hAnsi="Calibri" w:cs="Calibri"/>
                <w:color w:val="000000"/>
                <w:sz w:val="22"/>
              </w:rPr>
              <w:t>29.71%</w:t>
            </w:r>
          </w:p>
        </w:tc>
        <w:tc>
          <w:tcPr>
            <w:tcW w:w="1187" w:type="dxa"/>
            <w:tcBorders>
              <w:top w:val="nil"/>
              <w:left w:val="nil"/>
              <w:bottom w:val="nil"/>
              <w:right w:val="nil"/>
            </w:tcBorders>
            <w:shd w:val="clear" w:color="auto" w:fill="auto"/>
            <w:noWrap/>
            <w:vAlign w:val="center"/>
          </w:tcPr>
          <w:p w:rsidR="006305DC" w:rsidRDefault="006305DC" w:rsidP="009F3A00">
            <w:pPr>
              <w:jc w:val="right"/>
              <w:rPr>
                <w:rFonts w:ascii="Calibri" w:hAnsi="Calibri" w:cs="Calibri"/>
                <w:color w:val="000000"/>
                <w:sz w:val="22"/>
              </w:rPr>
            </w:pPr>
            <w:r>
              <w:rPr>
                <w:rFonts w:ascii="Calibri" w:hAnsi="Calibri" w:cs="Calibri"/>
                <w:color w:val="000000"/>
                <w:sz w:val="22"/>
              </w:rPr>
              <w:t>-0.0741</w:t>
            </w:r>
          </w:p>
        </w:tc>
        <w:tc>
          <w:tcPr>
            <w:tcW w:w="1350" w:type="dxa"/>
            <w:tcBorders>
              <w:top w:val="nil"/>
              <w:left w:val="nil"/>
              <w:bottom w:val="nil"/>
              <w:right w:val="nil"/>
            </w:tcBorders>
            <w:shd w:val="clear" w:color="auto" w:fill="auto"/>
            <w:noWrap/>
            <w:vAlign w:val="center"/>
          </w:tcPr>
          <w:p w:rsidR="006305DC" w:rsidRDefault="006305DC" w:rsidP="001B262E">
            <w:pPr>
              <w:jc w:val="right"/>
              <w:rPr>
                <w:rFonts w:ascii="Calibri" w:hAnsi="Calibri" w:cs="Calibri"/>
                <w:color w:val="000000"/>
                <w:sz w:val="22"/>
              </w:rPr>
            </w:pPr>
            <w:r>
              <w:rPr>
                <w:rFonts w:ascii="Calibri" w:hAnsi="Calibri" w:cs="Calibri"/>
                <w:color w:val="000000"/>
                <w:sz w:val="22"/>
              </w:rPr>
              <w:t>-0.</w:t>
            </w:r>
            <w:r w:rsidR="001B262E">
              <w:rPr>
                <w:rFonts w:ascii="Calibri" w:hAnsi="Calibri" w:cs="Calibri"/>
                <w:color w:val="000000"/>
                <w:sz w:val="22"/>
              </w:rPr>
              <w:t>0687</w:t>
            </w:r>
          </w:p>
        </w:tc>
      </w:tr>
      <w:tr w:rsidR="006305DC" w:rsidRPr="008D4286" w:rsidTr="006305DC">
        <w:trPr>
          <w:trHeight w:val="300"/>
        </w:trPr>
        <w:tc>
          <w:tcPr>
            <w:tcW w:w="1905" w:type="dxa"/>
            <w:tcBorders>
              <w:top w:val="nil"/>
              <w:left w:val="nil"/>
              <w:bottom w:val="nil"/>
              <w:right w:val="nil"/>
            </w:tcBorders>
            <w:shd w:val="clear" w:color="auto" w:fill="auto"/>
            <w:noWrap/>
            <w:vAlign w:val="bottom"/>
            <w:hideMark/>
          </w:tcPr>
          <w:p w:rsidR="006305DC" w:rsidRPr="008D4286" w:rsidRDefault="006305DC" w:rsidP="009F3A00">
            <w:pPr>
              <w:contextualSpacing w:val="0"/>
              <w:rPr>
                <w:rFonts w:ascii="Calibri" w:eastAsia="Times New Roman" w:hAnsi="Calibri" w:cs="Calibri"/>
                <w:color w:val="000000"/>
                <w:sz w:val="22"/>
              </w:rPr>
            </w:pPr>
            <w:r w:rsidRPr="008D4286">
              <w:rPr>
                <w:rFonts w:ascii="Calibri" w:eastAsia="Times New Roman" w:hAnsi="Calibri" w:cs="Calibri"/>
                <w:color w:val="000000"/>
                <w:sz w:val="22"/>
              </w:rPr>
              <w:t>Avg</w:t>
            </w:r>
            <w:r>
              <w:rPr>
                <w:rFonts w:ascii="Calibri" w:eastAsia="Times New Roman" w:hAnsi="Calibri" w:cs="Calibri"/>
                <w:color w:val="000000"/>
                <w:sz w:val="22"/>
              </w:rPr>
              <w:t>20</w:t>
            </w:r>
            <w:r w:rsidRPr="008D4286">
              <w:rPr>
                <w:rFonts w:ascii="Calibri" w:eastAsia="Times New Roman" w:hAnsi="Calibri" w:cs="Calibri"/>
                <w:color w:val="000000"/>
                <w:sz w:val="22"/>
              </w:rPr>
              <w:t>(</w:t>
            </w:r>
            <w:r>
              <w:rPr>
                <w:rFonts w:ascii="Calibri" w:eastAsia="Times New Roman" w:hAnsi="Calibri" w:cs="Calibri"/>
                <w:color w:val="000000"/>
                <w:sz w:val="22"/>
              </w:rPr>
              <w:t>trade=</w:t>
            </w:r>
            <w:r w:rsidRPr="008D4286">
              <w:rPr>
                <w:rFonts w:ascii="Calibri" w:eastAsia="Times New Roman" w:hAnsi="Calibri" w:cs="Calibri"/>
                <w:color w:val="000000"/>
                <w:sz w:val="22"/>
              </w:rPr>
              <w:t>5)</w:t>
            </w:r>
          </w:p>
        </w:tc>
        <w:tc>
          <w:tcPr>
            <w:tcW w:w="990" w:type="dxa"/>
            <w:tcBorders>
              <w:top w:val="nil"/>
              <w:left w:val="nil"/>
              <w:bottom w:val="nil"/>
              <w:right w:val="nil"/>
            </w:tcBorders>
            <w:vAlign w:val="center"/>
          </w:tcPr>
          <w:p w:rsidR="006305DC" w:rsidRDefault="006305DC" w:rsidP="009F3A00">
            <w:pPr>
              <w:jc w:val="right"/>
              <w:rPr>
                <w:rFonts w:ascii="Calibri" w:hAnsi="Calibri" w:cs="Calibri"/>
                <w:color w:val="000000"/>
                <w:sz w:val="22"/>
              </w:rPr>
            </w:pPr>
            <w:r>
              <w:rPr>
                <w:rFonts w:ascii="Calibri" w:hAnsi="Calibri" w:cs="Calibri"/>
                <w:color w:val="000000"/>
                <w:sz w:val="22"/>
              </w:rPr>
              <w:t>5.1%</w:t>
            </w:r>
          </w:p>
        </w:tc>
        <w:tc>
          <w:tcPr>
            <w:tcW w:w="1268" w:type="dxa"/>
            <w:tcBorders>
              <w:top w:val="nil"/>
              <w:left w:val="nil"/>
              <w:bottom w:val="nil"/>
              <w:right w:val="nil"/>
            </w:tcBorders>
            <w:shd w:val="clear" w:color="auto" w:fill="auto"/>
            <w:noWrap/>
            <w:vAlign w:val="center"/>
          </w:tcPr>
          <w:p w:rsidR="006305DC" w:rsidRPr="008D4286" w:rsidRDefault="006305DC"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1.0%</w:t>
            </w:r>
          </w:p>
        </w:tc>
        <w:tc>
          <w:tcPr>
            <w:tcW w:w="1162" w:type="dxa"/>
            <w:tcBorders>
              <w:top w:val="nil"/>
              <w:left w:val="nil"/>
              <w:bottom w:val="nil"/>
              <w:right w:val="nil"/>
            </w:tcBorders>
            <w:shd w:val="clear" w:color="auto" w:fill="auto"/>
            <w:noWrap/>
            <w:vAlign w:val="center"/>
          </w:tcPr>
          <w:p w:rsidR="006305DC" w:rsidRPr="008D4286" w:rsidRDefault="006305DC"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28.35%</w:t>
            </w:r>
          </w:p>
        </w:tc>
        <w:tc>
          <w:tcPr>
            <w:tcW w:w="1187" w:type="dxa"/>
            <w:tcBorders>
              <w:top w:val="nil"/>
              <w:left w:val="nil"/>
              <w:bottom w:val="nil"/>
              <w:right w:val="nil"/>
            </w:tcBorders>
            <w:shd w:val="clear" w:color="auto" w:fill="auto"/>
            <w:noWrap/>
            <w:vAlign w:val="center"/>
          </w:tcPr>
          <w:p w:rsidR="006305DC" w:rsidRPr="008D4286" w:rsidRDefault="006305DC"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0.0356</w:t>
            </w:r>
          </w:p>
        </w:tc>
        <w:tc>
          <w:tcPr>
            <w:tcW w:w="1350" w:type="dxa"/>
            <w:tcBorders>
              <w:top w:val="nil"/>
              <w:left w:val="nil"/>
              <w:bottom w:val="nil"/>
              <w:right w:val="nil"/>
            </w:tcBorders>
            <w:shd w:val="clear" w:color="auto" w:fill="auto"/>
            <w:noWrap/>
            <w:vAlign w:val="center"/>
          </w:tcPr>
          <w:p w:rsidR="006305DC" w:rsidRPr="008D4286" w:rsidRDefault="006305DC" w:rsidP="001B262E">
            <w:pPr>
              <w:contextualSpacing w:val="0"/>
              <w:jc w:val="right"/>
              <w:rPr>
                <w:rFonts w:ascii="Calibri" w:eastAsia="Times New Roman" w:hAnsi="Calibri" w:cs="Calibri"/>
                <w:color w:val="000000"/>
                <w:sz w:val="22"/>
              </w:rPr>
            </w:pPr>
            <w:r>
              <w:rPr>
                <w:rFonts w:ascii="Calibri" w:eastAsia="Times New Roman" w:hAnsi="Calibri" w:cs="Calibri"/>
                <w:color w:val="000000"/>
                <w:sz w:val="22"/>
              </w:rPr>
              <w:t>0.0</w:t>
            </w:r>
            <w:r w:rsidR="001B262E">
              <w:rPr>
                <w:rFonts w:ascii="Calibri" w:eastAsia="Times New Roman" w:hAnsi="Calibri" w:cs="Calibri"/>
                <w:color w:val="000000"/>
                <w:sz w:val="22"/>
              </w:rPr>
              <w:t>327</w:t>
            </w:r>
          </w:p>
        </w:tc>
      </w:tr>
    </w:tbl>
    <w:p w:rsidR="006305DC" w:rsidRDefault="006305DC" w:rsidP="006305DC"/>
    <w:p w:rsidR="005D2840" w:rsidRDefault="00101390" w:rsidP="00101390">
      <w:r>
        <w:t>The next two tables present similar data for 250-day periods:</w:t>
      </w:r>
    </w:p>
    <w:p w:rsidR="00101390" w:rsidRDefault="00101390" w:rsidP="00101390"/>
    <w:p w:rsidR="00101390" w:rsidRPr="006305DC" w:rsidRDefault="00101390" w:rsidP="00101390">
      <w:pPr>
        <w:keepNext/>
        <w:rPr>
          <w:i/>
        </w:rPr>
      </w:pPr>
      <w:r>
        <w:rPr>
          <w:i/>
        </w:rPr>
        <w:lastRenderedPageBreak/>
        <w:t>250</w:t>
      </w:r>
      <w:r w:rsidRPr="006305DC">
        <w:rPr>
          <w:i/>
        </w:rPr>
        <w:t>-Day Returns (starting 6/2/2008)</w:t>
      </w:r>
    </w:p>
    <w:p w:rsidR="00101390" w:rsidRDefault="00101390" w:rsidP="00101390">
      <w:pPr>
        <w:keepNext/>
      </w:pPr>
    </w:p>
    <w:tbl>
      <w:tblPr>
        <w:tblW w:w="7862" w:type="dxa"/>
        <w:tblInd w:w="93" w:type="dxa"/>
        <w:tblLook w:val="04A0" w:firstRow="1" w:lastRow="0" w:firstColumn="1" w:lastColumn="0" w:noHBand="0" w:noVBand="1"/>
      </w:tblPr>
      <w:tblGrid>
        <w:gridCol w:w="1905"/>
        <w:gridCol w:w="990"/>
        <w:gridCol w:w="1268"/>
        <w:gridCol w:w="1162"/>
        <w:gridCol w:w="1187"/>
        <w:gridCol w:w="1350"/>
      </w:tblGrid>
      <w:tr w:rsidR="00101390" w:rsidRPr="008D4286" w:rsidTr="009F3A00">
        <w:trPr>
          <w:trHeight w:val="300"/>
        </w:trPr>
        <w:tc>
          <w:tcPr>
            <w:tcW w:w="1905" w:type="dxa"/>
            <w:tcBorders>
              <w:top w:val="nil"/>
              <w:left w:val="nil"/>
              <w:right w:val="nil"/>
            </w:tcBorders>
            <w:shd w:val="clear" w:color="auto" w:fill="auto"/>
            <w:noWrap/>
            <w:vAlign w:val="bottom"/>
          </w:tcPr>
          <w:p w:rsidR="00101390" w:rsidRDefault="00101390" w:rsidP="00101390">
            <w:pPr>
              <w:keepNext/>
              <w:contextualSpacing w:val="0"/>
              <w:rPr>
                <w:rFonts w:ascii="Calibri" w:eastAsia="Times New Roman" w:hAnsi="Calibri" w:cs="Calibri"/>
                <w:color w:val="000000"/>
                <w:sz w:val="22"/>
              </w:rPr>
            </w:pPr>
          </w:p>
        </w:tc>
        <w:tc>
          <w:tcPr>
            <w:tcW w:w="990" w:type="dxa"/>
            <w:tcBorders>
              <w:top w:val="nil"/>
              <w:left w:val="nil"/>
              <w:right w:val="nil"/>
            </w:tcBorders>
            <w:vAlign w:val="center"/>
          </w:tcPr>
          <w:p w:rsidR="00101390" w:rsidRDefault="00101390" w:rsidP="00101390">
            <w:pPr>
              <w:keepNext/>
              <w:contextualSpacing w:val="0"/>
              <w:jc w:val="right"/>
              <w:rPr>
                <w:rFonts w:ascii="Calibri" w:eastAsia="Times New Roman" w:hAnsi="Calibri" w:cs="Calibri"/>
                <w:color w:val="000000"/>
                <w:sz w:val="22"/>
              </w:rPr>
            </w:pPr>
          </w:p>
        </w:tc>
        <w:tc>
          <w:tcPr>
            <w:tcW w:w="4967" w:type="dxa"/>
            <w:gridSpan w:val="4"/>
            <w:tcBorders>
              <w:top w:val="nil"/>
              <w:left w:val="nil"/>
              <w:bottom w:val="single" w:sz="4" w:space="0" w:color="auto"/>
              <w:right w:val="nil"/>
            </w:tcBorders>
            <w:shd w:val="clear" w:color="auto" w:fill="auto"/>
            <w:noWrap/>
            <w:vAlign w:val="center"/>
          </w:tcPr>
          <w:p w:rsidR="00101390" w:rsidRPr="008D4286" w:rsidRDefault="00101390" w:rsidP="00101390">
            <w:pPr>
              <w:keepNext/>
              <w:contextualSpacing w:val="0"/>
              <w:jc w:val="center"/>
              <w:rPr>
                <w:rFonts w:ascii="Calibri" w:eastAsia="Times New Roman" w:hAnsi="Calibri" w:cs="Calibri"/>
                <w:color w:val="000000"/>
                <w:sz w:val="22"/>
              </w:rPr>
            </w:pPr>
            <w:r>
              <w:rPr>
                <w:rFonts w:ascii="Calibri" w:eastAsia="Times New Roman" w:hAnsi="Calibri" w:cs="Calibri"/>
                <w:color w:val="000000"/>
                <w:sz w:val="22"/>
              </w:rPr>
              <w:t>Log Returns</w:t>
            </w:r>
          </w:p>
        </w:tc>
      </w:tr>
      <w:tr w:rsidR="00101390" w:rsidRPr="008D4286" w:rsidTr="009F3A00">
        <w:trPr>
          <w:trHeight w:val="300"/>
        </w:trPr>
        <w:tc>
          <w:tcPr>
            <w:tcW w:w="1905" w:type="dxa"/>
            <w:tcBorders>
              <w:left w:val="nil"/>
              <w:bottom w:val="single" w:sz="4" w:space="0" w:color="auto"/>
              <w:right w:val="nil"/>
            </w:tcBorders>
            <w:shd w:val="clear" w:color="auto" w:fill="auto"/>
            <w:noWrap/>
            <w:vAlign w:val="bottom"/>
            <w:hideMark/>
          </w:tcPr>
          <w:p w:rsidR="00101390" w:rsidRPr="008D4286" w:rsidRDefault="00101390" w:rsidP="00101390">
            <w:pPr>
              <w:keepNext/>
              <w:contextualSpacing w:val="0"/>
              <w:rPr>
                <w:rFonts w:ascii="Calibri" w:eastAsia="Times New Roman" w:hAnsi="Calibri" w:cs="Calibri"/>
                <w:color w:val="000000"/>
                <w:sz w:val="22"/>
              </w:rPr>
            </w:pPr>
            <w:r>
              <w:rPr>
                <w:rFonts w:ascii="Calibri" w:eastAsia="Times New Roman" w:hAnsi="Calibri" w:cs="Calibri"/>
                <w:color w:val="000000"/>
                <w:sz w:val="22"/>
              </w:rPr>
              <w:t>Method</w:t>
            </w:r>
          </w:p>
        </w:tc>
        <w:tc>
          <w:tcPr>
            <w:tcW w:w="990" w:type="dxa"/>
            <w:tcBorders>
              <w:left w:val="nil"/>
              <w:bottom w:val="single" w:sz="4" w:space="0" w:color="auto"/>
              <w:right w:val="nil"/>
            </w:tcBorders>
            <w:vAlign w:val="center"/>
          </w:tcPr>
          <w:p w:rsidR="00101390" w:rsidRPr="008D4286" w:rsidRDefault="00101390" w:rsidP="00101390">
            <w:pPr>
              <w:keepNext/>
              <w:contextualSpacing w:val="0"/>
              <w:jc w:val="right"/>
              <w:rPr>
                <w:rFonts w:ascii="Calibri" w:eastAsia="Times New Roman" w:hAnsi="Calibri" w:cs="Calibri"/>
                <w:color w:val="000000"/>
                <w:sz w:val="22"/>
              </w:rPr>
            </w:pPr>
            <w:r>
              <w:rPr>
                <w:rFonts w:ascii="Calibri" w:eastAsia="Times New Roman" w:hAnsi="Calibri" w:cs="Calibri"/>
                <w:color w:val="000000"/>
                <w:sz w:val="22"/>
              </w:rPr>
              <w:t xml:space="preserve">Avg. </w:t>
            </w:r>
          </w:p>
        </w:tc>
        <w:tc>
          <w:tcPr>
            <w:tcW w:w="1268" w:type="dxa"/>
            <w:tcBorders>
              <w:top w:val="nil"/>
              <w:left w:val="nil"/>
              <w:bottom w:val="single" w:sz="4" w:space="0" w:color="auto"/>
              <w:right w:val="nil"/>
            </w:tcBorders>
            <w:shd w:val="clear" w:color="auto" w:fill="auto"/>
            <w:noWrap/>
            <w:vAlign w:val="center"/>
            <w:hideMark/>
          </w:tcPr>
          <w:p w:rsidR="00101390" w:rsidRPr="008D4286" w:rsidRDefault="00101390" w:rsidP="00101390">
            <w:pPr>
              <w:keepNext/>
              <w:contextualSpacing w:val="0"/>
              <w:jc w:val="right"/>
              <w:rPr>
                <w:rFonts w:ascii="Calibri" w:eastAsia="Times New Roman" w:hAnsi="Calibri" w:cs="Calibri"/>
                <w:color w:val="000000"/>
                <w:sz w:val="22"/>
              </w:rPr>
            </w:pPr>
            <w:r>
              <w:rPr>
                <w:rFonts w:ascii="Calibri" w:eastAsia="Times New Roman" w:hAnsi="Calibri" w:cs="Calibri"/>
                <w:color w:val="000000"/>
                <w:sz w:val="22"/>
              </w:rPr>
              <w:t>Avg. Return</w:t>
            </w:r>
          </w:p>
        </w:tc>
        <w:tc>
          <w:tcPr>
            <w:tcW w:w="1162" w:type="dxa"/>
            <w:tcBorders>
              <w:top w:val="nil"/>
              <w:left w:val="nil"/>
              <w:bottom w:val="single" w:sz="4" w:space="0" w:color="auto"/>
              <w:right w:val="nil"/>
            </w:tcBorders>
            <w:shd w:val="clear" w:color="auto" w:fill="auto"/>
            <w:noWrap/>
            <w:vAlign w:val="center"/>
            <w:hideMark/>
          </w:tcPr>
          <w:p w:rsidR="00101390" w:rsidRPr="008D4286" w:rsidRDefault="00101390" w:rsidP="00101390">
            <w:pPr>
              <w:keepNext/>
              <w:contextualSpacing w:val="0"/>
              <w:jc w:val="right"/>
              <w:rPr>
                <w:rFonts w:ascii="Calibri" w:eastAsia="Times New Roman" w:hAnsi="Calibri" w:cs="Calibri"/>
                <w:color w:val="000000"/>
                <w:sz w:val="22"/>
              </w:rPr>
            </w:pPr>
            <w:proofErr w:type="spellStart"/>
            <w:r w:rsidRPr="008D4286">
              <w:rPr>
                <w:rFonts w:ascii="Calibri" w:eastAsia="Times New Roman" w:hAnsi="Calibri" w:cs="Calibri"/>
                <w:color w:val="000000"/>
                <w:sz w:val="22"/>
              </w:rPr>
              <w:t>Stdev</w:t>
            </w:r>
            <w:proofErr w:type="spellEnd"/>
          </w:p>
        </w:tc>
        <w:tc>
          <w:tcPr>
            <w:tcW w:w="1187" w:type="dxa"/>
            <w:tcBorders>
              <w:top w:val="nil"/>
              <w:left w:val="nil"/>
              <w:bottom w:val="single" w:sz="4" w:space="0" w:color="auto"/>
              <w:right w:val="nil"/>
            </w:tcBorders>
            <w:shd w:val="clear" w:color="auto" w:fill="auto"/>
            <w:noWrap/>
            <w:vAlign w:val="center"/>
            <w:hideMark/>
          </w:tcPr>
          <w:p w:rsidR="00101390" w:rsidRPr="008D4286" w:rsidRDefault="00101390" w:rsidP="00101390">
            <w:pPr>
              <w:keepNext/>
              <w:contextualSpacing w:val="0"/>
              <w:jc w:val="right"/>
              <w:rPr>
                <w:rFonts w:ascii="Calibri" w:eastAsia="Times New Roman" w:hAnsi="Calibri" w:cs="Calibri"/>
                <w:color w:val="000000"/>
                <w:sz w:val="22"/>
              </w:rPr>
            </w:pPr>
            <w:r w:rsidRPr="008D4286">
              <w:rPr>
                <w:rFonts w:ascii="Calibri" w:eastAsia="Times New Roman" w:hAnsi="Calibri" w:cs="Calibri"/>
                <w:color w:val="000000"/>
                <w:sz w:val="22"/>
              </w:rPr>
              <w:t>Sharpe</w:t>
            </w:r>
          </w:p>
        </w:tc>
        <w:tc>
          <w:tcPr>
            <w:tcW w:w="1350" w:type="dxa"/>
            <w:tcBorders>
              <w:top w:val="nil"/>
              <w:left w:val="nil"/>
              <w:bottom w:val="single" w:sz="4" w:space="0" w:color="auto"/>
              <w:right w:val="nil"/>
            </w:tcBorders>
            <w:shd w:val="clear" w:color="auto" w:fill="auto"/>
            <w:noWrap/>
            <w:vAlign w:val="center"/>
            <w:hideMark/>
          </w:tcPr>
          <w:p w:rsidR="00101390" w:rsidRPr="008D4286" w:rsidRDefault="00101390" w:rsidP="00101390">
            <w:pPr>
              <w:keepNext/>
              <w:contextualSpacing w:val="0"/>
              <w:jc w:val="right"/>
              <w:rPr>
                <w:rFonts w:ascii="Calibri" w:eastAsia="Times New Roman" w:hAnsi="Calibri" w:cs="Calibri"/>
                <w:color w:val="000000"/>
                <w:sz w:val="22"/>
              </w:rPr>
            </w:pPr>
            <w:proofErr w:type="spellStart"/>
            <w:r w:rsidRPr="008D4286">
              <w:rPr>
                <w:rFonts w:ascii="Calibri" w:eastAsia="Times New Roman" w:hAnsi="Calibri" w:cs="Calibri"/>
                <w:color w:val="000000"/>
                <w:sz w:val="22"/>
              </w:rPr>
              <w:t>Sortino</w:t>
            </w:r>
            <w:proofErr w:type="spellEnd"/>
          </w:p>
        </w:tc>
      </w:tr>
      <w:tr w:rsidR="00101390" w:rsidRPr="008D4286" w:rsidTr="009F3A00">
        <w:trPr>
          <w:trHeight w:val="300"/>
        </w:trPr>
        <w:tc>
          <w:tcPr>
            <w:tcW w:w="1905" w:type="dxa"/>
            <w:tcBorders>
              <w:top w:val="nil"/>
              <w:left w:val="nil"/>
              <w:bottom w:val="nil"/>
              <w:right w:val="nil"/>
            </w:tcBorders>
            <w:shd w:val="clear" w:color="auto" w:fill="auto"/>
            <w:noWrap/>
            <w:vAlign w:val="bottom"/>
          </w:tcPr>
          <w:p w:rsidR="00101390" w:rsidRPr="008D4286" w:rsidRDefault="00101390" w:rsidP="00101390">
            <w:pPr>
              <w:keepNext/>
              <w:contextualSpacing w:val="0"/>
              <w:rPr>
                <w:rFonts w:ascii="Calibri" w:eastAsia="Times New Roman" w:hAnsi="Calibri" w:cs="Calibri"/>
                <w:color w:val="000000"/>
                <w:sz w:val="22"/>
              </w:rPr>
            </w:pPr>
            <w:r w:rsidRPr="008D4286">
              <w:rPr>
                <w:rFonts w:ascii="Calibri" w:eastAsia="Times New Roman" w:hAnsi="Calibri" w:cs="Calibri"/>
                <w:color w:val="000000"/>
                <w:sz w:val="22"/>
              </w:rPr>
              <w:t>S&amp;P 500</w:t>
            </w:r>
          </w:p>
        </w:tc>
        <w:tc>
          <w:tcPr>
            <w:tcW w:w="990" w:type="dxa"/>
            <w:tcBorders>
              <w:top w:val="nil"/>
              <w:left w:val="nil"/>
              <w:bottom w:val="nil"/>
              <w:right w:val="nil"/>
            </w:tcBorders>
            <w:vAlign w:val="center"/>
          </w:tcPr>
          <w:p w:rsidR="00101390" w:rsidRDefault="00101390" w:rsidP="00101390">
            <w:pPr>
              <w:keepNext/>
              <w:jc w:val="right"/>
              <w:rPr>
                <w:rFonts w:ascii="Calibri" w:hAnsi="Calibri" w:cs="Calibri"/>
                <w:color w:val="000000"/>
                <w:sz w:val="22"/>
              </w:rPr>
            </w:pPr>
            <w:r>
              <w:rPr>
                <w:rFonts w:ascii="Calibri" w:hAnsi="Calibri" w:cs="Calibri"/>
                <w:color w:val="000000"/>
                <w:sz w:val="22"/>
              </w:rPr>
              <w:t>11.4%</w:t>
            </w:r>
          </w:p>
        </w:tc>
        <w:tc>
          <w:tcPr>
            <w:tcW w:w="1268" w:type="dxa"/>
            <w:tcBorders>
              <w:top w:val="nil"/>
              <w:left w:val="nil"/>
              <w:bottom w:val="nil"/>
              <w:right w:val="nil"/>
            </w:tcBorders>
            <w:shd w:val="clear" w:color="auto" w:fill="auto"/>
            <w:noWrap/>
            <w:vAlign w:val="center"/>
          </w:tcPr>
          <w:p w:rsidR="00101390" w:rsidRPr="008D4286" w:rsidRDefault="00101390" w:rsidP="00101390">
            <w:pPr>
              <w:keepNext/>
              <w:contextualSpacing w:val="0"/>
              <w:jc w:val="right"/>
              <w:rPr>
                <w:rFonts w:ascii="Calibri" w:eastAsia="Times New Roman" w:hAnsi="Calibri" w:cs="Calibri"/>
                <w:color w:val="000000"/>
                <w:sz w:val="22"/>
              </w:rPr>
            </w:pPr>
            <w:r>
              <w:rPr>
                <w:rFonts w:ascii="Calibri" w:eastAsia="Times New Roman" w:hAnsi="Calibri" w:cs="Calibri"/>
                <w:color w:val="000000"/>
                <w:sz w:val="22"/>
              </w:rPr>
              <w:t>10.1%</w:t>
            </w:r>
          </w:p>
        </w:tc>
        <w:tc>
          <w:tcPr>
            <w:tcW w:w="1162" w:type="dxa"/>
            <w:tcBorders>
              <w:top w:val="nil"/>
              <w:left w:val="nil"/>
              <w:bottom w:val="nil"/>
              <w:right w:val="nil"/>
            </w:tcBorders>
            <w:shd w:val="clear" w:color="auto" w:fill="auto"/>
            <w:noWrap/>
            <w:vAlign w:val="center"/>
          </w:tcPr>
          <w:p w:rsidR="00101390" w:rsidRPr="008D4286" w:rsidRDefault="00101390" w:rsidP="00101390">
            <w:pPr>
              <w:keepNext/>
              <w:contextualSpacing w:val="0"/>
              <w:jc w:val="right"/>
              <w:rPr>
                <w:rFonts w:ascii="Calibri" w:eastAsia="Times New Roman" w:hAnsi="Calibri" w:cs="Calibri"/>
                <w:color w:val="000000"/>
                <w:sz w:val="22"/>
              </w:rPr>
            </w:pPr>
            <w:r>
              <w:rPr>
                <w:rFonts w:ascii="Calibri" w:eastAsia="Times New Roman" w:hAnsi="Calibri" w:cs="Calibri"/>
                <w:color w:val="000000"/>
                <w:sz w:val="22"/>
              </w:rPr>
              <w:t>12.0%</w:t>
            </w:r>
          </w:p>
        </w:tc>
        <w:tc>
          <w:tcPr>
            <w:tcW w:w="1187" w:type="dxa"/>
            <w:tcBorders>
              <w:top w:val="nil"/>
              <w:left w:val="nil"/>
              <w:bottom w:val="nil"/>
              <w:right w:val="nil"/>
            </w:tcBorders>
            <w:shd w:val="clear" w:color="auto" w:fill="auto"/>
            <w:noWrap/>
            <w:vAlign w:val="center"/>
          </w:tcPr>
          <w:p w:rsidR="00101390" w:rsidRPr="008D4286" w:rsidRDefault="00101390" w:rsidP="00101390">
            <w:pPr>
              <w:keepNext/>
              <w:contextualSpacing w:val="0"/>
              <w:jc w:val="right"/>
              <w:rPr>
                <w:rFonts w:ascii="Calibri" w:eastAsia="Times New Roman" w:hAnsi="Calibri" w:cs="Calibri"/>
                <w:color w:val="000000"/>
                <w:sz w:val="22"/>
              </w:rPr>
            </w:pPr>
            <w:r>
              <w:rPr>
                <w:rFonts w:ascii="Calibri" w:eastAsia="Times New Roman" w:hAnsi="Calibri" w:cs="Calibri"/>
                <w:color w:val="000000"/>
                <w:sz w:val="22"/>
              </w:rPr>
              <w:t>0.8423</w:t>
            </w:r>
          </w:p>
        </w:tc>
        <w:tc>
          <w:tcPr>
            <w:tcW w:w="1350" w:type="dxa"/>
            <w:tcBorders>
              <w:top w:val="nil"/>
              <w:left w:val="nil"/>
              <w:bottom w:val="nil"/>
              <w:right w:val="nil"/>
            </w:tcBorders>
            <w:shd w:val="clear" w:color="auto" w:fill="auto"/>
            <w:noWrap/>
            <w:vAlign w:val="center"/>
          </w:tcPr>
          <w:p w:rsidR="00101390" w:rsidRPr="008D4286" w:rsidRDefault="00101390" w:rsidP="00101390">
            <w:pPr>
              <w:keepNext/>
              <w:contextualSpacing w:val="0"/>
              <w:jc w:val="right"/>
              <w:rPr>
                <w:rFonts w:ascii="Calibri" w:eastAsia="Times New Roman" w:hAnsi="Calibri" w:cs="Calibri"/>
                <w:color w:val="000000"/>
                <w:sz w:val="22"/>
              </w:rPr>
            </w:pPr>
            <w:r>
              <w:rPr>
                <w:rFonts w:ascii="Calibri" w:eastAsia="Times New Roman" w:hAnsi="Calibri" w:cs="Calibri"/>
                <w:color w:val="000000"/>
                <w:sz w:val="22"/>
              </w:rPr>
              <w:t>0.8324</w:t>
            </w:r>
          </w:p>
        </w:tc>
      </w:tr>
      <w:tr w:rsidR="00101390" w:rsidRPr="008D4286" w:rsidTr="009F3A00">
        <w:trPr>
          <w:trHeight w:val="300"/>
        </w:trPr>
        <w:tc>
          <w:tcPr>
            <w:tcW w:w="1905" w:type="dxa"/>
            <w:tcBorders>
              <w:top w:val="nil"/>
              <w:left w:val="nil"/>
              <w:bottom w:val="nil"/>
              <w:right w:val="nil"/>
            </w:tcBorders>
            <w:shd w:val="clear" w:color="auto" w:fill="auto"/>
            <w:noWrap/>
            <w:vAlign w:val="bottom"/>
          </w:tcPr>
          <w:p w:rsidR="00101390" w:rsidRPr="008D4286" w:rsidRDefault="00101390" w:rsidP="00101390">
            <w:pPr>
              <w:keepNext/>
              <w:contextualSpacing w:val="0"/>
              <w:rPr>
                <w:rFonts w:ascii="Calibri" w:eastAsia="Times New Roman" w:hAnsi="Calibri" w:cs="Calibri"/>
                <w:color w:val="000000"/>
                <w:sz w:val="22"/>
              </w:rPr>
            </w:pPr>
            <w:r>
              <w:rPr>
                <w:rFonts w:ascii="Calibri" w:eastAsia="Times New Roman" w:hAnsi="Calibri" w:cs="Calibri"/>
                <w:color w:val="000000"/>
                <w:sz w:val="22"/>
              </w:rPr>
              <w:t>Avg20(trade=20)</w:t>
            </w:r>
          </w:p>
        </w:tc>
        <w:tc>
          <w:tcPr>
            <w:tcW w:w="990" w:type="dxa"/>
            <w:tcBorders>
              <w:top w:val="nil"/>
              <w:left w:val="nil"/>
              <w:bottom w:val="nil"/>
              <w:right w:val="nil"/>
            </w:tcBorders>
            <w:vAlign w:val="center"/>
          </w:tcPr>
          <w:p w:rsidR="00101390" w:rsidRDefault="00101390" w:rsidP="00101390">
            <w:pPr>
              <w:keepNext/>
              <w:jc w:val="right"/>
              <w:rPr>
                <w:rFonts w:ascii="Calibri" w:hAnsi="Calibri" w:cs="Calibri"/>
                <w:color w:val="000000"/>
                <w:sz w:val="22"/>
              </w:rPr>
            </w:pPr>
            <w:r>
              <w:rPr>
                <w:rFonts w:ascii="Calibri" w:hAnsi="Calibri" w:cs="Calibri"/>
                <w:color w:val="000000"/>
                <w:sz w:val="22"/>
              </w:rPr>
              <w:t>24.7%</w:t>
            </w:r>
          </w:p>
        </w:tc>
        <w:tc>
          <w:tcPr>
            <w:tcW w:w="1268" w:type="dxa"/>
            <w:tcBorders>
              <w:top w:val="nil"/>
              <w:left w:val="nil"/>
              <w:bottom w:val="nil"/>
              <w:right w:val="nil"/>
            </w:tcBorders>
            <w:shd w:val="clear" w:color="auto" w:fill="auto"/>
            <w:noWrap/>
            <w:vAlign w:val="center"/>
          </w:tcPr>
          <w:p w:rsidR="00101390" w:rsidRDefault="00101390" w:rsidP="00101390">
            <w:pPr>
              <w:keepNext/>
              <w:jc w:val="right"/>
              <w:rPr>
                <w:rFonts w:ascii="Calibri" w:hAnsi="Calibri" w:cs="Calibri"/>
                <w:color w:val="000000"/>
                <w:sz w:val="22"/>
              </w:rPr>
            </w:pPr>
            <w:r>
              <w:rPr>
                <w:rFonts w:ascii="Calibri" w:hAnsi="Calibri" w:cs="Calibri"/>
                <w:color w:val="000000"/>
                <w:sz w:val="22"/>
              </w:rPr>
              <w:t>5.5%</w:t>
            </w:r>
          </w:p>
        </w:tc>
        <w:tc>
          <w:tcPr>
            <w:tcW w:w="1162" w:type="dxa"/>
            <w:tcBorders>
              <w:top w:val="nil"/>
              <w:left w:val="nil"/>
              <w:bottom w:val="nil"/>
              <w:right w:val="nil"/>
            </w:tcBorders>
            <w:shd w:val="clear" w:color="auto" w:fill="auto"/>
            <w:noWrap/>
            <w:vAlign w:val="center"/>
          </w:tcPr>
          <w:p w:rsidR="00101390" w:rsidRDefault="00101390" w:rsidP="00101390">
            <w:pPr>
              <w:keepNext/>
              <w:jc w:val="right"/>
              <w:rPr>
                <w:rFonts w:ascii="Calibri" w:hAnsi="Calibri" w:cs="Calibri"/>
                <w:color w:val="000000"/>
                <w:sz w:val="22"/>
              </w:rPr>
            </w:pPr>
            <w:r>
              <w:rPr>
                <w:rFonts w:ascii="Calibri" w:hAnsi="Calibri" w:cs="Calibri"/>
                <w:color w:val="000000"/>
                <w:sz w:val="22"/>
              </w:rPr>
              <w:t>58.6%</w:t>
            </w:r>
          </w:p>
        </w:tc>
        <w:tc>
          <w:tcPr>
            <w:tcW w:w="1187" w:type="dxa"/>
            <w:tcBorders>
              <w:top w:val="nil"/>
              <w:left w:val="nil"/>
              <w:bottom w:val="nil"/>
              <w:right w:val="nil"/>
            </w:tcBorders>
            <w:shd w:val="clear" w:color="auto" w:fill="auto"/>
            <w:noWrap/>
            <w:vAlign w:val="center"/>
          </w:tcPr>
          <w:p w:rsidR="00101390" w:rsidRDefault="00101390" w:rsidP="00101390">
            <w:pPr>
              <w:keepNext/>
              <w:jc w:val="right"/>
              <w:rPr>
                <w:rFonts w:ascii="Calibri" w:hAnsi="Calibri" w:cs="Calibri"/>
                <w:color w:val="000000"/>
                <w:sz w:val="22"/>
              </w:rPr>
            </w:pPr>
            <w:r>
              <w:rPr>
                <w:rFonts w:ascii="Calibri" w:hAnsi="Calibri" w:cs="Calibri"/>
                <w:color w:val="000000"/>
                <w:sz w:val="22"/>
              </w:rPr>
              <w:t>0.0940</w:t>
            </w:r>
          </w:p>
        </w:tc>
        <w:tc>
          <w:tcPr>
            <w:tcW w:w="1350" w:type="dxa"/>
            <w:tcBorders>
              <w:top w:val="nil"/>
              <w:left w:val="nil"/>
              <w:bottom w:val="nil"/>
              <w:right w:val="nil"/>
            </w:tcBorders>
            <w:shd w:val="clear" w:color="auto" w:fill="auto"/>
            <w:noWrap/>
            <w:vAlign w:val="center"/>
          </w:tcPr>
          <w:p w:rsidR="00101390" w:rsidRDefault="00101390" w:rsidP="00101390">
            <w:pPr>
              <w:keepNext/>
              <w:jc w:val="right"/>
              <w:rPr>
                <w:rFonts w:ascii="Calibri" w:hAnsi="Calibri" w:cs="Calibri"/>
                <w:color w:val="000000"/>
                <w:sz w:val="22"/>
              </w:rPr>
            </w:pPr>
            <w:r>
              <w:rPr>
                <w:rFonts w:ascii="Calibri" w:hAnsi="Calibri" w:cs="Calibri"/>
                <w:color w:val="000000"/>
                <w:sz w:val="22"/>
              </w:rPr>
              <w:t>0.1392</w:t>
            </w:r>
          </w:p>
        </w:tc>
      </w:tr>
      <w:tr w:rsidR="00101390" w:rsidRPr="008D4286" w:rsidTr="00101390">
        <w:trPr>
          <w:trHeight w:val="300"/>
        </w:trPr>
        <w:tc>
          <w:tcPr>
            <w:tcW w:w="1905" w:type="dxa"/>
            <w:tcBorders>
              <w:top w:val="nil"/>
              <w:left w:val="nil"/>
              <w:bottom w:val="nil"/>
              <w:right w:val="nil"/>
            </w:tcBorders>
            <w:shd w:val="clear" w:color="auto" w:fill="auto"/>
            <w:noWrap/>
            <w:vAlign w:val="bottom"/>
            <w:hideMark/>
          </w:tcPr>
          <w:p w:rsidR="00101390" w:rsidRPr="008D4286" w:rsidRDefault="00101390" w:rsidP="00101390">
            <w:pPr>
              <w:keepNext/>
              <w:contextualSpacing w:val="0"/>
              <w:rPr>
                <w:rFonts w:ascii="Calibri" w:eastAsia="Times New Roman" w:hAnsi="Calibri" w:cs="Calibri"/>
                <w:color w:val="000000"/>
                <w:sz w:val="22"/>
              </w:rPr>
            </w:pPr>
            <w:r w:rsidRPr="008D4286">
              <w:rPr>
                <w:rFonts w:ascii="Calibri" w:eastAsia="Times New Roman" w:hAnsi="Calibri" w:cs="Calibri"/>
                <w:color w:val="000000"/>
                <w:sz w:val="22"/>
              </w:rPr>
              <w:t>Avg</w:t>
            </w:r>
            <w:r>
              <w:rPr>
                <w:rFonts w:ascii="Calibri" w:eastAsia="Times New Roman" w:hAnsi="Calibri" w:cs="Calibri"/>
                <w:color w:val="000000"/>
                <w:sz w:val="22"/>
              </w:rPr>
              <w:t>20</w:t>
            </w:r>
            <w:r w:rsidRPr="008D4286">
              <w:rPr>
                <w:rFonts w:ascii="Calibri" w:eastAsia="Times New Roman" w:hAnsi="Calibri" w:cs="Calibri"/>
                <w:color w:val="000000"/>
                <w:sz w:val="22"/>
              </w:rPr>
              <w:t>(</w:t>
            </w:r>
            <w:r>
              <w:rPr>
                <w:rFonts w:ascii="Calibri" w:eastAsia="Times New Roman" w:hAnsi="Calibri" w:cs="Calibri"/>
                <w:color w:val="000000"/>
                <w:sz w:val="22"/>
              </w:rPr>
              <w:t>trade=</w:t>
            </w:r>
            <w:r w:rsidRPr="008D4286">
              <w:rPr>
                <w:rFonts w:ascii="Calibri" w:eastAsia="Times New Roman" w:hAnsi="Calibri" w:cs="Calibri"/>
                <w:color w:val="000000"/>
                <w:sz w:val="22"/>
              </w:rPr>
              <w:t>5)</w:t>
            </w:r>
          </w:p>
        </w:tc>
        <w:tc>
          <w:tcPr>
            <w:tcW w:w="990" w:type="dxa"/>
            <w:tcBorders>
              <w:top w:val="nil"/>
              <w:left w:val="nil"/>
              <w:bottom w:val="nil"/>
              <w:right w:val="nil"/>
            </w:tcBorders>
            <w:vAlign w:val="center"/>
          </w:tcPr>
          <w:p w:rsidR="00101390" w:rsidRDefault="00101390" w:rsidP="00101390">
            <w:pPr>
              <w:keepNext/>
              <w:jc w:val="right"/>
              <w:rPr>
                <w:rFonts w:ascii="Calibri" w:hAnsi="Calibri" w:cs="Calibri"/>
                <w:color w:val="000000"/>
                <w:sz w:val="22"/>
              </w:rPr>
            </w:pPr>
            <w:r>
              <w:rPr>
                <w:rFonts w:ascii="Calibri" w:hAnsi="Calibri" w:cs="Calibri"/>
                <w:color w:val="000000"/>
                <w:sz w:val="22"/>
              </w:rPr>
              <w:t>28.5%</w:t>
            </w:r>
          </w:p>
        </w:tc>
        <w:tc>
          <w:tcPr>
            <w:tcW w:w="1268" w:type="dxa"/>
            <w:tcBorders>
              <w:top w:val="nil"/>
              <w:left w:val="nil"/>
              <w:bottom w:val="nil"/>
              <w:right w:val="nil"/>
            </w:tcBorders>
            <w:shd w:val="clear" w:color="auto" w:fill="auto"/>
            <w:noWrap/>
            <w:vAlign w:val="center"/>
          </w:tcPr>
          <w:p w:rsidR="00101390" w:rsidRPr="008D4286" w:rsidRDefault="00101390" w:rsidP="00101390">
            <w:pPr>
              <w:keepNext/>
              <w:contextualSpacing w:val="0"/>
              <w:jc w:val="right"/>
              <w:rPr>
                <w:rFonts w:ascii="Calibri" w:eastAsia="Times New Roman" w:hAnsi="Calibri" w:cs="Calibri"/>
                <w:color w:val="000000"/>
                <w:sz w:val="22"/>
              </w:rPr>
            </w:pPr>
            <w:r>
              <w:rPr>
                <w:rFonts w:ascii="Calibri" w:eastAsia="Times New Roman" w:hAnsi="Calibri" w:cs="Calibri"/>
                <w:color w:val="000000"/>
                <w:sz w:val="22"/>
              </w:rPr>
              <w:t>11.4%</w:t>
            </w:r>
          </w:p>
        </w:tc>
        <w:tc>
          <w:tcPr>
            <w:tcW w:w="1162" w:type="dxa"/>
            <w:tcBorders>
              <w:top w:val="nil"/>
              <w:left w:val="nil"/>
              <w:bottom w:val="nil"/>
              <w:right w:val="nil"/>
            </w:tcBorders>
            <w:shd w:val="clear" w:color="auto" w:fill="auto"/>
            <w:noWrap/>
            <w:vAlign w:val="center"/>
          </w:tcPr>
          <w:p w:rsidR="00101390" w:rsidRPr="008D4286" w:rsidRDefault="00101390" w:rsidP="00101390">
            <w:pPr>
              <w:keepNext/>
              <w:contextualSpacing w:val="0"/>
              <w:jc w:val="right"/>
              <w:rPr>
                <w:rFonts w:ascii="Calibri" w:eastAsia="Times New Roman" w:hAnsi="Calibri" w:cs="Calibri"/>
                <w:color w:val="000000"/>
                <w:sz w:val="22"/>
              </w:rPr>
            </w:pPr>
            <w:r>
              <w:rPr>
                <w:rFonts w:ascii="Calibri" w:eastAsia="Times New Roman" w:hAnsi="Calibri" w:cs="Calibri"/>
                <w:color w:val="000000"/>
                <w:sz w:val="22"/>
              </w:rPr>
              <w:t>53.4%</w:t>
            </w:r>
          </w:p>
        </w:tc>
        <w:tc>
          <w:tcPr>
            <w:tcW w:w="1187" w:type="dxa"/>
            <w:tcBorders>
              <w:top w:val="nil"/>
              <w:left w:val="nil"/>
              <w:bottom w:val="nil"/>
              <w:right w:val="nil"/>
            </w:tcBorders>
            <w:shd w:val="clear" w:color="auto" w:fill="auto"/>
            <w:noWrap/>
            <w:vAlign w:val="center"/>
          </w:tcPr>
          <w:p w:rsidR="00101390" w:rsidRPr="008D4286" w:rsidRDefault="00101390" w:rsidP="00101390">
            <w:pPr>
              <w:keepNext/>
              <w:contextualSpacing w:val="0"/>
              <w:jc w:val="right"/>
              <w:rPr>
                <w:rFonts w:ascii="Calibri" w:eastAsia="Times New Roman" w:hAnsi="Calibri" w:cs="Calibri"/>
                <w:color w:val="000000"/>
                <w:sz w:val="22"/>
              </w:rPr>
            </w:pPr>
            <w:r>
              <w:rPr>
                <w:rFonts w:ascii="Calibri" w:eastAsia="Times New Roman" w:hAnsi="Calibri" w:cs="Calibri"/>
                <w:color w:val="000000"/>
                <w:sz w:val="22"/>
              </w:rPr>
              <w:t>0.2133</w:t>
            </w:r>
          </w:p>
        </w:tc>
        <w:tc>
          <w:tcPr>
            <w:tcW w:w="1350" w:type="dxa"/>
            <w:tcBorders>
              <w:top w:val="nil"/>
              <w:left w:val="nil"/>
              <w:bottom w:val="nil"/>
              <w:right w:val="nil"/>
            </w:tcBorders>
            <w:shd w:val="clear" w:color="auto" w:fill="auto"/>
            <w:noWrap/>
            <w:vAlign w:val="center"/>
          </w:tcPr>
          <w:p w:rsidR="00101390" w:rsidRPr="008D4286" w:rsidRDefault="00101390" w:rsidP="00101390">
            <w:pPr>
              <w:keepNext/>
              <w:contextualSpacing w:val="0"/>
              <w:jc w:val="right"/>
              <w:rPr>
                <w:rFonts w:ascii="Calibri" w:eastAsia="Times New Roman" w:hAnsi="Calibri" w:cs="Calibri"/>
                <w:color w:val="000000"/>
                <w:sz w:val="22"/>
              </w:rPr>
            </w:pPr>
            <w:r>
              <w:rPr>
                <w:rFonts w:ascii="Calibri" w:eastAsia="Times New Roman" w:hAnsi="Calibri" w:cs="Calibri"/>
                <w:color w:val="000000"/>
                <w:sz w:val="22"/>
              </w:rPr>
              <w:t>0.3219</w:t>
            </w:r>
          </w:p>
        </w:tc>
      </w:tr>
    </w:tbl>
    <w:p w:rsidR="00101390" w:rsidRDefault="00101390" w:rsidP="00101390"/>
    <w:p w:rsidR="00101390" w:rsidRPr="006305DC" w:rsidRDefault="00101390" w:rsidP="00101390">
      <w:pPr>
        <w:rPr>
          <w:i/>
        </w:rPr>
      </w:pPr>
      <w:r>
        <w:rPr>
          <w:i/>
        </w:rPr>
        <w:t>250</w:t>
      </w:r>
      <w:r w:rsidRPr="006305DC">
        <w:rPr>
          <w:i/>
        </w:rPr>
        <w:t>-Day Returns (starting 6/2/2010)</w:t>
      </w:r>
    </w:p>
    <w:p w:rsidR="00101390" w:rsidRDefault="00101390" w:rsidP="00101390"/>
    <w:tbl>
      <w:tblPr>
        <w:tblW w:w="7862" w:type="dxa"/>
        <w:tblInd w:w="93" w:type="dxa"/>
        <w:tblLook w:val="04A0" w:firstRow="1" w:lastRow="0" w:firstColumn="1" w:lastColumn="0" w:noHBand="0" w:noVBand="1"/>
      </w:tblPr>
      <w:tblGrid>
        <w:gridCol w:w="1905"/>
        <w:gridCol w:w="990"/>
        <w:gridCol w:w="1268"/>
        <w:gridCol w:w="1162"/>
        <w:gridCol w:w="1187"/>
        <w:gridCol w:w="1350"/>
      </w:tblGrid>
      <w:tr w:rsidR="00101390" w:rsidRPr="008D4286" w:rsidTr="009F3A00">
        <w:trPr>
          <w:trHeight w:val="300"/>
        </w:trPr>
        <w:tc>
          <w:tcPr>
            <w:tcW w:w="1905" w:type="dxa"/>
            <w:tcBorders>
              <w:top w:val="nil"/>
              <w:left w:val="nil"/>
              <w:right w:val="nil"/>
            </w:tcBorders>
            <w:shd w:val="clear" w:color="auto" w:fill="auto"/>
            <w:noWrap/>
            <w:vAlign w:val="bottom"/>
          </w:tcPr>
          <w:p w:rsidR="00101390" w:rsidRDefault="00101390" w:rsidP="009F3A00">
            <w:pPr>
              <w:contextualSpacing w:val="0"/>
              <w:rPr>
                <w:rFonts w:ascii="Calibri" w:eastAsia="Times New Roman" w:hAnsi="Calibri" w:cs="Calibri"/>
                <w:color w:val="000000"/>
                <w:sz w:val="22"/>
              </w:rPr>
            </w:pPr>
          </w:p>
        </w:tc>
        <w:tc>
          <w:tcPr>
            <w:tcW w:w="990" w:type="dxa"/>
            <w:tcBorders>
              <w:top w:val="nil"/>
              <w:left w:val="nil"/>
              <w:right w:val="nil"/>
            </w:tcBorders>
            <w:vAlign w:val="center"/>
          </w:tcPr>
          <w:p w:rsidR="00101390" w:rsidRDefault="00101390" w:rsidP="009F3A00">
            <w:pPr>
              <w:contextualSpacing w:val="0"/>
              <w:jc w:val="right"/>
              <w:rPr>
                <w:rFonts w:ascii="Calibri" w:eastAsia="Times New Roman" w:hAnsi="Calibri" w:cs="Calibri"/>
                <w:color w:val="000000"/>
                <w:sz w:val="22"/>
              </w:rPr>
            </w:pPr>
          </w:p>
        </w:tc>
        <w:tc>
          <w:tcPr>
            <w:tcW w:w="4967" w:type="dxa"/>
            <w:gridSpan w:val="4"/>
            <w:tcBorders>
              <w:top w:val="nil"/>
              <w:left w:val="nil"/>
              <w:bottom w:val="single" w:sz="4" w:space="0" w:color="auto"/>
              <w:right w:val="nil"/>
            </w:tcBorders>
            <w:shd w:val="clear" w:color="auto" w:fill="auto"/>
            <w:noWrap/>
            <w:vAlign w:val="center"/>
          </w:tcPr>
          <w:p w:rsidR="00101390" w:rsidRPr="008D4286" w:rsidRDefault="00101390" w:rsidP="009F3A00">
            <w:pPr>
              <w:contextualSpacing w:val="0"/>
              <w:jc w:val="center"/>
              <w:rPr>
                <w:rFonts w:ascii="Calibri" w:eastAsia="Times New Roman" w:hAnsi="Calibri" w:cs="Calibri"/>
                <w:color w:val="000000"/>
                <w:sz w:val="22"/>
              </w:rPr>
            </w:pPr>
            <w:r>
              <w:rPr>
                <w:rFonts w:ascii="Calibri" w:eastAsia="Times New Roman" w:hAnsi="Calibri" w:cs="Calibri"/>
                <w:color w:val="000000"/>
                <w:sz w:val="22"/>
              </w:rPr>
              <w:t>Log Returns</w:t>
            </w:r>
          </w:p>
        </w:tc>
      </w:tr>
      <w:tr w:rsidR="00101390" w:rsidRPr="008D4286" w:rsidTr="009F3A00">
        <w:trPr>
          <w:trHeight w:val="300"/>
        </w:trPr>
        <w:tc>
          <w:tcPr>
            <w:tcW w:w="1905" w:type="dxa"/>
            <w:tcBorders>
              <w:left w:val="nil"/>
              <w:bottom w:val="single" w:sz="4" w:space="0" w:color="auto"/>
              <w:right w:val="nil"/>
            </w:tcBorders>
            <w:shd w:val="clear" w:color="auto" w:fill="auto"/>
            <w:noWrap/>
            <w:vAlign w:val="bottom"/>
            <w:hideMark/>
          </w:tcPr>
          <w:p w:rsidR="00101390" w:rsidRPr="008D4286" w:rsidRDefault="00101390" w:rsidP="009F3A00">
            <w:pPr>
              <w:contextualSpacing w:val="0"/>
              <w:rPr>
                <w:rFonts w:ascii="Calibri" w:eastAsia="Times New Roman" w:hAnsi="Calibri" w:cs="Calibri"/>
                <w:color w:val="000000"/>
                <w:sz w:val="22"/>
              </w:rPr>
            </w:pPr>
            <w:r>
              <w:rPr>
                <w:rFonts w:ascii="Calibri" w:eastAsia="Times New Roman" w:hAnsi="Calibri" w:cs="Calibri"/>
                <w:color w:val="000000"/>
                <w:sz w:val="22"/>
              </w:rPr>
              <w:t>Method</w:t>
            </w:r>
          </w:p>
        </w:tc>
        <w:tc>
          <w:tcPr>
            <w:tcW w:w="990" w:type="dxa"/>
            <w:tcBorders>
              <w:left w:val="nil"/>
              <w:bottom w:val="single" w:sz="4" w:space="0" w:color="auto"/>
              <w:right w:val="nil"/>
            </w:tcBorders>
            <w:vAlign w:val="center"/>
          </w:tcPr>
          <w:p w:rsidR="00101390" w:rsidRPr="008D4286" w:rsidRDefault="00101390"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 xml:space="preserve">Avg. </w:t>
            </w:r>
          </w:p>
        </w:tc>
        <w:tc>
          <w:tcPr>
            <w:tcW w:w="1268" w:type="dxa"/>
            <w:tcBorders>
              <w:top w:val="nil"/>
              <w:left w:val="nil"/>
              <w:bottom w:val="single" w:sz="4" w:space="0" w:color="auto"/>
              <w:right w:val="nil"/>
            </w:tcBorders>
            <w:shd w:val="clear" w:color="auto" w:fill="auto"/>
            <w:noWrap/>
            <w:vAlign w:val="center"/>
            <w:hideMark/>
          </w:tcPr>
          <w:p w:rsidR="00101390" w:rsidRPr="008D4286" w:rsidRDefault="00101390"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Avg. Return</w:t>
            </w:r>
          </w:p>
        </w:tc>
        <w:tc>
          <w:tcPr>
            <w:tcW w:w="1162" w:type="dxa"/>
            <w:tcBorders>
              <w:top w:val="nil"/>
              <w:left w:val="nil"/>
              <w:bottom w:val="single" w:sz="4" w:space="0" w:color="auto"/>
              <w:right w:val="nil"/>
            </w:tcBorders>
            <w:shd w:val="clear" w:color="auto" w:fill="auto"/>
            <w:noWrap/>
            <w:vAlign w:val="center"/>
            <w:hideMark/>
          </w:tcPr>
          <w:p w:rsidR="00101390" w:rsidRPr="008D4286" w:rsidRDefault="00101390" w:rsidP="009F3A00">
            <w:pPr>
              <w:contextualSpacing w:val="0"/>
              <w:jc w:val="right"/>
              <w:rPr>
                <w:rFonts w:ascii="Calibri" w:eastAsia="Times New Roman" w:hAnsi="Calibri" w:cs="Calibri"/>
                <w:color w:val="000000"/>
                <w:sz w:val="22"/>
              </w:rPr>
            </w:pPr>
            <w:proofErr w:type="spellStart"/>
            <w:r w:rsidRPr="008D4286">
              <w:rPr>
                <w:rFonts w:ascii="Calibri" w:eastAsia="Times New Roman" w:hAnsi="Calibri" w:cs="Calibri"/>
                <w:color w:val="000000"/>
                <w:sz w:val="22"/>
              </w:rPr>
              <w:t>Stdev</w:t>
            </w:r>
            <w:proofErr w:type="spellEnd"/>
          </w:p>
        </w:tc>
        <w:tc>
          <w:tcPr>
            <w:tcW w:w="1187" w:type="dxa"/>
            <w:tcBorders>
              <w:top w:val="nil"/>
              <w:left w:val="nil"/>
              <w:bottom w:val="single" w:sz="4" w:space="0" w:color="auto"/>
              <w:right w:val="nil"/>
            </w:tcBorders>
            <w:shd w:val="clear" w:color="auto" w:fill="auto"/>
            <w:noWrap/>
            <w:vAlign w:val="center"/>
            <w:hideMark/>
          </w:tcPr>
          <w:p w:rsidR="00101390" w:rsidRPr="008D4286" w:rsidRDefault="00101390" w:rsidP="009F3A00">
            <w:pPr>
              <w:contextualSpacing w:val="0"/>
              <w:jc w:val="right"/>
              <w:rPr>
                <w:rFonts w:ascii="Calibri" w:eastAsia="Times New Roman" w:hAnsi="Calibri" w:cs="Calibri"/>
                <w:color w:val="000000"/>
                <w:sz w:val="22"/>
              </w:rPr>
            </w:pPr>
            <w:r w:rsidRPr="008D4286">
              <w:rPr>
                <w:rFonts w:ascii="Calibri" w:eastAsia="Times New Roman" w:hAnsi="Calibri" w:cs="Calibri"/>
                <w:color w:val="000000"/>
                <w:sz w:val="22"/>
              </w:rPr>
              <w:t>Sharpe</w:t>
            </w:r>
          </w:p>
        </w:tc>
        <w:tc>
          <w:tcPr>
            <w:tcW w:w="1350" w:type="dxa"/>
            <w:tcBorders>
              <w:top w:val="nil"/>
              <w:left w:val="nil"/>
              <w:bottom w:val="single" w:sz="4" w:space="0" w:color="auto"/>
              <w:right w:val="nil"/>
            </w:tcBorders>
            <w:shd w:val="clear" w:color="auto" w:fill="auto"/>
            <w:noWrap/>
            <w:vAlign w:val="center"/>
            <w:hideMark/>
          </w:tcPr>
          <w:p w:rsidR="00101390" w:rsidRPr="008D4286" w:rsidRDefault="00101390" w:rsidP="009F3A00">
            <w:pPr>
              <w:contextualSpacing w:val="0"/>
              <w:jc w:val="right"/>
              <w:rPr>
                <w:rFonts w:ascii="Calibri" w:eastAsia="Times New Roman" w:hAnsi="Calibri" w:cs="Calibri"/>
                <w:color w:val="000000"/>
                <w:sz w:val="22"/>
              </w:rPr>
            </w:pPr>
            <w:proofErr w:type="spellStart"/>
            <w:r w:rsidRPr="008D4286">
              <w:rPr>
                <w:rFonts w:ascii="Calibri" w:eastAsia="Times New Roman" w:hAnsi="Calibri" w:cs="Calibri"/>
                <w:color w:val="000000"/>
                <w:sz w:val="22"/>
              </w:rPr>
              <w:t>Sortino</w:t>
            </w:r>
            <w:proofErr w:type="spellEnd"/>
          </w:p>
        </w:tc>
      </w:tr>
      <w:tr w:rsidR="00101390" w:rsidRPr="008D4286" w:rsidTr="009F3A00">
        <w:trPr>
          <w:trHeight w:val="300"/>
        </w:trPr>
        <w:tc>
          <w:tcPr>
            <w:tcW w:w="1905" w:type="dxa"/>
            <w:tcBorders>
              <w:top w:val="nil"/>
              <w:left w:val="nil"/>
              <w:bottom w:val="nil"/>
              <w:right w:val="nil"/>
            </w:tcBorders>
            <w:shd w:val="clear" w:color="auto" w:fill="auto"/>
            <w:noWrap/>
            <w:vAlign w:val="bottom"/>
          </w:tcPr>
          <w:p w:rsidR="00101390" w:rsidRPr="008D4286" w:rsidRDefault="00101390" w:rsidP="009F3A00">
            <w:pPr>
              <w:contextualSpacing w:val="0"/>
              <w:rPr>
                <w:rFonts w:ascii="Calibri" w:eastAsia="Times New Roman" w:hAnsi="Calibri" w:cs="Calibri"/>
                <w:color w:val="000000"/>
                <w:sz w:val="22"/>
              </w:rPr>
            </w:pPr>
            <w:r w:rsidRPr="008D4286">
              <w:rPr>
                <w:rFonts w:ascii="Calibri" w:eastAsia="Times New Roman" w:hAnsi="Calibri" w:cs="Calibri"/>
                <w:color w:val="000000"/>
                <w:sz w:val="22"/>
              </w:rPr>
              <w:t>S&amp;P 500</w:t>
            </w:r>
          </w:p>
        </w:tc>
        <w:tc>
          <w:tcPr>
            <w:tcW w:w="990" w:type="dxa"/>
            <w:tcBorders>
              <w:top w:val="nil"/>
              <w:left w:val="nil"/>
              <w:bottom w:val="nil"/>
              <w:right w:val="nil"/>
            </w:tcBorders>
            <w:vAlign w:val="center"/>
          </w:tcPr>
          <w:p w:rsidR="00101390" w:rsidRDefault="009C4CEA" w:rsidP="009F3A00">
            <w:pPr>
              <w:jc w:val="right"/>
              <w:rPr>
                <w:rFonts w:ascii="Calibri" w:hAnsi="Calibri" w:cs="Calibri"/>
                <w:color w:val="000000"/>
                <w:sz w:val="22"/>
              </w:rPr>
            </w:pPr>
            <w:r>
              <w:rPr>
                <w:rFonts w:ascii="Calibri" w:hAnsi="Calibri" w:cs="Calibri"/>
                <w:color w:val="000000"/>
                <w:sz w:val="22"/>
              </w:rPr>
              <w:t>11.0%</w:t>
            </w:r>
          </w:p>
        </w:tc>
        <w:tc>
          <w:tcPr>
            <w:tcW w:w="1268" w:type="dxa"/>
            <w:tcBorders>
              <w:top w:val="nil"/>
              <w:left w:val="nil"/>
              <w:bottom w:val="nil"/>
              <w:right w:val="nil"/>
            </w:tcBorders>
            <w:shd w:val="clear" w:color="auto" w:fill="auto"/>
            <w:noWrap/>
            <w:vAlign w:val="center"/>
          </w:tcPr>
          <w:p w:rsidR="00101390" w:rsidRPr="008D4286" w:rsidRDefault="009C4CEA"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10.1%</w:t>
            </w:r>
          </w:p>
        </w:tc>
        <w:tc>
          <w:tcPr>
            <w:tcW w:w="1162" w:type="dxa"/>
            <w:tcBorders>
              <w:top w:val="nil"/>
              <w:left w:val="nil"/>
              <w:bottom w:val="nil"/>
              <w:right w:val="nil"/>
            </w:tcBorders>
            <w:shd w:val="clear" w:color="auto" w:fill="auto"/>
            <w:noWrap/>
            <w:vAlign w:val="center"/>
          </w:tcPr>
          <w:p w:rsidR="00101390" w:rsidRPr="008D4286" w:rsidRDefault="009C4CEA"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8.1%</w:t>
            </w:r>
          </w:p>
        </w:tc>
        <w:tc>
          <w:tcPr>
            <w:tcW w:w="1187" w:type="dxa"/>
            <w:tcBorders>
              <w:top w:val="nil"/>
              <w:left w:val="nil"/>
              <w:bottom w:val="nil"/>
              <w:right w:val="nil"/>
            </w:tcBorders>
            <w:shd w:val="clear" w:color="auto" w:fill="auto"/>
            <w:noWrap/>
            <w:vAlign w:val="center"/>
          </w:tcPr>
          <w:p w:rsidR="00101390" w:rsidRPr="008D4286" w:rsidRDefault="009C4CEA"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1.2524</w:t>
            </w:r>
          </w:p>
        </w:tc>
        <w:tc>
          <w:tcPr>
            <w:tcW w:w="1350" w:type="dxa"/>
            <w:tcBorders>
              <w:top w:val="nil"/>
              <w:left w:val="nil"/>
              <w:bottom w:val="nil"/>
              <w:right w:val="nil"/>
            </w:tcBorders>
            <w:shd w:val="clear" w:color="auto" w:fill="auto"/>
            <w:noWrap/>
            <w:vAlign w:val="center"/>
          </w:tcPr>
          <w:p w:rsidR="00101390" w:rsidRPr="008D4286" w:rsidRDefault="009C4CEA"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1.1291</w:t>
            </w:r>
          </w:p>
        </w:tc>
      </w:tr>
      <w:tr w:rsidR="00101390" w:rsidRPr="008D4286" w:rsidTr="009F3A00">
        <w:trPr>
          <w:trHeight w:val="300"/>
        </w:trPr>
        <w:tc>
          <w:tcPr>
            <w:tcW w:w="1905" w:type="dxa"/>
            <w:tcBorders>
              <w:top w:val="nil"/>
              <w:left w:val="nil"/>
              <w:bottom w:val="nil"/>
              <w:right w:val="nil"/>
            </w:tcBorders>
            <w:shd w:val="clear" w:color="auto" w:fill="auto"/>
            <w:noWrap/>
            <w:vAlign w:val="bottom"/>
          </w:tcPr>
          <w:p w:rsidR="00101390" w:rsidRPr="008D4286" w:rsidRDefault="00101390" w:rsidP="009F3A00">
            <w:pPr>
              <w:contextualSpacing w:val="0"/>
              <w:rPr>
                <w:rFonts w:ascii="Calibri" w:eastAsia="Times New Roman" w:hAnsi="Calibri" w:cs="Calibri"/>
                <w:color w:val="000000"/>
                <w:sz w:val="22"/>
              </w:rPr>
            </w:pPr>
            <w:r>
              <w:rPr>
                <w:rFonts w:ascii="Calibri" w:eastAsia="Times New Roman" w:hAnsi="Calibri" w:cs="Calibri"/>
                <w:color w:val="000000"/>
                <w:sz w:val="22"/>
              </w:rPr>
              <w:t>Avg20(trade=20)</w:t>
            </w:r>
          </w:p>
        </w:tc>
        <w:tc>
          <w:tcPr>
            <w:tcW w:w="990" w:type="dxa"/>
            <w:tcBorders>
              <w:top w:val="nil"/>
              <w:left w:val="nil"/>
              <w:bottom w:val="nil"/>
              <w:right w:val="nil"/>
            </w:tcBorders>
            <w:vAlign w:val="center"/>
          </w:tcPr>
          <w:p w:rsidR="00101390" w:rsidRDefault="009C4CEA" w:rsidP="009F3A00">
            <w:pPr>
              <w:jc w:val="right"/>
              <w:rPr>
                <w:rFonts w:ascii="Calibri" w:hAnsi="Calibri" w:cs="Calibri"/>
                <w:color w:val="000000"/>
                <w:sz w:val="22"/>
              </w:rPr>
            </w:pPr>
            <w:r>
              <w:rPr>
                <w:rFonts w:ascii="Calibri" w:hAnsi="Calibri" w:cs="Calibri"/>
                <w:color w:val="000000"/>
                <w:sz w:val="22"/>
              </w:rPr>
              <w:t>11.0%</w:t>
            </w:r>
          </w:p>
        </w:tc>
        <w:tc>
          <w:tcPr>
            <w:tcW w:w="1268" w:type="dxa"/>
            <w:tcBorders>
              <w:top w:val="nil"/>
              <w:left w:val="nil"/>
              <w:bottom w:val="nil"/>
              <w:right w:val="nil"/>
            </w:tcBorders>
            <w:shd w:val="clear" w:color="auto" w:fill="auto"/>
            <w:noWrap/>
            <w:vAlign w:val="center"/>
          </w:tcPr>
          <w:p w:rsidR="00101390" w:rsidRDefault="009C4CEA" w:rsidP="009F3A00">
            <w:pPr>
              <w:jc w:val="right"/>
              <w:rPr>
                <w:rFonts w:ascii="Calibri" w:hAnsi="Calibri" w:cs="Calibri"/>
                <w:color w:val="000000"/>
                <w:sz w:val="22"/>
              </w:rPr>
            </w:pPr>
            <w:r>
              <w:rPr>
                <w:rFonts w:ascii="Calibri" w:hAnsi="Calibri" w:cs="Calibri"/>
                <w:color w:val="000000"/>
                <w:sz w:val="22"/>
              </w:rPr>
              <w:t>-4.7%</w:t>
            </w:r>
          </w:p>
        </w:tc>
        <w:tc>
          <w:tcPr>
            <w:tcW w:w="1162" w:type="dxa"/>
            <w:tcBorders>
              <w:top w:val="nil"/>
              <w:left w:val="nil"/>
              <w:bottom w:val="nil"/>
              <w:right w:val="nil"/>
            </w:tcBorders>
            <w:shd w:val="clear" w:color="auto" w:fill="auto"/>
            <w:noWrap/>
            <w:vAlign w:val="center"/>
          </w:tcPr>
          <w:p w:rsidR="00101390" w:rsidRDefault="009C4CEA" w:rsidP="009F3A00">
            <w:pPr>
              <w:jc w:val="right"/>
              <w:rPr>
                <w:rFonts w:ascii="Calibri" w:hAnsi="Calibri" w:cs="Calibri"/>
                <w:color w:val="000000"/>
                <w:sz w:val="22"/>
              </w:rPr>
            </w:pPr>
            <w:r>
              <w:rPr>
                <w:rFonts w:ascii="Calibri" w:hAnsi="Calibri" w:cs="Calibri"/>
                <w:color w:val="000000"/>
                <w:sz w:val="22"/>
              </w:rPr>
              <w:t>57.25%</w:t>
            </w:r>
          </w:p>
        </w:tc>
        <w:tc>
          <w:tcPr>
            <w:tcW w:w="1187" w:type="dxa"/>
            <w:tcBorders>
              <w:top w:val="nil"/>
              <w:left w:val="nil"/>
              <w:bottom w:val="nil"/>
              <w:right w:val="nil"/>
            </w:tcBorders>
            <w:shd w:val="clear" w:color="auto" w:fill="auto"/>
            <w:noWrap/>
            <w:vAlign w:val="center"/>
          </w:tcPr>
          <w:p w:rsidR="00101390" w:rsidRDefault="009C4CEA" w:rsidP="009F3A00">
            <w:pPr>
              <w:jc w:val="right"/>
              <w:rPr>
                <w:rFonts w:ascii="Calibri" w:hAnsi="Calibri" w:cs="Calibri"/>
                <w:color w:val="000000"/>
                <w:sz w:val="22"/>
              </w:rPr>
            </w:pPr>
            <w:r>
              <w:rPr>
                <w:rFonts w:ascii="Calibri" w:hAnsi="Calibri" w:cs="Calibri"/>
                <w:color w:val="000000"/>
                <w:sz w:val="22"/>
              </w:rPr>
              <w:t>-0.0817</w:t>
            </w:r>
          </w:p>
        </w:tc>
        <w:tc>
          <w:tcPr>
            <w:tcW w:w="1350" w:type="dxa"/>
            <w:tcBorders>
              <w:top w:val="nil"/>
              <w:left w:val="nil"/>
              <w:bottom w:val="nil"/>
              <w:right w:val="nil"/>
            </w:tcBorders>
            <w:shd w:val="clear" w:color="auto" w:fill="auto"/>
            <w:noWrap/>
            <w:vAlign w:val="center"/>
          </w:tcPr>
          <w:p w:rsidR="00101390" w:rsidRDefault="009C4CEA" w:rsidP="009C4CEA">
            <w:pPr>
              <w:jc w:val="right"/>
              <w:rPr>
                <w:rFonts w:ascii="Calibri" w:hAnsi="Calibri" w:cs="Calibri"/>
                <w:color w:val="000000"/>
                <w:sz w:val="22"/>
              </w:rPr>
            </w:pPr>
            <w:r>
              <w:rPr>
                <w:rFonts w:ascii="Calibri" w:hAnsi="Calibri" w:cs="Calibri"/>
                <w:color w:val="000000"/>
                <w:sz w:val="22"/>
              </w:rPr>
              <w:t>-0.0710</w:t>
            </w:r>
          </w:p>
        </w:tc>
      </w:tr>
      <w:tr w:rsidR="00101390" w:rsidRPr="008D4286" w:rsidTr="009F3A00">
        <w:trPr>
          <w:trHeight w:val="300"/>
        </w:trPr>
        <w:tc>
          <w:tcPr>
            <w:tcW w:w="1905" w:type="dxa"/>
            <w:tcBorders>
              <w:top w:val="nil"/>
              <w:left w:val="nil"/>
              <w:bottom w:val="nil"/>
              <w:right w:val="nil"/>
            </w:tcBorders>
            <w:shd w:val="clear" w:color="auto" w:fill="auto"/>
            <w:noWrap/>
            <w:vAlign w:val="bottom"/>
            <w:hideMark/>
          </w:tcPr>
          <w:p w:rsidR="00101390" w:rsidRPr="008D4286" w:rsidRDefault="00101390" w:rsidP="009F3A00">
            <w:pPr>
              <w:contextualSpacing w:val="0"/>
              <w:rPr>
                <w:rFonts w:ascii="Calibri" w:eastAsia="Times New Roman" w:hAnsi="Calibri" w:cs="Calibri"/>
                <w:color w:val="000000"/>
                <w:sz w:val="22"/>
              </w:rPr>
            </w:pPr>
            <w:r w:rsidRPr="008D4286">
              <w:rPr>
                <w:rFonts w:ascii="Calibri" w:eastAsia="Times New Roman" w:hAnsi="Calibri" w:cs="Calibri"/>
                <w:color w:val="000000"/>
                <w:sz w:val="22"/>
              </w:rPr>
              <w:t>Avg</w:t>
            </w:r>
            <w:r>
              <w:rPr>
                <w:rFonts w:ascii="Calibri" w:eastAsia="Times New Roman" w:hAnsi="Calibri" w:cs="Calibri"/>
                <w:color w:val="000000"/>
                <w:sz w:val="22"/>
              </w:rPr>
              <w:t>20</w:t>
            </w:r>
            <w:r w:rsidRPr="008D4286">
              <w:rPr>
                <w:rFonts w:ascii="Calibri" w:eastAsia="Times New Roman" w:hAnsi="Calibri" w:cs="Calibri"/>
                <w:color w:val="000000"/>
                <w:sz w:val="22"/>
              </w:rPr>
              <w:t>(</w:t>
            </w:r>
            <w:r>
              <w:rPr>
                <w:rFonts w:ascii="Calibri" w:eastAsia="Times New Roman" w:hAnsi="Calibri" w:cs="Calibri"/>
                <w:color w:val="000000"/>
                <w:sz w:val="22"/>
              </w:rPr>
              <w:t>trade=</w:t>
            </w:r>
            <w:r w:rsidRPr="008D4286">
              <w:rPr>
                <w:rFonts w:ascii="Calibri" w:eastAsia="Times New Roman" w:hAnsi="Calibri" w:cs="Calibri"/>
                <w:color w:val="000000"/>
                <w:sz w:val="22"/>
              </w:rPr>
              <w:t>5)</w:t>
            </w:r>
          </w:p>
        </w:tc>
        <w:tc>
          <w:tcPr>
            <w:tcW w:w="990" w:type="dxa"/>
            <w:tcBorders>
              <w:top w:val="nil"/>
              <w:left w:val="nil"/>
              <w:bottom w:val="nil"/>
              <w:right w:val="nil"/>
            </w:tcBorders>
            <w:vAlign w:val="center"/>
          </w:tcPr>
          <w:p w:rsidR="00101390" w:rsidRDefault="009C4CEA" w:rsidP="009F3A00">
            <w:pPr>
              <w:jc w:val="right"/>
              <w:rPr>
                <w:rFonts w:ascii="Calibri" w:hAnsi="Calibri" w:cs="Calibri"/>
                <w:color w:val="000000"/>
                <w:sz w:val="22"/>
              </w:rPr>
            </w:pPr>
            <w:r>
              <w:rPr>
                <w:rFonts w:ascii="Calibri" w:hAnsi="Calibri" w:cs="Calibri"/>
                <w:color w:val="000000"/>
                <w:sz w:val="22"/>
              </w:rPr>
              <w:t>18.5%</w:t>
            </w:r>
          </w:p>
        </w:tc>
        <w:tc>
          <w:tcPr>
            <w:tcW w:w="1268" w:type="dxa"/>
            <w:tcBorders>
              <w:top w:val="nil"/>
              <w:left w:val="nil"/>
              <w:bottom w:val="nil"/>
              <w:right w:val="nil"/>
            </w:tcBorders>
            <w:shd w:val="clear" w:color="auto" w:fill="auto"/>
            <w:noWrap/>
            <w:vAlign w:val="center"/>
          </w:tcPr>
          <w:p w:rsidR="00101390" w:rsidRPr="008D4286" w:rsidRDefault="009C4CEA"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3.6%</w:t>
            </w:r>
          </w:p>
        </w:tc>
        <w:tc>
          <w:tcPr>
            <w:tcW w:w="1162" w:type="dxa"/>
            <w:tcBorders>
              <w:top w:val="nil"/>
              <w:left w:val="nil"/>
              <w:bottom w:val="nil"/>
              <w:right w:val="nil"/>
            </w:tcBorders>
            <w:shd w:val="clear" w:color="auto" w:fill="auto"/>
            <w:noWrap/>
            <w:vAlign w:val="center"/>
          </w:tcPr>
          <w:p w:rsidR="00101390" w:rsidRPr="008D4286" w:rsidRDefault="009C4CEA"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53.37%</w:t>
            </w:r>
          </w:p>
        </w:tc>
        <w:tc>
          <w:tcPr>
            <w:tcW w:w="1187" w:type="dxa"/>
            <w:tcBorders>
              <w:top w:val="nil"/>
              <w:left w:val="nil"/>
              <w:bottom w:val="nil"/>
              <w:right w:val="nil"/>
            </w:tcBorders>
            <w:shd w:val="clear" w:color="auto" w:fill="auto"/>
            <w:noWrap/>
            <w:vAlign w:val="center"/>
          </w:tcPr>
          <w:p w:rsidR="00101390" w:rsidRPr="008D4286" w:rsidRDefault="009C4CEA"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0.6769</w:t>
            </w:r>
          </w:p>
        </w:tc>
        <w:tc>
          <w:tcPr>
            <w:tcW w:w="1350" w:type="dxa"/>
            <w:tcBorders>
              <w:top w:val="nil"/>
              <w:left w:val="nil"/>
              <w:bottom w:val="nil"/>
              <w:right w:val="nil"/>
            </w:tcBorders>
            <w:shd w:val="clear" w:color="auto" w:fill="auto"/>
            <w:noWrap/>
            <w:vAlign w:val="center"/>
          </w:tcPr>
          <w:p w:rsidR="00101390" w:rsidRPr="008D4286" w:rsidRDefault="009C4CEA" w:rsidP="009F3A00">
            <w:pPr>
              <w:contextualSpacing w:val="0"/>
              <w:jc w:val="right"/>
              <w:rPr>
                <w:rFonts w:ascii="Calibri" w:eastAsia="Times New Roman" w:hAnsi="Calibri" w:cs="Calibri"/>
                <w:color w:val="000000"/>
                <w:sz w:val="22"/>
              </w:rPr>
            </w:pPr>
            <w:r>
              <w:rPr>
                <w:rFonts w:ascii="Calibri" w:eastAsia="Times New Roman" w:hAnsi="Calibri" w:cs="Calibri"/>
                <w:color w:val="000000"/>
                <w:sz w:val="22"/>
              </w:rPr>
              <w:t>0.0592</w:t>
            </w:r>
          </w:p>
        </w:tc>
      </w:tr>
    </w:tbl>
    <w:p w:rsidR="00101390" w:rsidRDefault="00101390" w:rsidP="00101390"/>
    <w:p w:rsidR="001B262E" w:rsidRDefault="001B262E" w:rsidP="00101390">
      <w:r>
        <w:t xml:space="preserve">While the method that traded every 5 days did out-perform the market in the first table, it did not do so on a risk-adjusted basis.  When we omit the turbulent </w:t>
      </w:r>
      <w:proofErr w:type="gramStart"/>
      <w:r>
        <w:t>time periods</w:t>
      </w:r>
      <w:proofErr w:type="gramEnd"/>
      <w:r>
        <w:t xml:space="preserve"> from 2008-2009 it also fails to out-perform the market even on an unadjusted basis.</w:t>
      </w:r>
    </w:p>
    <w:p w:rsidR="001B262E" w:rsidRDefault="001B262E" w:rsidP="00101390"/>
    <w:p w:rsidR="001B262E" w:rsidRDefault="001B262E" w:rsidP="001B262E">
      <w:pPr>
        <w:pStyle w:val="Heading1"/>
      </w:pPr>
      <w:r>
        <w:t>Summary</w:t>
      </w:r>
    </w:p>
    <w:p w:rsidR="001B262E" w:rsidRDefault="001B262E" w:rsidP="00101390"/>
    <w:p w:rsidR="001B262E" w:rsidRDefault="001B262E" w:rsidP="00101390">
      <w:r>
        <w:t xml:space="preserve">Ultimately, the average return portfolio does not look like a good way to invest money.  While there are </w:t>
      </w:r>
      <w:proofErr w:type="gramStart"/>
      <w:r>
        <w:t>periods of time</w:t>
      </w:r>
      <w:proofErr w:type="gramEnd"/>
      <w:r>
        <w:t xml:space="preserve"> where this method is very profitable (such as 2009-2014, where a portfolio increased in value by 7x) these profits are erased in periods of times were the method performs poorly (such as 2015-2016 where it lost 80%).  Even without adjusting for risk, the long-term gains using this method are negligible or non-existent when comparing to the rest of the market.  On a risk-adjusted basis, the method performs even worse since it is increasing risk and variance substantially without increasing returns.</w:t>
      </w:r>
    </w:p>
    <w:p w:rsidR="000402B9" w:rsidRDefault="000402B9" w:rsidP="00101390"/>
    <w:p w:rsidR="00E8010B" w:rsidRDefault="000402B9" w:rsidP="00101390">
      <w:r>
        <w:t xml:space="preserve">Further investigation would be needed to try </w:t>
      </w:r>
      <w:proofErr w:type="gramStart"/>
      <w:r>
        <w:t>and</w:t>
      </w:r>
      <w:proofErr w:type="gramEnd"/>
      <w:r>
        <w:t xml:space="preserve"> determine what separates the good periods from the bad periods.  Perhaps a stock’s historical return is still a good input that </w:t>
      </w:r>
      <w:proofErr w:type="gramStart"/>
      <w:r>
        <w:t>can be used</w:t>
      </w:r>
      <w:proofErr w:type="gramEnd"/>
      <w:r>
        <w:t xml:space="preserve"> in a prediction model as long as it is combined with other criteria or when some method is used to determine when this input is no longer going to produce good results.  </w:t>
      </w:r>
      <w:proofErr w:type="gramStart"/>
      <w:r>
        <w:t>I’d</w:t>
      </w:r>
      <w:proofErr w:type="gramEnd"/>
      <w:r>
        <w:t xml:space="preserve"> suggest the next analysis be one that attempts several different models to predict a stock’s return.  A method based on historical averages could be one option, while something more advanced such as an AR or ARIMA model could also be an option.  We could even try to calibrate linear models using historical returns at different intervals (i.e. returns over the last 30 days, 90 days, and 250 days could all be parameters to the linear model).  Each of these methods </w:t>
      </w:r>
      <w:proofErr w:type="gramStart"/>
      <w:r>
        <w:t>should be tested</w:t>
      </w:r>
      <w:proofErr w:type="gramEnd"/>
      <w:r>
        <w:t xml:space="preserve"> to see which performs the best historically, and that method could then be used to predict the future and make stock selections.  We may also try to take into account the forecast error or expected variance of our predictions.  Then we can build portfolios that not only attempt to maximize return but also minimize risk.</w:t>
      </w:r>
    </w:p>
    <w:p w:rsidR="00E8010B" w:rsidRDefault="00E8010B" w:rsidP="00E8010B">
      <w:r>
        <w:br w:type="page"/>
      </w:r>
    </w:p>
    <w:p w:rsidR="000402B9" w:rsidRDefault="00E8010B" w:rsidP="00E8010B">
      <w:pPr>
        <w:pStyle w:val="Heading1"/>
      </w:pPr>
      <w:r>
        <w:lastRenderedPageBreak/>
        <w:t>Appendix: Importance of Examining Log Returns</w:t>
      </w:r>
    </w:p>
    <w:p w:rsidR="00E8010B" w:rsidRDefault="00E8010B" w:rsidP="00101390"/>
    <w:p w:rsidR="00E8010B" w:rsidRDefault="00E8010B" w:rsidP="00101390">
      <w:r>
        <w:t xml:space="preserve">During this </w:t>
      </w:r>
      <w:proofErr w:type="gramStart"/>
      <w:r>
        <w:t>analysis</w:t>
      </w:r>
      <w:proofErr w:type="gramEnd"/>
      <w:r>
        <w:t xml:space="preserve"> I once again made the mistake of looking at average returns without taking the logarithm first.  By the end of the analysis I realized once again why this is a bad idea and why log-returns are better.  The following charts illustrate this point:</w:t>
      </w:r>
    </w:p>
    <w:p w:rsidR="00E8010B" w:rsidRDefault="00E8010B" w:rsidP="00101390"/>
    <w:p w:rsidR="00E8010B" w:rsidRDefault="00E8010B" w:rsidP="00101390">
      <w:r>
        <w:rPr>
          <w:noProof/>
        </w:rPr>
        <w:drawing>
          <wp:inline distT="0" distB="0" distL="0" distR="0" wp14:anchorId="069807B2">
            <wp:extent cx="2942763" cy="1466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2451" cy="1476664"/>
                    </a:xfrm>
                    <a:prstGeom prst="rect">
                      <a:avLst/>
                    </a:prstGeom>
                    <a:noFill/>
                  </pic:spPr>
                </pic:pic>
              </a:graphicData>
            </a:graphic>
          </wp:inline>
        </w:drawing>
      </w:r>
      <w:r>
        <w:rPr>
          <w:noProof/>
        </w:rPr>
        <w:drawing>
          <wp:inline distT="0" distB="0" distL="0" distR="0" wp14:anchorId="02402CF9">
            <wp:extent cx="2943225" cy="14670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4525" cy="1467729"/>
                    </a:xfrm>
                    <a:prstGeom prst="rect">
                      <a:avLst/>
                    </a:prstGeom>
                    <a:noFill/>
                  </pic:spPr>
                </pic:pic>
              </a:graphicData>
            </a:graphic>
          </wp:inline>
        </w:drawing>
      </w:r>
    </w:p>
    <w:p w:rsidR="00E8010B" w:rsidRDefault="00E8010B" w:rsidP="00101390"/>
    <w:p w:rsidR="00E8010B" w:rsidRDefault="00E8010B" w:rsidP="00101390">
      <w:r>
        <w:t xml:space="preserve">These charts show average annual returns calculating as a simple average and as an average of log returns.  The first chart shows an average return of 24.7%.  There are periods of very high returns, and the losses </w:t>
      </w:r>
      <w:proofErr w:type="gramStart"/>
      <w:r>
        <w:t>don’t</w:t>
      </w:r>
      <w:proofErr w:type="gramEnd"/>
      <w:r>
        <w:t xml:space="preserve"> really look that bad.  This is because we have not taken the logarithm.  Profitable returns have no upward limit (and we do see returns as high as 350%), but losses are limited to 100%.  A 50% gain followed by a 50% loss </w:t>
      </w:r>
      <w:r w:rsidR="0001402D">
        <w:t xml:space="preserve">is also a net loss, but this </w:t>
      </w:r>
      <w:proofErr w:type="gramStart"/>
      <w:r w:rsidR="0001402D">
        <w:t>is not captured</w:t>
      </w:r>
      <w:proofErr w:type="gramEnd"/>
      <w:r w:rsidR="0001402D">
        <w:t xml:space="preserve"> well in these charts. </w:t>
      </w:r>
    </w:p>
    <w:p w:rsidR="0001402D" w:rsidRDefault="0001402D" w:rsidP="00101390"/>
    <w:p w:rsidR="0001402D" w:rsidRDefault="0001402D" w:rsidP="00101390">
      <w:r>
        <w:t xml:space="preserve">The log chart does a better job of lowering the peaks and increasing the troughs.  This chart shows much more clearly how painful the losses can be.  Expectations are also tempered.  Instead of expecting a 24.7% return, we are now looking at a 5.5% return.  To explain the difference: if you were just to pick a random date and guess what the 250-day return would be, 24.7% is a good guess.  It is the expected value.  However, if you were to actually invest money and measure your return, you </w:t>
      </w:r>
      <w:proofErr w:type="gramStart"/>
      <w:r>
        <w:t>wouldn’t</w:t>
      </w:r>
      <w:proofErr w:type="gramEnd"/>
      <w:r>
        <w:t xml:space="preserve"> get a 24.7% return.  The losses would bring your returns down to 5.5%.  This is a better measure of the return you would actually expect to get.</w:t>
      </w:r>
    </w:p>
    <w:p w:rsidR="0001402D" w:rsidRDefault="0001402D" w:rsidP="00101390"/>
    <w:p w:rsidR="0001402D" w:rsidRDefault="0001402D" w:rsidP="00101390">
      <w:r>
        <w:t xml:space="preserve">Maybe next time </w:t>
      </w:r>
      <w:proofErr w:type="gramStart"/>
      <w:r>
        <w:t>I’ll</w:t>
      </w:r>
      <w:proofErr w:type="gramEnd"/>
      <w:r>
        <w:t xml:space="preserve"> remember that, and I won’t get too excited when I see average returns of 24.7% (as I did when I started this analysis).</w:t>
      </w:r>
    </w:p>
    <w:sectPr w:rsidR="0001402D">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871" w:rsidRDefault="00864871" w:rsidP="000D5E20">
      <w:r>
        <w:separator/>
      </w:r>
    </w:p>
    <w:p w:rsidR="00864871" w:rsidRDefault="00864871"/>
  </w:endnote>
  <w:endnote w:type="continuationSeparator" w:id="0">
    <w:p w:rsidR="00864871" w:rsidRDefault="00864871" w:rsidP="000D5E20">
      <w:r>
        <w:continuationSeparator/>
      </w:r>
    </w:p>
    <w:p w:rsidR="00864871" w:rsidRDefault="008648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C5A" w:rsidRDefault="00506C5A">
    <w:pPr>
      <w:pStyle w:val="Footer"/>
    </w:pPr>
  </w:p>
  <w:p w:rsidR="00972F33" w:rsidRDefault="00972F3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E20" w:rsidRDefault="000D5E20">
    <w:pPr>
      <w:pStyle w:val="Footer"/>
    </w:pPr>
    <w:r>
      <w:tab/>
      <w:t xml:space="preserve">- Page </w:t>
    </w:r>
    <w:r>
      <w:fldChar w:fldCharType="begin"/>
    </w:r>
    <w:r>
      <w:instrText xml:space="preserve"> PAGE   \* MERGEFORMAT </w:instrText>
    </w:r>
    <w:r>
      <w:fldChar w:fldCharType="separate"/>
    </w:r>
    <w:r w:rsidR="00CC1572">
      <w:rPr>
        <w:noProof/>
      </w:rPr>
      <w:t>1</w:t>
    </w:r>
    <w:r>
      <w:fldChar w:fldCharType="end"/>
    </w:r>
    <w:r>
      <w:t xml:space="preserve"> of </w:t>
    </w:r>
    <w:fldSimple w:instr=" NUMPAGES   \* MERGEFORMAT ">
      <w:r w:rsidR="00CC1572">
        <w:rPr>
          <w:noProof/>
        </w:rPr>
        <w:t>7</w:t>
      </w:r>
    </w:fldSimple>
    <w:r>
      <w:t xml:space="preserve"> -</w:t>
    </w:r>
  </w:p>
  <w:p w:rsidR="00972F33" w:rsidRDefault="00972F3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AF8" w:rsidRDefault="006E7A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871" w:rsidRDefault="00864871" w:rsidP="000D5E20">
      <w:r>
        <w:separator/>
      </w:r>
    </w:p>
    <w:p w:rsidR="00864871" w:rsidRDefault="00864871"/>
  </w:footnote>
  <w:footnote w:type="continuationSeparator" w:id="0">
    <w:p w:rsidR="00864871" w:rsidRDefault="00864871" w:rsidP="000D5E20">
      <w:r>
        <w:continuationSeparator/>
      </w:r>
    </w:p>
    <w:p w:rsidR="00864871" w:rsidRDefault="0086487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C5A" w:rsidRDefault="00506C5A">
    <w:pPr>
      <w:pStyle w:val="Header"/>
    </w:pPr>
  </w:p>
  <w:p w:rsidR="00972F33" w:rsidRDefault="00972F3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E20" w:rsidRPr="000D5E20" w:rsidRDefault="00F544DE">
    <w:pPr>
      <w:pStyle w:val="Header"/>
      <w:rPr>
        <w:u w:val="single"/>
      </w:rPr>
    </w:pPr>
    <w:r>
      <w:rPr>
        <w:u w:val="single"/>
      </w:rPr>
      <w:t>Dan’s Notes</w:t>
    </w:r>
    <w:r w:rsidR="000D5E20">
      <w:rPr>
        <w:u w:val="single"/>
      </w:rPr>
      <w:tab/>
    </w:r>
    <w:r w:rsidR="000D5E20">
      <w:rPr>
        <w:u w:val="single"/>
      </w:rPr>
      <w:tab/>
    </w:r>
  </w:p>
  <w:p w:rsidR="000D5E20" w:rsidRDefault="000D5E20">
    <w:pPr>
      <w:pStyle w:val="Header"/>
    </w:pPr>
    <w:r>
      <w:t>Daniel Rogers</w:t>
    </w:r>
    <w:r>
      <w:tab/>
    </w:r>
    <w:r>
      <w:tab/>
    </w:r>
    <w:r w:rsidR="006E7AF8">
      <w:t>2017-0</w:t>
    </w:r>
    <w:r w:rsidR="00C7450E">
      <w:t>8-</w:t>
    </w:r>
    <w:r w:rsidR="00DE2A31">
      <w:t>12</w:t>
    </w:r>
  </w:p>
  <w:p w:rsidR="00972F33" w:rsidRPr="000E6FA2" w:rsidRDefault="00DE2A31" w:rsidP="000E6FA2">
    <w:pPr>
      <w:pStyle w:val="Header"/>
      <w:spacing w:before="120" w:after="120"/>
      <w:jc w:val="center"/>
      <w:rPr>
        <w:b/>
      </w:rPr>
    </w:pPr>
    <w:r>
      <w:rPr>
        <w:b/>
      </w:rPr>
      <w:t>Average Return Portfolios over 10 Years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AF8" w:rsidRDefault="006E7A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C6EAA"/>
    <w:multiLevelType w:val="hybridMultilevel"/>
    <w:tmpl w:val="71125148"/>
    <w:lvl w:ilvl="0" w:tplc="AAA89C8A">
      <w:start w:val="1"/>
      <w:numFmt w:val="bullet"/>
      <w:lvlText w:val=""/>
      <w:lvlJc w:val="left"/>
      <w:pPr>
        <w:tabs>
          <w:tab w:val="num" w:pos="720"/>
        </w:tabs>
        <w:ind w:left="720" w:hanging="360"/>
      </w:pPr>
      <w:rPr>
        <w:rFonts w:ascii="Symbol" w:hAnsi="Symbol" w:hint="default"/>
      </w:rPr>
    </w:lvl>
    <w:lvl w:ilvl="1" w:tplc="ECA2A606" w:tentative="1">
      <w:start w:val="1"/>
      <w:numFmt w:val="bullet"/>
      <w:lvlText w:val=""/>
      <w:lvlJc w:val="left"/>
      <w:pPr>
        <w:tabs>
          <w:tab w:val="num" w:pos="1440"/>
        </w:tabs>
        <w:ind w:left="1440" w:hanging="360"/>
      </w:pPr>
      <w:rPr>
        <w:rFonts w:ascii="Symbol" w:hAnsi="Symbol" w:hint="default"/>
      </w:rPr>
    </w:lvl>
    <w:lvl w:ilvl="2" w:tplc="D890A332" w:tentative="1">
      <w:start w:val="1"/>
      <w:numFmt w:val="bullet"/>
      <w:lvlText w:val=""/>
      <w:lvlJc w:val="left"/>
      <w:pPr>
        <w:tabs>
          <w:tab w:val="num" w:pos="2160"/>
        </w:tabs>
        <w:ind w:left="2160" w:hanging="360"/>
      </w:pPr>
      <w:rPr>
        <w:rFonts w:ascii="Symbol" w:hAnsi="Symbol" w:hint="default"/>
      </w:rPr>
    </w:lvl>
    <w:lvl w:ilvl="3" w:tplc="6114CF00" w:tentative="1">
      <w:start w:val="1"/>
      <w:numFmt w:val="bullet"/>
      <w:lvlText w:val=""/>
      <w:lvlJc w:val="left"/>
      <w:pPr>
        <w:tabs>
          <w:tab w:val="num" w:pos="2880"/>
        </w:tabs>
        <w:ind w:left="2880" w:hanging="360"/>
      </w:pPr>
      <w:rPr>
        <w:rFonts w:ascii="Symbol" w:hAnsi="Symbol" w:hint="default"/>
      </w:rPr>
    </w:lvl>
    <w:lvl w:ilvl="4" w:tplc="DDACB7D0" w:tentative="1">
      <w:start w:val="1"/>
      <w:numFmt w:val="bullet"/>
      <w:lvlText w:val=""/>
      <w:lvlJc w:val="left"/>
      <w:pPr>
        <w:tabs>
          <w:tab w:val="num" w:pos="3600"/>
        </w:tabs>
        <w:ind w:left="3600" w:hanging="360"/>
      </w:pPr>
      <w:rPr>
        <w:rFonts w:ascii="Symbol" w:hAnsi="Symbol" w:hint="default"/>
      </w:rPr>
    </w:lvl>
    <w:lvl w:ilvl="5" w:tplc="3A08D028" w:tentative="1">
      <w:start w:val="1"/>
      <w:numFmt w:val="bullet"/>
      <w:lvlText w:val=""/>
      <w:lvlJc w:val="left"/>
      <w:pPr>
        <w:tabs>
          <w:tab w:val="num" w:pos="4320"/>
        </w:tabs>
        <w:ind w:left="4320" w:hanging="360"/>
      </w:pPr>
      <w:rPr>
        <w:rFonts w:ascii="Symbol" w:hAnsi="Symbol" w:hint="default"/>
      </w:rPr>
    </w:lvl>
    <w:lvl w:ilvl="6" w:tplc="041AC440" w:tentative="1">
      <w:start w:val="1"/>
      <w:numFmt w:val="bullet"/>
      <w:lvlText w:val=""/>
      <w:lvlJc w:val="left"/>
      <w:pPr>
        <w:tabs>
          <w:tab w:val="num" w:pos="5040"/>
        </w:tabs>
        <w:ind w:left="5040" w:hanging="360"/>
      </w:pPr>
      <w:rPr>
        <w:rFonts w:ascii="Symbol" w:hAnsi="Symbol" w:hint="default"/>
      </w:rPr>
    </w:lvl>
    <w:lvl w:ilvl="7" w:tplc="8318B2E6" w:tentative="1">
      <w:start w:val="1"/>
      <w:numFmt w:val="bullet"/>
      <w:lvlText w:val=""/>
      <w:lvlJc w:val="left"/>
      <w:pPr>
        <w:tabs>
          <w:tab w:val="num" w:pos="5760"/>
        </w:tabs>
        <w:ind w:left="5760" w:hanging="360"/>
      </w:pPr>
      <w:rPr>
        <w:rFonts w:ascii="Symbol" w:hAnsi="Symbol" w:hint="default"/>
      </w:rPr>
    </w:lvl>
    <w:lvl w:ilvl="8" w:tplc="C05619A6" w:tentative="1">
      <w:start w:val="1"/>
      <w:numFmt w:val="bullet"/>
      <w:lvlText w:val=""/>
      <w:lvlJc w:val="left"/>
      <w:pPr>
        <w:tabs>
          <w:tab w:val="num" w:pos="6480"/>
        </w:tabs>
        <w:ind w:left="6480" w:hanging="360"/>
      </w:pPr>
      <w:rPr>
        <w:rFonts w:ascii="Symbol" w:hAnsi="Symbol" w:hint="default"/>
      </w:rPr>
    </w:lvl>
  </w:abstractNum>
  <w:abstractNum w:abstractNumId="1">
    <w:nsid w:val="20C27C69"/>
    <w:multiLevelType w:val="hybridMultilevel"/>
    <w:tmpl w:val="5800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2B2D01"/>
    <w:multiLevelType w:val="hybridMultilevel"/>
    <w:tmpl w:val="7902E72C"/>
    <w:lvl w:ilvl="0" w:tplc="03A66ACC">
      <w:start w:val="1"/>
      <w:numFmt w:val="bullet"/>
      <w:lvlText w:val=""/>
      <w:lvlJc w:val="left"/>
      <w:pPr>
        <w:tabs>
          <w:tab w:val="num" w:pos="720"/>
        </w:tabs>
        <w:ind w:left="720" w:hanging="360"/>
      </w:pPr>
      <w:rPr>
        <w:rFonts w:ascii="Symbol" w:hAnsi="Symbol" w:hint="default"/>
      </w:rPr>
    </w:lvl>
    <w:lvl w:ilvl="1" w:tplc="807C9972" w:tentative="1">
      <w:start w:val="1"/>
      <w:numFmt w:val="bullet"/>
      <w:lvlText w:val=""/>
      <w:lvlJc w:val="left"/>
      <w:pPr>
        <w:tabs>
          <w:tab w:val="num" w:pos="1440"/>
        </w:tabs>
        <w:ind w:left="1440" w:hanging="360"/>
      </w:pPr>
      <w:rPr>
        <w:rFonts w:ascii="Symbol" w:hAnsi="Symbol" w:hint="default"/>
      </w:rPr>
    </w:lvl>
    <w:lvl w:ilvl="2" w:tplc="597C60B4" w:tentative="1">
      <w:start w:val="1"/>
      <w:numFmt w:val="bullet"/>
      <w:lvlText w:val=""/>
      <w:lvlJc w:val="left"/>
      <w:pPr>
        <w:tabs>
          <w:tab w:val="num" w:pos="2160"/>
        </w:tabs>
        <w:ind w:left="2160" w:hanging="360"/>
      </w:pPr>
      <w:rPr>
        <w:rFonts w:ascii="Symbol" w:hAnsi="Symbol" w:hint="default"/>
      </w:rPr>
    </w:lvl>
    <w:lvl w:ilvl="3" w:tplc="50A2CFEE" w:tentative="1">
      <w:start w:val="1"/>
      <w:numFmt w:val="bullet"/>
      <w:lvlText w:val=""/>
      <w:lvlJc w:val="left"/>
      <w:pPr>
        <w:tabs>
          <w:tab w:val="num" w:pos="2880"/>
        </w:tabs>
        <w:ind w:left="2880" w:hanging="360"/>
      </w:pPr>
      <w:rPr>
        <w:rFonts w:ascii="Symbol" w:hAnsi="Symbol" w:hint="default"/>
      </w:rPr>
    </w:lvl>
    <w:lvl w:ilvl="4" w:tplc="872E9372" w:tentative="1">
      <w:start w:val="1"/>
      <w:numFmt w:val="bullet"/>
      <w:lvlText w:val=""/>
      <w:lvlJc w:val="left"/>
      <w:pPr>
        <w:tabs>
          <w:tab w:val="num" w:pos="3600"/>
        </w:tabs>
        <w:ind w:left="3600" w:hanging="360"/>
      </w:pPr>
      <w:rPr>
        <w:rFonts w:ascii="Symbol" w:hAnsi="Symbol" w:hint="default"/>
      </w:rPr>
    </w:lvl>
    <w:lvl w:ilvl="5" w:tplc="E3C0F82C" w:tentative="1">
      <w:start w:val="1"/>
      <w:numFmt w:val="bullet"/>
      <w:lvlText w:val=""/>
      <w:lvlJc w:val="left"/>
      <w:pPr>
        <w:tabs>
          <w:tab w:val="num" w:pos="4320"/>
        </w:tabs>
        <w:ind w:left="4320" w:hanging="360"/>
      </w:pPr>
      <w:rPr>
        <w:rFonts w:ascii="Symbol" w:hAnsi="Symbol" w:hint="default"/>
      </w:rPr>
    </w:lvl>
    <w:lvl w:ilvl="6" w:tplc="63FE6738" w:tentative="1">
      <w:start w:val="1"/>
      <w:numFmt w:val="bullet"/>
      <w:lvlText w:val=""/>
      <w:lvlJc w:val="left"/>
      <w:pPr>
        <w:tabs>
          <w:tab w:val="num" w:pos="5040"/>
        </w:tabs>
        <w:ind w:left="5040" w:hanging="360"/>
      </w:pPr>
      <w:rPr>
        <w:rFonts w:ascii="Symbol" w:hAnsi="Symbol" w:hint="default"/>
      </w:rPr>
    </w:lvl>
    <w:lvl w:ilvl="7" w:tplc="2E34F1AC" w:tentative="1">
      <w:start w:val="1"/>
      <w:numFmt w:val="bullet"/>
      <w:lvlText w:val=""/>
      <w:lvlJc w:val="left"/>
      <w:pPr>
        <w:tabs>
          <w:tab w:val="num" w:pos="5760"/>
        </w:tabs>
        <w:ind w:left="5760" w:hanging="360"/>
      </w:pPr>
      <w:rPr>
        <w:rFonts w:ascii="Symbol" w:hAnsi="Symbol" w:hint="default"/>
      </w:rPr>
    </w:lvl>
    <w:lvl w:ilvl="8" w:tplc="1B5CFF10" w:tentative="1">
      <w:start w:val="1"/>
      <w:numFmt w:val="bullet"/>
      <w:lvlText w:val=""/>
      <w:lvlJc w:val="left"/>
      <w:pPr>
        <w:tabs>
          <w:tab w:val="num" w:pos="6480"/>
        </w:tabs>
        <w:ind w:left="6480" w:hanging="360"/>
      </w:pPr>
      <w:rPr>
        <w:rFonts w:ascii="Symbol" w:hAnsi="Symbol" w:hint="default"/>
      </w:rPr>
    </w:lvl>
  </w:abstractNum>
  <w:abstractNum w:abstractNumId="3">
    <w:nsid w:val="26CB753B"/>
    <w:multiLevelType w:val="hybridMultilevel"/>
    <w:tmpl w:val="2F5E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EC7CB0"/>
    <w:multiLevelType w:val="hybridMultilevel"/>
    <w:tmpl w:val="6AAA7112"/>
    <w:lvl w:ilvl="0" w:tplc="4A98262E">
      <w:start w:val="1"/>
      <w:numFmt w:val="bullet"/>
      <w:lvlText w:val=""/>
      <w:lvlJc w:val="left"/>
      <w:pPr>
        <w:tabs>
          <w:tab w:val="num" w:pos="720"/>
        </w:tabs>
        <w:ind w:left="720" w:hanging="360"/>
      </w:pPr>
      <w:rPr>
        <w:rFonts w:ascii="Symbol" w:hAnsi="Symbol" w:hint="default"/>
      </w:rPr>
    </w:lvl>
    <w:lvl w:ilvl="1" w:tplc="09181C32" w:tentative="1">
      <w:start w:val="1"/>
      <w:numFmt w:val="bullet"/>
      <w:lvlText w:val=""/>
      <w:lvlJc w:val="left"/>
      <w:pPr>
        <w:tabs>
          <w:tab w:val="num" w:pos="1440"/>
        </w:tabs>
        <w:ind w:left="1440" w:hanging="360"/>
      </w:pPr>
      <w:rPr>
        <w:rFonts w:ascii="Symbol" w:hAnsi="Symbol" w:hint="default"/>
      </w:rPr>
    </w:lvl>
    <w:lvl w:ilvl="2" w:tplc="F26CD0C8" w:tentative="1">
      <w:start w:val="1"/>
      <w:numFmt w:val="bullet"/>
      <w:lvlText w:val=""/>
      <w:lvlJc w:val="left"/>
      <w:pPr>
        <w:tabs>
          <w:tab w:val="num" w:pos="2160"/>
        </w:tabs>
        <w:ind w:left="2160" w:hanging="360"/>
      </w:pPr>
      <w:rPr>
        <w:rFonts w:ascii="Symbol" w:hAnsi="Symbol" w:hint="default"/>
      </w:rPr>
    </w:lvl>
    <w:lvl w:ilvl="3" w:tplc="00F2A8A4" w:tentative="1">
      <w:start w:val="1"/>
      <w:numFmt w:val="bullet"/>
      <w:lvlText w:val=""/>
      <w:lvlJc w:val="left"/>
      <w:pPr>
        <w:tabs>
          <w:tab w:val="num" w:pos="2880"/>
        </w:tabs>
        <w:ind w:left="2880" w:hanging="360"/>
      </w:pPr>
      <w:rPr>
        <w:rFonts w:ascii="Symbol" w:hAnsi="Symbol" w:hint="default"/>
      </w:rPr>
    </w:lvl>
    <w:lvl w:ilvl="4" w:tplc="19264130" w:tentative="1">
      <w:start w:val="1"/>
      <w:numFmt w:val="bullet"/>
      <w:lvlText w:val=""/>
      <w:lvlJc w:val="left"/>
      <w:pPr>
        <w:tabs>
          <w:tab w:val="num" w:pos="3600"/>
        </w:tabs>
        <w:ind w:left="3600" w:hanging="360"/>
      </w:pPr>
      <w:rPr>
        <w:rFonts w:ascii="Symbol" w:hAnsi="Symbol" w:hint="default"/>
      </w:rPr>
    </w:lvl>
    <w:lvl w:ilvl="5" w:tplc="285249C6" w:tentative="1">
      <w:start w:val="1"/>
      <w:numFmt w:val="bullet"/>
      <w:lvlText w:val=""/>
      <w:lvlJc w:val="left"/>
      <w:pPr>
        <w:tabs>
          <w:tab w:val="num" w:pos="4320"/>
        </w:tabs>
        <w:ind w:left="4320" w:hanging="360"/>
      </w:pPr>
      <w:rPr>
        <w:rFonts w:ascii="Symbol" w:hAnsi="Symbol" w:hint="default"/>
      </w:rPr>
    </w:lvl>
    <w:lvl w:ilvl="6" w:tplc="AFB0A85E" w:tentative="1">
      <w:start w:val="1"/>
      <w:numFmt w:val="bullet"/>
      <w:lvlText w:val=""/>
      <w:lvlJc w:val="left"/>
      <w:pPr>
        <w:tabs>
          <w:tab w:val="num" w:pos="5040"/>
        </w:tabs>
        <w:ind w:left="5040" w:hanging="360"/>
      </w:pPr>
      <w:rPr>
        <w:rFonts w:ascii="Symbol" w:hAnsi="Symbol" w:hint="default"/>
      </w:rPr>
    </w:lvl>
    <w:lvl w:ilvl="7" w:tplc="D04C8D7C" w:tentative="1">
      <w:start w:val="1"/>
      <w:numFmt w:val="bullet"/>
      <w:lvlText w:val=""/>
      <w:lvlJc w:val="left"/>
      <w:pPr>
        <w:tabs>
          <w:tab w:val="num" w:pos="5760"/>
        </w:tabs>
        <w:ind w:left="5760" w:hanging="360"/>
      </w:pPr>
      <w:rPr>
        <w:rFonts w:ascii="Symbol" w:hAnsi="Symbol" w:hint="default"/>
      </w:rPr>
    </w:lvl>
    <w:lvl w:ilvl="8" w:tplc="6EC28D78" w:tentative="1">
      <w:start w:val="1"/>
      <w:numFmt w:val="bullet"/>
      <w:lvlText w:val=""/>
      <w:lvlJc w:val="left"/>
      <w:pPr>
        <w:tabs>
          <w:tab w:val="num" w:pos="6480"/>
        </w:tabs>
        <w:ind w:left="6480" w:hanging="360"/>
      </w:pPr>
      <w:rPr>
        <w:rFonts w:ascii="Symbol" w:hAnsi="Symbol" w:hint="default"/>
      </w:rPr>
    </w:lvl>
  </w:abstractNum>
  <w:abstractNum w:abstractNumId="5">
    <w:nsid w:val="4E4C0713"/>
    <w:multiLevelType w:val="hybridMultilevel"/>
    <w:tmpl w:val="070E072E"/>
    <w:lvl w:ilvl="0" w:tplc="C91CDB7C">
      <w:start w:val="1"/>
      <w:numFmt w:val="bullet"/>
      <w:lvlText w:val=""/>
      <w:lvlJc w:val="left"/>
      <w:pPr>
        <w:tabs>
          <w:tab w:val="num" w:pos="720"/>
        </w:tabs>
        <w:ind w:left="720" w:hanging="360"/>
      </w:pPr>
      <w:rPr>
        <w:rFonts w:ascii="Symbol" w:hAnsi="Symbol" w:hint="default"/>
      </w:rPr>
    </w:lvl>
    <w:lvl w:ilvl="1" w:tplc="E70C49B2" w:tentative="1">
      <w:start w:val="1"/>
      <w:numFmt w:val="bullet"/>
      <w:lvlText w:val=""/>
      <w:lvlJc w:val="left"/>
      <w:pPr>
        <w:tabs>
          <w:tab w:val="num" w:pos="1440"/>
        </w:tabs>
        <w:ind w:left="1440" w:hanging="360"/>
      </w:pPr>
      <w:rPr>
        <w:rFonts w:ascii="Symbol" w:hAnsi="Symbol" w:hint="default"/>
      </w:rPr>
    </w:lvl>
    <w:lvl w:ilvl="2" w:tplc="9E70C72C" w:tentative="1">
      <w:start w:val="1"/>
      <w:numFmt w:val="bullet"/>
      <w:lvlText w:val=""/>
      <w:lvlJc w:val="left"/>
      <w:pPr>
        <w:tabs>
          <w:tab w:val="num" w:pos="2160"/>
        </w:tabs>
        <w:ind w:left="2160" w:hanging="360"/>
      </w:pPr>
      <w:rPr>
        <w:rFonts w:ascii="Symbol" w:hAnsi="Symbol" w:hint="default"/>
      </w:rPr>
    </w:lvl>
    <w:lvl w:ilvl="3" w:tplc="834A283C" w:tentative="1">
      <w:start w:val="1"/>
      <w:numFmt w:val="bullet"/>
      <w:lvlText w:val=""/>
      <w:lvlJc w:val="left"/>
      <w:pPr>
        <w:tabs>
          <w:tab w:val="num" w:pos="2880"/>
        </w:tabs>
        <w:ind w:left="2880" w:hanging="360"/>
      </w:pPr>
      <w:rPr>
        <w:rFonts w:ascii="Symbol" w:hAnsi="Symbol" w:hint="default"/>
      </w:rPr>
    </w:lvl>
    <w:lvl w:ilvl="4" w:tplc="13E8F1B6" w:tentative="1">
      <w:start w:val="1"/>
      <w:numFmt w:val="bullet"/>
      <w:lvlText w:val=""/>
      <w:lvlJc w:val="left"/>
      <w:pPr>
        <w:tabs>
          <w:tab w:val="num" w:pos="3600"/>
        </w:tabs>
        <w:ind w:left="3600" w:hanging="360"/>
      </w:pPr>
      <w:rPr>
        <w:rFonts w:ascii="Symbol" w:hAnsi="Symbol" w:hint="default"/>
      </w:rPr>
    </w:lvl>
    <w:lvl w:ilvl="5" w:tplc="9B9C14EA" w:tentative="1">
      <w:start w:val="1"/>
      <w:numFmt w:val="bullet"/>
      <w:lvlText w:val=""/>
      <w:lvlJc w:val="left"/>
      <w:pPr>
        <w:tabs>
          <w:tab w:val="num" w:pos="4320"/>
        </w:tabs>
        <w:ind w:left="4320" w:hanging="360"/>
      </w:pPr>
      <w:rPr>
        <w:rFonts w:ascii="Symbol" w:hAnsi="Symbol" w:hint="default"/>
      </w:rPr>
    </w:lvl>
    <w:lvl w:ilvl="6" w:tplc="B9520E76" w:tentative="1">
      <w:start w:val="1"/>
      <w:numFmt w:val="bullet"/>
      <w:lvlText w:val=""/>
      <w:lvlJc w:val="left"/>
      <w:pPr>
        <w:tabs>
          <w:tab w:val="num" w:pos="5040"/>
        </w:tabs>
        <w:ind w:left="5040" w:hanging="360"/>
      </w:pPr>
      <w:rPr>
        <w:rFonts w:ascii="Symbol" w:hAnsi="Symbol" w:hint="default"/>
      </w:rPr>
    </w:lvl>
    <w:lvl w:ilvl="7" w:tplc="0B20376E" w:tentative="1">
      <w:start w:val="1"/>
      <w:numFmt w:val="bullet"/>
      <w:lvlText w:val=""/>
      <w:lvlJc w:val="left"/>
      <w:pPr>
        <w:tabs>
          <w:tab w:val="num" w:pos="5760"/>
        </w:tabs>
        <w:ind w:left="5760" w:hanging="360"/>
      </w:pPr>
      <w:rPr>
        <w:rFonts w:ascii="Symbol" w:hAnsi="Symbol" w:hint="default"/>
      </w:rPr>
    </w:lvl>
    <w:lvl w:ilvl="8" w:tplc="DED679C4" w:tentative="1">
      <w:start w:val="1"/>
      <w:numFmt w:val="bullet"/>
      <w:lvlText w:val=""/>
      <w:lvlJc w:val="left"/>
      <w:pPr>
        <w:tabs>
          <w:tab w:val="num" w:pos="6480"/>
        </w:tabs>
        <w:ind w:left="6480" w:hanging="360"/>
      </w:pPr>
      <w:rPr>
        <w:rFonts w:ascii="Symbol" w:hAnsi="Symbol" w:hint="default"/>
      </w:rPr>
    </w:lvl>
  </w:abstractNum>
  <w:abstractNum w:abstractNumId="6">
    <w:nsid w:val="64672149"/>
    <w:multiLevelType w:val="hybridMultilevel"/>
    <w:tmpl w:val="6E80C324"/>
    <w:lvl w:ilvl="0" w:tplc="D176528C">
      <w:start w:val="1"/>
      <w:numFmt w:val="bullet"/>
      <w:lvlText w:val=""/>
      <w:lvlJc w:val="left"/>
      <w:pPr>
        <w:tabs>
          <w:tab w:val="num" w:pos="720"/>
        </w:tabs>
        <w:ind w:left="720" w:hanging="360"/>
      </w:pPr>
      <w:rPr>
        <w:rFonts w:ascii="Symbol" w:hAnsi="Symbol" w:hint="default"/>
      </w:rPr>
    </w:lvl>
    <w:lvl w:ilvl="1" w:tplc="3CAAD836" w:tentative="1">
      <w:start w:val="1"/>
      <w:numFmt w:val="bullet"/>
      <w:lvlText w:val=""/>
      <w:lvlJc w:val="left"/>
      <w:pPr>
        <w:tabs>
          <w:tab w:val="num" w:pos="1440"/>
        </w:tabs>
        <w:ind w:left="1440" w:hanging="360"/>
      </w:pPr>
      <w:rPr>
        <w:rFonts w:ascii="Symbol" w:hAnsi="Symbol" w:hint="default"/>
      </w:rPr>
    </w:lvl>
    <w:lvl w:ilvl="2" w:tplc="157A721E" w:tentative="1">
      <w:start w:val="1"/>
      <w:numFmt w:val="bullet"/>
      <w:lvlText w:val=""/>
      <w:lvlJc w:val="left"/>
      <w:pPr>
        <w:tabs>
          <w:tab w:val="num" w:pos="2160"/>
        </w:tabs>
        <w:ind w:left="2160" w:hanging="360"/>
      </w:pPr>
      <w:rPr>
        <w:rFonts w:ascii="Symbol" w:hAnsi="Symbol" w:hint="default"/>
      </w:rPr>
    </w:lvl>
    <w:lvl w:ilvl="3" w:tplc="67361E98" w:tentative="1">
      <w:start w:val="1"/>
      <w:numFmt w:val="bullet"/>
      <w:lvlText w:val=""/>
      <w:lvlJc w:val="left"/>
      <w:pPr>
        <w:tabs>
          <w:tab w:val="num" w:pos="2880"/>
        </w:tabs>
        <w:ind w:left="2880" w:hanging="360"/>
      </w:pPr>
      <w:rPr>
        <w:rFonts w:ascii="Symbol" w:hAnsi="Symbol" w:hint="default"/>
      </w:rPr>
    </w:lvl>
    <w:lvl w:ilvl="4" w:tplc="0F28C624" w:tentative="1">
      <w:start w:val="1"/>
      <w:numFmt w:val="bullet"/>
      <w:lvlText w:val=""/>
      <w:lvlJc w:val="left"/>
      <w:pPr>
        <w:tabs>
          <w:tab w:val="num" w:pos="3600"/>
        </w:tabs>
        <w:ind w:left="3600" w:hanging="360"/>
      </w:pPr>
      <w:rPr>
        <w:rFonts w:ascii="Symbol" w:hAnsi="Symbol" w:hint="default"/>
      </w:rPr>
    </w:lvl>
    <w:lvl w:ilvl="5" w:tplc="0ECE323C" w:tentative="1">
      <w:start w:val="1"/>
      <w:numFmt w:val="bullet"/>
      <w:lvlText w:val=""/>
      <w:lvlJc w:val="left"/>
      <w:pPr>
        <w:tabs>
          <w:tab w:val="num" w:pos="4320"/>
        </w:tabs>
        <w:ind w:left="4320" w:hanging="360"/>
      </w:pPr>
      <w:rPr>
        <w:rFonts w:ascii="Symbol" w:hAnsi="Symbol" w:hint="default"/>
      </w:rPr>
    </w:lvl>
    <w:lvl w:ilvl="6" w:tplc="B61A76D8" w:tentative="1">
      <w:start w:val="1"/>
      <w:numFmt w:val="bullet"/>
      <w:lvlText w:val=""/>
      <w:lvlJc w:val="left"/>
      <w:pPr>
        <w:tabs>
          <w:tab w:val="num" w:pos="5040"/>
        </w:tabs>
        <w:ind w:left="5040" w:hanging="360"/>
      </w:pPr>
      <w:rPr>
        <w:rFonts w:ascii="Symbol" w:hAnsi="Symbol" w:hint="default"/>
      </w:rPr>
    </w:lvl>
    <w:lvl w:ilvl="7" w:tplc="A244AAB6" w:tentative="1">
      <w:start w:val="1"/>
      <w:numFmt w:val="bullet"/>
      <w:lvlText w:val=""/>
      <w:lvlJc w:val="left"/>
      <w:pPr>
        <w:tabs>
          <w:tab w:val="num" w:pos="5760"/>
        </w:tabs>
        <w:ind w:left="5760" w:hanging="360"/>
      </w:pPr>
      <w:rPr>
        <w:rFonts w:ascii="Symbol" w:hAnsi="Symbol" w:hint="default"/>
      </w:rPr>
    </w:lvl>
    <w:lvl w:ilvl="8" w:tplc="BD1A0AD2" w:tentative="1">
      <w:start w:val="1"/>
      <w:numFmt w:val="bullet"/>
      <w:lvlText w:val=""/>
      <w:lvlJc w:val="left"/>
      <w:pPr>
        <w:tabs>
          <w:tab w:val="num" w:pos="6480"/>
        </w:tabs>
        <w:ind w:left="6480" w:hanging="360"/>
      </w:pPr>
      <w:rPr>
        <w:rFonts w:ascii="Symbol" w:hAnsi="Symbol" w:hint="default"/>
      </w:rPr>
    </w:lvl>
  </w:abstractNum>
  <w:abstractNum w:abstractNumId="7">
    <w:nsid w:val="71870A07"/>
    <w:multiLevelType w:val="hybridMultilevel"/>
    <w:tmpl w:val="9EB2C430"/>
    <w:lvl w:ilvl="0" w:tplc="F73A20D8">
      <w:start w:val="1"/>
      <w:numFmt w:val="bullet"/>
      <w:lvlText w:val=""/>
      <w:lvlJc w:val="left"/>
      <w:pPr>
        <w:tabs>
          <w:tab w:val="num" w:pos="720"/>
        </w:tabs>
        <w:ind w:left="720" w:hanging="360"/>
      </w:pPr>
      <w:rPr>
        <w:rFonts w:ascii="Symbol" w:hAnsi="Symbol" w:hint="default"/>
      </w:rPr>
    </w:lvl>
    <w:lvl w:ilvl="1" w:tplc="7FECF0BA" w:tentative="1">
      <w:start w:val="1"/>
      <w:numFmt w:val="bullet"/>
      <w:lvlText w:val=""/>
      <w:lvlJc w:val="left"/>
      <w:pPr>
        <w:tabs>
          <w:tab w:val="num" w:pos="1440"/>
        </w:tabs>
        <w:ind w:left="1440" w:hanging="360"/>
      </w:pPr>
      <w:rPr>
        <w:rFonts w:ascii="Symbol" w:hAnsi="Symbol" w:hint="default"/>
      </w:rPr>
    </w:lvl>
    <w:lvl w:ilvl="2" w:tplc="AC2241F2" w:tentative="1">
      <w:start w:val="1"/>
      <w:numFmt w:val="bullet"/>
      <w:lvlText w:val=""/>
      <w:lvlJc w:val="left"/>
      <w:pPr>
        <w:tabs>
          <w:tab w:val="num" w:pos="2160"/>
        </w:tabs>
        <w:ind w:left="2160" w:hanging="360"/>
      </w:pPr>
      <w:rPr>
        <w:rFonts w:ascii="Symbol" w:hAnsi="Symbol" w:hint="default"/>
      </w:rPr>
    </w:lvl>
    <w:lvl w:ilvl="3" w:tplc="3D1A9D5A" w:tentative="1">
      <w:start w:val="1"/>
      <w:numFmt w:val="bullet"/>
      <w:lvlText w:val=""/>
      <w:lvlJc w:val="left"/>
      <w:pPr>
        <w:tabs>
          <w:tab w:val="num" w:pos="2880"/>
        </w:tabs>
        <w:ind w:left="2880" w:hanging="360"/>
      </w:pPr>
      <w:rPr>
        <w:rFonts w:ascii="Symbol" w:hAnsi="Symbol" w:hint="default"/>
      </w:rPr>
    </w:lvl>
    <w:lvl w:ilvl="4" w:tplc="2FDC833E" w:tentative="1">
      <w:start w:val="1"/>
      <w:numFmt w:val="bullet"/>
      <w:lvlText w:val=""/>
      <w:lvlJc w:val="left"/>
      <w:pPr>
        <w:tabs>
          <w:tab w:val="num" w:pos="3600"/>
        </w:tabs>
        <w:ind w:left="3600" w:hanging="360"/>
      </w:pPr>
      <w:rPr>
        <w:rFonts w:ascii="Symbol" w:hAnsi="Symbol" w:hint="default"/>
      </w:rPr>
    </w:lvl>
    <w:lvl w:ilvl="5" w:tplc="468E3A00" w:tentative="1">
      <w:start w:val="1"/>
      <w:numFmt w:val="bullet"/>
      <w:lvlText w:val=""/>
      <w:lvlJc w:val="left"/>
      <w:pPr>
        <w:tabs>
          <w:tab w:val="num" w:pos="4320"/>
        </w:tabs>
        <w:ind w:left="4320" w:hanging="360"/>
      </w:pPr>
      <w:rPr>
        <w:rFonts w:ascii="Symbol" w:hAnsi="Symbol" w:hint="default"/>
      </w:rPr>
    </w:lvl>
    <w:lvl w:ilvl="6" w:tplc="687E4050" w:tentative="1">
      <w:start w:val="1"/>
      <w:numFmt w:val="bullet"/>
      <w:lvlText w:val=""/>
      <w:lvlJc w:val="left"/>
      <w:pPr>
        <w:tabs>
          <w:tab w:val="num" w:pos="5040"/>
        </w:tabs>
        <w:ind w:left="5040" w:hanging="360"/>
      </w:pPr>
      <w:rPr>
        <w:rFonts w:ascii="Symbol" w:hAnsi="Symbol" w:hint="default"/>
      </w:rPr>
    </w:lvl>
    <w:lvl w:ilvl="7" w:tplc="B3BE00D6" w:tentative="1">
      <w:start w:val="1"/>
      <w:numFmt w:val="bullet"/>
      <w:lvlText w:val=""/>
      <w:lvlJc w:val="left"/>
      <w:pPr>
        <w:tabs>
          <w:tab w:val="num" w:pos="5760"/>
        </w:tabs>
        <w:ind w:left="5760" w:hanging="360"/>
      </w:pPr>
      <w:rPr>
        <w:rFonts w:ascii="Symbol" w:hAnsi="Symbol" w:hint="default"/>
      </w:rPr>
    </w:lvl>
    <w:lvl w:ilvl="8" w:tplc="93025B44" w:tentative="1">
      <w:start w:val="1"/>
      <w:numFmt w:val="bullet"/>
      <w:lvlText w:val=""/>
      <w:lvlJc w:val="left"/>
      <w:pPr>
        <w:tabs>
          <w:tab w:val="num" w:pos="6480"/>
        </w:tabs>
        <w:ind w:left="6480" w:hanging="360"/>
      </w:pPr>
      <w:rPr>
        <w:rFonts w:ascii="Symbol" w:hAnsi="Symbol" w:hint="default"/>
      </w:rPr>
    </w:lvl>
  </w:abstractNum>
  <w:abstractNum w:abstractNumId="8">
    <w:nsid w:val="75B201C0"/>
    <w:multiLevelType w:val="hybridMultilevel"/>
    <w:tmpl w:val="A28EB5FC"/>
    <w:lvl w:ilvl="0" w:tplc="01EAB44C">
      <w:start w:val="1"/>
      <w:numFmt w:val="bullet"/>
      <w:lvlText w:val=""/>
      <w:lvlJc w:val="left"/>
      <w:pPr>
        <w:tabs>
          <w:tab w:val="num" w:pos="720"/>
        </w:tabs>
        <w:ind w:left="720" w:hanging="360"/>
      </w:pPr>
      <w:rPr>
        <w:rFonts w:ascii="Symbol" w:hAnsi="Symbol" w:hint="default"/>
      </w:rPr>
    </w:lvl>
    <w:lvl w:ilvl="1" w:tplc="64D82472" w:tentative="1">
      <w:start w:val="1"/>
      <w:numFmt w:val="bullet"/>
      <w:lvlText w:val=""/>
      <w:lvlJc w:val="left"/>
      <w:pPr>
        <w:tabs>
          <w:tab w:val="num" w:pos="1440"/>
        </w:tabs>
        <w:ind w:left="1440" w:hanging="360"/>
      </w:pPr>
      <w:rPr>
        <w:rFonts w:ascii="Symbol" w:hAnsi="Symbol" w:hint="default"/>
      </w:rPr>
    </w:lvl>
    <w:lvl w:ilvl="2" w:tplc="9E8873D0" w:tentative="1">
      <w:start w:val="1"/>
      <w:numFmt w:val="bullet"/>
      <w:lvlText w:val=""/>
      <w:lvlJc w:val="left"/>
      <w:pPr>
        <w:tabs>
          <w:tab w:val="num" w:pos="2160"/>
        </w:tabs>
        <w:ind w:left="2160" w:hanging="360"/>
      </w:pPr>
      <w:rPr>
        <w:rFonts w:ascii="Symbol" w:hAnsi="Symbol" w:hint="default"/>
      </w:rPr>
    </w:lvl>
    <w:lvl w:ilvl="3" w:tplc="54A49A80" w:tentative="1">
      <w:start w:val="1"/>
      <w:numFmt w:val="bullet"/>
      <w:lvlText w:val=""/>
      <w:lvlJc w:val="left"/>
      <w:pPr>
        <w:tabs>
          <w:tab w:val="num" w:pos="2880"/>
        </w:tabs>
        <w:ind w:left="2880" w:hanging="360"/>
      </w:pPr>
      <w:rPr>
        <w:rFonts w:ascii="Symbol" w:hAnsi="Symbol" w:hint="default"/>
      </w:rPr>
    </w:lvl>
    <w:lvl w:ilvl="4" w:tplc="CA3609E0" w:tentative="1">
      <w:start w:val="1"/>
      <w:numFmt w:val="bullet"/>
      <w:lvlText w:val=""/>
      <w:lvlJc w:val="left"/>
      <w:pPr>
        <w:tabs>
          <w:tab w:val="num" w:pos="3600"/>
        </w:tabs>
        <w:ind w:left="3600" w:hanging="360"/>
      </w:pPr>
      <w:rPr>
        <w:rFonts w:ascii="Symbol" w:hAnsi="Symbol" w:hint="default"/>
      </w:rPr>
    </w:lvl>
    <w:lvl w:ilvl="5" w:tplc="23F4B542" w:tentative="1">
      <w:start w:val="1"/>
      <w:numFmt w:val="bullet"/>
      <w:lvlText w:val=""/>
      <w:lvlJc w:val="left"/>
      <w:pPr>
        <w:tabs>
          <w:tab w:val="num" w:pos="4320"/>
        </w:tabs>
        <w:ind w:left="4320" w:hanging="360"/>
      </w:pPr>
      <w:rPr>
        <w:rFonts w:ascii="Symbol" w:hAnsi="Symbol" w:hint="default"/>
      </w:rPr>
    </w:lvl>
    <w:lvl w:ilvl="6" w:tplc="4E00B0EA" w:tentative="1">
      <w:start w:val="1"/>
      <w:numFmt w:val="bullet"/>
      <w:lvlText w:val=""/>
      <w:lvlJc w:val="left"/>
      <w:pPr>
        <w:tabs>
          <w:tab w:val="num" w:pos="5040"/>
        </w:tabs>
        <w:ind w:left="5040" w:hanging="360"/>
      </w:pPr>
      <w:rPr>
        <w:rFonts w:ascii="Symbol" w:hAnsi="Symbol" w:hint="default"/>
      </w:rPr>
    </w:lvl>
    <w:lvl w:ilvl="7" w:tplc="7BA87650" w:tentative="1">
      <w:start w:val="1"/>
      <w:numFmt w:val="bullet"/>
      <w:lvlText w:val=""/>
      <w:lvlJc w:val="left"/>
      <w:pPr>
        <w:tabs>
          <w:tab w:val="num" w:pos="5760"/>
        </w:tabs>
        <w:ind w:left="5760" w:hanging="360"/>
      </w:pPr>
      <w:rPr>
        <w:rFonts w:ascii="Symbol" w:hAnsi="Symbol" w:hint="default"/>
      </w:rPr>
    </w:lvl>
    <w:lvl w:ilvl="8" w:tplc="48E2794C" w:tentative="1">
      <w:start w:val="1"/>
      <w:numFmt w:val="bullet"/>
      <w:lvlText w:val=""/>
      <w:lvlJc w:val="left"/>
      <w:pPr>
        <w:tabs>
          <w:tab w:val="num" w:pos="6480"/>
        </w:tabs>
        <w:ind w:left="6480" w:hanging="360"/>
      </w:pPr>
      <w:rPr>
        <w:rFonts w:ascii="Symbol" w:hAnsi="Symbol" w:hint="default"/>
      </w:rPr>
    </w:lvl>
  </w:abstractNum>
  <w:abstractNum w:abstractNumId="9">
    <w:nsid w:val="7746139E"/>
    <w:multiLevelType w:val="hybridMultilevel"/>
    <w:tmpl w:val="7BE68A32"/>
    <w:lvl w:ilvl="0" w:tplc="1EAAE510">
      <w:start w:val="1"/>
      <w:numFmt w:val="bullet"/>
      <w:lvlText w:val=""/>
      <w:lvlJc w:val="left"/>
      <w:pPr>
        <w:tabs>
          <w:tab w:val="num" w:pos="720"/>
        </w:tabs>
        <w:ind w:left="720" w:hanging="360"/>
      </w:pPr>
      <w:rPr>
        <w:rFonts w:ascii="Symbol" w:hAnsi="Symbol" w:hint="default"/>
      </w:rPr>
    </w:lvl>
    <w:lvl w:ilvl="1" w:tplc="1C2045EC" w:tentative="1">
      <w:start w:val="1"/>
      <w:numFmt w:val="bullet"/>
      <w:lvlText w:val=""/>
      <w:lvlJc w:val="left"/>
      <w:pPr>
        <w:tabs>
          <w:tab w:val="num" w:pos="1440"/>
        </w:tabs>
        <w:ind w:left="1440" w:hanging="360"/>
      </w:pPr>
      <w:rPr>
        <w:rFonts w:ascii="Symbol" w:hAnsi="Symbol" w:hint="default"/>
      </w:rPr>
    </w:lvl>
    <w:lvl w:ilvl="2" w:tplc="EDE2B836" w:tentative="1">
      <w:start w:val="1"/>
      <w:numFmt w:val="bullet"/>
      <w:lvlText w:val=""/>
      <w:lvlJc w:val="left"/>
      <w:pPr>
        <w:tabs>
          <w:tab w:val="num" w:pos="2160"/>
        </w:tabs>
        <w:ind w:left="2160" w:hanging="360"/>
      </w:pPr>
      <w:rPr>
        <w:rFonts w:ascii="Symbol" w:hAnsi="Symbol" w:hint="default"/>
      </w:rPr>
    </w:lvl>
    <w:lvl w:ilvl="3" w:tplc="89CCC4FE" w:tentative="1">
      <w:start w:val="1"/>
      <w:numFmt w:val="bullet"/>
      <w:lvlText w:val=""/>
      <w:lvlJc w:val="left"/>
      <w:pPr>
        <w:tabs>
          <w:tab w:val="num" w:pos="2880"/>
        </w:tabs>
        <w:ind w:left="2880" w:hanging="360"/>
      </w:pPr>
      <w:rPr>
        <w:rFonts w:ascii="Symbol" w:hAnsi="Symbol" w:hint="default"/>
      </w:rPr>
    </w:lvl>
    <w:lvl w:ilvl="4" w:tplc="BC30322E" w:tentative="1">
      <w:start w:val="1"/>
      <w:numFmt w:val="bullet"/>
      <w:lvlText w:val=""/>
      <w:lvlJc w:val="left"/>
      <w:pPr>
        <w:tabs>
          <w:tab w:val="num" w:pos="3600"/>
        </w:tabs>
        <w:ind w:left="3600" w:hanging="360"/>
      </w:pPr>
      <w:rPr>
        <w:rFonts w:ascii="Symbol" w:hAnsi="Symbol" w:hint="default"/>
      </w:rPr>
    </w:lvl>
    <w:lvl w:ilvl="5" w:tplc="566A8CE8" w:tentative="1">
      <w:start w:val="1"/>
      <w:numFmt w:val="bullet"/>
      <w:lvlText w:val=""/>
      <w:lvlJc w:val="left"/>
      <w:pPr>
        <w:tabs>
          <w:tab w:val="num" w:pos="4320"/>
        </w:tabs>
        <w:ind w:left="4320" w:hanging="360"/>
      </w:pPr>
      <w:rPr>
        <w:rFonts w:ascii="Symbol" w:hAnsi="Symbol" w:hint="default"/>
      </w:rPr>
    </w:lvl>
    <w:lvl w:ilvl="6" w:tplc="0DEC6576" w:tentative="1">
      <w:start w:val="1"/>
      <w:numFmt w:val="bullet"/>
      <w:lvlText w:val=""/>
      <w:lvlJc w:val="left"/>
      <w:pPr>
        <w:tabs>
          <w:tab w:val="num" w:pos="5040"/>
        </w:tabs>
        <w:ind w:left="5040" w:hanging="360"/>
      </w:pPr>
      <w:rPr>
        <w:rFonts w:ascii="Symbol" w:hAnsi="Symbol" w:hint="default"/>
      </w:rPr>
    </w:lvl>
    <w:lvl w:ilvl="7" w:tplc="CC4AD692" w:tentative="1">
      <w:start w:val="1"/>
      <w:numFmt w:val="bullet"/>
      <w:lvlText w:val=""/>
      <w:lvlJc w:val="left"/>
      <w:pPr>
        <w:tabs>
          <w:tab w:val="num" w:pos="5760"/>
        </w:tabs>
        <w:ind w:left="5760" w:hanging="360"/>
      </w:pPr>
      <w:rPr>
        <w:rFonts w:ascii="Symbol" w:hAnsi="Symbol" w:hint="default"/>
      </w:rPr>
    </w:lvl>
    <w:lvl w:ilvl="8" w:tplc="5F64092A"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1"/>
  </w:num>
  <w:num w:numId="3">
    <w:abstractNumId w:val="7"/>
  </w:num>
  <w:num w:numId="4">
    <w:abstractNumId w:val="2"/>
  </w:num>
  <w:num w:numId="5">
    <w:abstractNumId w:val="4"/>
  </w:num>
  <w:num w:numId="6">
    <w:abstractNumId w:val="8"/>
  </w:num>
  <w:num w:numId="7">
    <w:abstractNumId w:val="0"/>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860"/>
    <w:rsid w:val="0001402D"/>
    <w:rsid w:val="000402B9"/>
    <w:rsid w:val="000909A3"/>
    <w:rsid w:val="000D5E20"/>
    <w:rsid w:val="000E33A1"/>
    <w:rsid w:val="000E6FA2"/>
    <w:rsid w:val="000E7860"/>
    <w:rsid w:val="000F32D2"/>
    <w:rsid w:val="00101390"/>
    <w:rsid w:val="00190F1B"/>
    <w:rsid w:val="001972AB"/>
    <w:rsid w:val="001A3EAE"/>
    <w:rsid w:val="001B262E"/>
    <w:rsid w:val="001B74F1"/>
    <w:rsid w:val="001D68BF"/>
    <w:rsid w:val="001D76A1"/>
    <w:rsid w:val="00381CF4"/>
    <w:rsid w:val="003A5148"/>
    <w:rsid w:val="003C5695"/>
    <w:rsid w:val="003D14F3"/>
    <w:rsid w:val="00406C5F"/>
    <w:rsid w:val="004855B2"/>
    <w:rsid w:val="004F2169"/>
    <w:rsid w:val="004F3871"/>
    <w:rsid w:val="00506C5A"/>
    <w:rsid w:val="005B41E4"/>
    <w:rsid w:val="005C69EB"/>
    <w:rsid w:val="005D2840"/>
    <w:rsid w:val="005F7099"/>
    <w:rsid w:val="0062741F"/>
    <w:rsid w:val="006305DC"/>
    <w:rsid w:val="00690066"/>
    <w:rsid w:val="006E7AF8"/>
    <w:rsid w:val="00772C5F"/>
    <w:rsid w:val="007A110C"/>
    <w:rsid w:val="007B51A1"/>
    <w:rsid w:val="007D13D4"/>
    <w:rsid w:val="0081118D"/>
    <w:rsid w:val="008527D9"/>
    <w:rsid w:val="00864871"/>
    <w:rsid w:val="00872850"/>
    <w:rsid w:val="008774AC"/>
    <w:rsid w:val="008E354C"/>
    <w:rsid w:val="008F28C2"/>
    <w:rsid w:val="009364DC"/>
    <w:rsid w:val="00972F33"/>
    <w:rsid w:val="009C3CBF"/>
    <w:rsid w:val="009C4CEA"/>
    <w:rsid w:val="009C630D"/>
    <w:rsid w:val="00A412D2"/>
    <w:rsid w:val="00A43A9B"/>
    <w:rsid w:val="00A93456"/>
    <w:rsid w:val="00B32CF8"/>
    <w:rsid w:val="00B834A3"/>
    <w:rsid w:val="00C1026E"/>
    <w:rsid w:val="00C23874"/>
    <w:rsid w:val="00C67211"/>
    <w:rsid w:val="00C7450E"/>
    <w:rsid w:val="00CC1572"/>
    <w:rsid w:val="00CF1221"/>
    <w:rsid w:val="00D24FD4"/>
    <w:rsid w:val="00D3299A"/>
    <w:rsid w:val="00D54E8A"/>
    <w:rsid w:val="00DE0892"/>
    <w:rsid w:val="00DE2A31"/>
    <w:rsid w:val="00E8010B"/>
    <w:rsid w:val="00EE5AA2"/>
    <w:rsid w:val="00EF53EB"/>
    <w:rsid w:val="00F1057D"/>
    <w:rsid w:val="00F5423D"/>
    <w:rsid w:val="00F544DE"/>
    <w:rsid w:val="00FC14DA"/>
    <w:rsid w:val="00FC6782"/>
    <w:rsid w:val="00FD2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paragraph" w:styleId="BalloonText">
    <w:name w:val="Balloon Text"/>
    <w:basedOn w:val="Normal"/>
    <w:link w:val="BalloonTextChar"/>
    <w:uiPriority w:val="99"/>
    <w:semiHidden/>
    <w:unhideWhenUsed/>
    <w:rsid w:val="004855B2"/>
    <w:rPr>
      <w:rFonts w:ascii="Tahoma" w:hAnsi="Tahoma" w:cs="Tahoma"/>
      <w:sz w:val="16"/>
      <w:szCs w:val="16"/>
    </w:rPr>
  </w:style>
  <w:style w:type="character" w:customStyle="1" w:styleId="BalloonTextChar">
    <w:name w:val="Balloon Text Char"/>
    <w:basedOn w:val="DefaultParagraphFont"/>
    <w:link w:val="BalloonText"/>
    <w:uiPriority w:val="99"/>
    <w:semiHidden/>
    <w:rsid w:val="004855B2"/>
    <w:rPr>
      <w:rFonts w:ascii="Tahoma" w:hAnsi="Tahoma" w:cs="Tahoma"/>
      <w:sz w:val="16"/>
      <w:szCs w:val="16"/>
    </w:rPr>
  </w:style>
  <w:style w:type="paragraph" w:styleId="HTMLPreformatted">
    <w:name w:val="HTML Preformatted"/>
    <w:basedOn w:val="Normal"/>
    <w:link w:val="HTMLPreformattedChar"/>
    <w:uiPriority w:val="99"/>
    <w:semiHidden/>
    <w:unhideWhenUsed/>
    <w:rsid w:val="00485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55B2"/>
    <w:rPr>
      <w:rFonts w:ascii="Courier New" w:eastAsia="Times New Roman" w:hAnsi="Courier New" w:cs="Courier New"/>
      <w:sz w:val="20"/>
      <w:szCs w:val="20"/>
    </w:rPr>
  </w:style>
  <w:style w:type="table" w:styleId="TableGrid">
    <w:name w:val="Table Grid"/>
    <w:basedOn w:val="TableNormal"/>
    <w:uiPriority w:val="59"/>
    <w:rsid w:val="006E7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ghfmyibcpb">
    <w:name w:val="gghfmyibcpb"/>
    <w:basedOn w:val="DefaultParagraphFont"/>
    <w:rsid w:val="007A110C"/>
  </w:style>
  <w:style w:type="character" w:customStyle="1" w:styleId="gghfmyibcob">
    <w:name w:val="gghfmyibcob"/>
    <w:basedOn w:val="DefaultParagraphFont"/>
    <w:rsid w:val="007A11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paragraph" w:styleId="BalloonText">
    <w:name w:val="Balloon Text"/>
    <w:basedOn w:val="Normal"/>
    <w:link w:val="BalloonTextChar"/>
    <w:uiPriority w:val="99"/>
    <w:semiHidden/>
    <w:unhideWhenUsed/>
    <w:rsid w:val="004855B2"/>
    <w:rPr>
      <w:rFonts w:ascii="Tahoma" w:hAnsi="Tahoma" w:cs="Tahoma"/>
      <w:sz w:val="16"/>
      <w:szCs w:val="16"/>
    </w:rPr>
  </w:style>
  <w:style w:type="character" w:customStyle="1" w:styleId="BalloonTextChar">
    <w:name w:val="Balloon Text Char"/>
    <w:basedOn w:val="DefaultParagraphFont"/>
    <w:link w:val="BalloonText"/>
    <w:uiPriority w:val="99"/>
    <w:semiHidden/>
    <w:rsid w:val="004855B2"/>
    <w:rPr>
      <w:rFonts w:ascii="Tahoma" w:hAnsi="Tahoma" w:cs="Tahoma"/>
      <w:sz w:val="16"/>
      <w:szCs w:val="16"/>
    </w:rPr>
  </w:style>
  <w:style w:type="paragraph" w:styleId="HTMLPreformatted">
    <w:name w:val="HTML Preformatted"/>
    <w:basedOn w:val="Normal"/>
    <w:link w:val="HTMLPreformattedChar"/>
    <w:uiPriority w:val="99"/>
    <w:semiHidden/>
    <w:unhideWhenUsed/>
    <w:rsid w:val="00485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55B2"/>
    <w:rPr>
      <w:rFonts w:ascii="Courier New" w:eastAsia="Times New Roman" w:hAnsi="Courier New" w:cs="Courier New"/>
      <w:sz w:val="20"/>
      <w:szCs w:val="20"/>
    </w:rPr>
  </w:style>
  <w:style w:type="table" w:styleId="TableGrid">
    <w:name w:val="Table Grid"/>
    <w:basedOn w:val="TableNormal"/>
    <w:uiPriority w:val="59"/>
    <w:rsid w:val="006E7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ghfmyibcpb">
    <w:name w:val="gghfmyibcpb"/>
    <w:basedOn w:val="DefaultParagraphFont"/>
    <w:rsid w:val="007A110C"/>
  </w:style>
  <w:style w:type="character" w:customStyle="1" w:styleId="gghfmyibcob">
    <w:name w:val="gghfmyibcob"/>
    <w:basedOn w:val="DefaultParagraphFont"/>
    <w:rsid w:val="007A1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595748">
      <w:bodyDiv w:val="1"/>
      <w:marLeft w:val="0"/>
      <w:marRight w:val="0"/>
      <w:marTop w:val="0"/>
      <w:marBottom w:val="0"/>
      <w:divBdr>
        <w:top w:val="none" w:sz="0" w:space="0" w:color="auto"/>
        <w:left w:val="none" w:sz="0" w:space="0" w:color="auto"/>
        <w:bottom w:val="none" w:sz="0" w:space="0" w:color="auto"/>
        <w:right w:val="none" w:sz="0" w:space="0" w:color="auto"/>
      </w:divBdr>
    </w:div>
    <w:div w:id="410127760">
      <w:bodyDiv w:val="1"/>
      <w:marLeft w:val="0"/>
      <w:marRight w:val="0"/>
      <w:marTop w:val="0"/>
      <w:marBottom w:val="0"/>
      <w:divBdr>
        <w:top w:val="none" w:sz="0" w:space="0" w:color="auto"/>
        <w:left w:val="none" w:sz="0" w:space="0" w:color="auto"/>
        <w:bottom w:val="none" w:sz="0" w:space="0" w:color="auto"/>
        <w:right w:val="none" w:sz="0" w:space="0" w:color="auto"/>
      </w:divBdr>
    </w:div>
    <w:div w:id="889996449">
      <w:bodyDiv w:val="1"/>
      <w:marLeft w:val="0"/>
      <w:marRight w:val="0"/>
      <w:marTop w:val="0"/>
      <w:marBottom w:val="0"/>
      <w:divBdr>
        <w:top w:val="none" w:sz="0" w:space="0" w:color="auto"/>
        <w:left w:val="none" w:sz="0" w:space="0" w:color="auto"/>
        <w:bottom w:val="none" w:sz="0" w:space="0" w:color="auto"/>
        <w:right w:val="none" w:sz="0" w:space="0" w:color="auto"/>
      </w:divBdr>
    </w:div>
    <w:div w:id="937058339">
      <w:bodyDiv w:val="1"/>
      <w:marLeft w:val="0"/>
      <w:marRight w:val="0"/>
      <w:marTop w:val="0"/>
      <w:marBottom w:val="0"/>
      <w:divBdr>
        <w:top w:val="none" w:sz="0" w:space="0" w:color="auto"/>
        <w:left w:val="none" w:sz="0" w:space="0" w:color="auto"/>
        <w:bottom w:val="none" w:sz="0" w:space="0" w:color="auto"/>
        <w:right w:val="none" w:sz="0" w:space="0" w:color="auto"/>
      </w:divBdr>
    </w:div>
    <w:div w:id="1113867571">
      <w:bodyDiv w:val="1"/>
      <w:marLeft w:val="0"/>
      <w:marRight w:val="0"/>
      <w:marTop w:val="0"/>
      <w:marBottom w:val="0"/>
      <w:divBdr>
        <w:top w:val="none" w:sz="0" w:space="0" w:color="auto"/>
        <w:left w:val="none" w:sz="0" w:space="0" w:color="auto"/>
        <w:bottom w:val="none" w:sz="0" w:space="0" w:color="auto"/>
        <w:right w:val="none" w:sz="0" w:space="0" w:color="auto"/>
      </w:divBdr>
    </w:div>
    <w:div w:id="1465274499">
      <w:bodyDiv w:val="1"/>
      <w:marLeft w:val="0"/>
      <w:marRight w:val="0"/>
      <w:marTop w:val="0"/>
      <w:marBottom w:val="0"/>
      <w:divBdr>
        <w:top w:val="none" w:sz="0" w:space="0" w:color="auto"/>
        <w:left w:val="none" w:sz="0" w:space="0" w:color="auto"/>
        <w:bottom w:val="none" w:sz="0" w:space="0" w:color="auto"/>
        <w:right w:val="none" w:sz="0" w:space="0" w:color="auto"/>
      </w:divBdr>
    </w:div>
    <w:div w:id="1769036782">
      <w:bodyDiv w:val="1"/>
      <w:marLeft w:val="0"/>
      <w:marRight w:val="0"/>
      <w:marTop w:val="0"/>
      <w:marBottom w:val="0"/>
      <w:divBdr>
        <w:top w:val="none" w:sz="0" w:space="0" w:color="auto"/>
        <w:left w:val="none" w:sz="0" w:space="0" w:color="auto"/>
        <w:bottom w:val="none" w:sz="0" w:space="0" w:color="auto"/>
        <w:right w:val="none" w:sz="0" w:space="0" w:color="auto"/>
      </w:divBdr>
    </w:div>
    <w:div w:id="185279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Kroger Co.</Company>
  <LinksUpToDate>false</LinksUpToDate>
  <CharactersWithSpaces>9198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 Daniel</dc:creator>
  <cp:lastModifiedBy>Rogers, Daniel A</cp:lastModifiedBy>
  <cp:revision>11</cp:revision>
  <dcterms:created xsi:type="dcterms:W3CDTF">2017-08-12T18:04:00Z</dcterms:created>
  <dcterms:modified xsi:type="dcterms:W3CDTF">2017-09-05T03:11:00Z</dcterms:modified>
</cp:coreProperties>
</file>