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20" w:rsidRPr="000E6FA2" w:rsidRDefault="00771A8C" w:rsidP="000E6FA2">
      <w:pPr>
        <w:pStyle w:val="Title"/>
      </w:pPr>
      <w:r>
        <w:t>P/E Ratios and S&amp;P 500 Returns</w:t>
      </w:r>
    </w:p>
    <w:p w:rsidR="000D5E20" w:rsidRDefault="000D5E20" w:rsidP="000E6FA2"/>
    <w:p w:rsidR="000E6FA2" w:rsidRPr="007D13D4" w:rsidRDefault="00771A8C" w:rsidP="007D13D4">
      <w:pPr>
        <w:pStyle w:val="Heading1"/>
      </w:pPr>
      <w:r>
        <w:t>Introduction</w:t>
      </w:r>
    </w:p>
    <w:p w:rsidR="007D13D4" w:rsidRDefault="007D13D4" w:rsidP="000E6FA2"/>
    <w:p w:rsidR="00771A8C" w:rsidRDefault="00771A8C" w:rsidP="000E6FA2">
      <w:r>
        <w:t xml:space="preserve">I remember hearing once that P/E Ratios explain 30% of the movement in the market.  Last month, I came across </w:t>
      </w:r>
      <w:hyperlink r:id="rId8" w:history="1">
        <w:r w:rsidRPr="00771A8C">
          <w:rPr>
            <w:rStyle w:val="Hyperlink"/>
          </w:rPr>
          <w:t>this article</w:t>
        </w:r>
      </w:hyperlink>
      <w:r>
        <w:t xml:space="preserve"> from CNBC offering further evidence using this chart:</w:t>
      </w:r>
    </w:p>
    <w:p w:rsidR="00771A8C" w:rsidRDefault="00771A8C" w:rsidP="000E6FA2"/>
    <w:p w:rsidR="007D13D4" w:rsidRDefault="00771A8C" w:rsidP="000E6FA2">
      <w:r>
        <w:rPr>
          <w:noProof/>
        </w:rPr>
        <w:drawing>
          <wp:inline distT="0" distB="0" distL="0" distR="0" wp14:anchorId="225E85E2" wp14:editId="71396D11">
            <wp:extent cx="5067300" cy="3038926"/>
            <wp:effectExtent l="0" t="0" r="0" b="9525"/>
            <wp:docPr id="1" name="Picture 1" descr="https://fm.cnbc.com/applications/cnbc.com/resources/editorialfiles/charts/2017/07/1501509840_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m.cnbc.com/applications/cnbc.com/resources/editorialfiles/charts/2017/07/1501509840_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94" cy="30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71A8C" w:rsidRDefault="00771A8C" w:rsidP="000E6FA2"/>
    <w:p w:rsidR="00771A8C" w:rsidRDefault="00771A8C" w:rsidP="000E6FA2">
      <w:r>
        <w:t>They used this chart as evidence that we should expect single-digit or negative returns in the S&amp;P 500 over the next 10 years.</w:t>
      </w:r>
    </w:p>
    <w:p w:rsidR="00771A8C" w:rsidRDefault="00771A8C" w:rsidP="000E6FA2"/>
    <w:p w:rsidR="00771A8C" w:rsidRDefault="00771A8C" w:rsidP="000E6FA2">
      <w:proofErr w:type="gramStart"/>
      <w:r>
        <w:t>I’ve</w:t>
      </w:r>
      <w:proofErr w:type="gramEnd"/>
      <w:r>
        <w:t xml:space="preserve"> never been the type to trust other people’s data.  I like to see it myself.  </w:t>
      </w:r>
      <w:proofErr w:type="gramStart"/>
      <w:r>
        <w:t>So</w:t>
      </w:r>
      <w:proofErr w:type="gramEnd"/>
      <w:r>
        <w:t xml:space="preserve"> I downloaded P/E Ratio data for the S&amp;P 500 and ran a simple regression.  The results were surprising.  I only had a limited 10-year sample, but during that time, the P/E Ratio explained 22% of the variation in stock market returns over a 24-month period.  That </w:t>
      </w:r>
      <w:proofErr w:type="gramStart"/>
      <w:r>
        <w:t>wasn’t</w:t>
      </w:r>
      <w:proofErr w:type="gramEnd"/>
      <w:r>
        <w:t xml:space="preserve"> the surprising part.  The surprising part is that they explain 76% of the variation of 30-month returns and 73% of the variation of 36-month returns!  Wow!  At current P/E levels of 28.96, this would lead us to expect the following returns:</w:t>
      </w:r>
    </w:p>
    <w:p w:rsidR="00426976" w:rsidRDefault="00426976" w:rsidP="000E6FA2"/>
    <w:p w:rsidR="00426976" w:rsidRDefault="00426976" w:rsidP="00426976">
      <w:pPr>
        <w:ind w:left="720"/>
      </w:pPr>
      <w:r>
        <w:t>18-month:  - 4.11%</w:t>
      </w:r>
    </w:p>
    <w:p w:rsidR="00771A8C" w:rsidRDefault="00771A8C" w:rsidP="00426976">
      <w:pPr>
        <w:ind w:left="720"/>
      </w:pPr>
      <w:r>
        <w:t>24-month:</w:t>
      </w:r>
      <w:r w:rsidR="00426976">
        <w:t xml:space="preserve">  - 3.04%</w:t>
      </w:r>
    </w:p>
    <w:p w:rsidR="00771A8C" w:rsidRDefault="00771A8C" w:rsidP="00426976">
      <w:pPr>
        <w:ind w:left="720"/>
      </w:pPr>
      <w:r>
        <w:t>30-month:</w:t>
      </w:r>
      <w:r w:rsidR="00426976">
        <w:t xml:space="preserve">  - 2.50%</w:t>
      </w:r>
    </w:p>
    <w:p w:rsidR="00771A8C" w:rsidRDefault="00771A8C" w:rsidP="00426976">
      <w:pPr>
        <w:ind w:left="720"/>
      </w:pPr>
      <w:r>
        <w:t>36-month:</w:t>
      </w:r>
      <w:r w:rsidR="00426976">
        <w:t xml:space="preserve">  - 1.30%</w:t>
      </w:r>
    </w:p>
    <w:p w:rsidR="00426976" w:rsidRDefault="00426976" w:rsidP="00426976">
      <w:pPr>
        <w:ind w:left="720"/>
      </w:pPr>
      <w:r>
        <w:t>42-month:  - 1.32%</w:t>
      </w:r>
    </w:p>
    <w:p w:rsidR="00771A8C" w:rsidRDefault="00771A8C" w:rsidP="000E6FA2"/>
    <w:p w:rsidR="00771A8C" w:rsidRDefault="00771A8C" w:rsidP="00D24FD4">
      <w:r>
        <w:t xml:space="preserve">The following is a </w:t>
      </w:r>
      <w:proofErr w:type="gramStart"/>
      <w:r>
        <w:t>pretty simple</w:t>
      </w:r>
      <w:proofErr w:type="gramEnd"/>
      <w:r>
        <w:t xml:space="preserve"> analysis, so let’s see if I can keep this write-up brief.</w:t>
      </w:r>
    </w:p>
    <w:p w:rsidR="00771A8C" w:rsidRDefault="00771A8C">
      <w:pPr>
        <w:spacing w:after="200" w:line="276" w:lineRule="auto"/>
        <w:contextualSpacing w:val="0"/>
      </w:pPr>
      <w:r>
        <w:br w:type="page"/>
      </w:r>
    </w:p>
    <w:p w:rsidR="00771A8C" w:rsidRDefault="00771A8C" w:rsidP="00771A8C">
      <w:pPr>
        <w:pStyle w:val="Heading1"/>
      </w:pPr>
      <w:r>
        <w:lastRenderedPageBreak/>
        <w:t>P/E Ratio Data</w:t>
      </w:r>
    </w:p>
    <w:p w:rsidR="00771A8C" w:rsidRDefault="00771A8C" w:rsidP="00D24FD4"/>
    <w:p w:rsidR="00771A8C" w:rsidRDefault="00771A8C" w:rsidP="00D24FD4">
      <w:r>
        <w:t xml:space="preserve">The P/E data I used came </w:t>
      </w:r>
      <w:proofErr w:type="gramStart"/>
      <w:r>
        <w:t>from:</w:t>
      </w:r>
      <w:proofErr w:type="gramEnd"/>
      <w:r>
        <w:t xml:space="preserve"> </w:t>
      </w:r>
      <w:hyperlink r:id="rId10" w:history="1">
        <w:r w:rsidRPr="0029594E">
          <w:rPr>
            <w:rStyle w:val="Hyperlink"/>
          </w:rPr>
          <w:t>http://www.multpl.com/shiller-pe/</w:t>
        </w:r>
      </w:hyperlink>
      <w:r>
        <w:t>.  This site presents Robert Schiller’s 10-year, Cyclically Adjusted PE Ratio.  It presen</w:t>
      </w:r>
      <w:r w:rsidR="001E5D7A">
        <w:t>ts the super-useful graph below</w:t>
      </w:r>
      <w:r>
        <w:t xml:space="preserve"> </w:t>
      </w:r>
      <w:proofErr w:type="gramStart"/>
      <w:r>
        <w:t>and also</w:t>
      </w:r>
      <w:proofErr w:type="gramEnd"/>
      <w:r>
        <w:t xml:space="preserve"> allows the user to download annual or monthly data.  Monthly data </w:t>
      </w:r>
      <w:proofErr w:type="gramStart"/>
      <w:r>
        <w:t>was used</w:t>
      </w:r>
      <w:proofErr w:type="gramEnd"/>
      <w:r>
        <w:t xml:space="preserve"> in this analysis.</w:t>
      </w:r>
    </w:p>
    <w:p w:rsidR="00771A8C" w:rsidRDefault="00771A8C" w:rsidP="00D24FD4"/>
    <w:p w:rsidR="001972AB" w:rsidRDefault="00771A8C" w:rsidP="00D24FD4"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3D4">
        <w:br/>
      </w:r>
    </w:p>
    <w:p w:rsidR="00771A8C" w:rsidRDefault="00771A8C" w:rsidP="00771A8C">
      <w:pPr>
        <w:pStyle w:val="Heading1"/>
      </w:pPr>
      <w:r>
        <w:t>Analysis</w:t>
      </w:r>
    </w:p>
    <w:p w:rsidR="00771A8C" w:rsidRDefault="00771A8C" w:rsidP="00D24FD4"/>
    <w:p w:rsidR="00771A8C" w:rsidRDefault="00771A8C" w:rsidP="00D24FD4">
      <w:r>
        <w:t xml:space="preserve">10-years of historical quotes for VOO (Vanguard’s S&amp;P 500 index) </w:t>
      </w:r>
      <w:proofErr w:type="gramStart"/>
      <w:r>
        <w:t>were downloaded</w:t>
      </w:r>
      <w:proofErr w:type="gramEnd"/>
      <w:r>
        <w:t xml:space="preserve"> from Google via </w:t>
      </w:r>
      <w:proofErr w:type="spellStart"/>
      <w:r>
        <w:t>quantmod</w:t>
      </w:r>
      <w:proofErr w:type="spellEnd"/>
      <w:r>
        <w:t xml:space="preserve">.  These were joined with the P/E Ratio data and </w:t>
      </w:r>
      <w:r w:rsidR="0058305E">
        <w:t xml:space="preserve">filtered </w:t>
      </w:r>
      <w:proofErr w:type="gramStart"/>
      <w:r w:rsidR="0058305E">
        <w:t>to only include</w:t>
      </w:r>
      <w:proofErr w:type="gramEnd"/>
      <w:r w:rsidR="0058305E">
        <w:t xml:space="preserve"> the 1</w:t>
      </w:r>
      <w:r w:rsidR="0058305E" w:rsidRPr="0058305E">
        <w:rPr>
          <w:vertAlign w:val="superscript"/>
        </w:rPr>
        <w:t>st</w:t>
      </w:r>
      <w:r w:rsidR="0058305E">
        <w:t xml:space="preserve"> trading day of each month along with the P/E ratio from the end of the previous month.  The following R code was then used to calculate returns over a given </w:t>
      </w:r>
      <w:proofErr w:type="gramStart"/>
      <w:r w:rsidR="0058305E">
        <w:t>LEAD time</w:t>
      </w:r>
      <w:proofErr w:type="gramEnd"/>
      <w:r w:rsidR="0058305E">
        <w:t xml:space="preserve"> (in months), plot these against P/E Ratios, and do a simple linear regression.</w:t>
      </w:r>
    </w:p>
    <w:p w:rsidR="0058305E" w:rsidRDefault="0058305E" w:rsidP="00D24FD4"/>
    <w:p w:rsidR="0058305E" w:rsidRDefault="0058305E" w:rsidP="0058305E">
      <w:pPr>
        <w:pStyle w:val="Code"/>
      </w:pPr>
      <w:r>
        <w:t xml:space="preserve"># NOTE: </w:t>
      </w:r>
      <w:proofErr w:type="spellStart"/>
      <w:r>
        <w:t>df.monthly</w:t>
      </w:r>
      <w:proofErr w:type="spellEnd"/>
      <w:r>
        <w:t xml:space="preserve"> contains columns named Date, Close, and </w:t>
      </w:r>
      <w:proofErr w:type="spellStart"/>
      <w:r>
        <w:t>PE.Ratio</w:t>
      </w:r>
      <w:proofErr w:type="spellEnd"/>
    </w:p>
    <w:p w:rsidR="0058305E" w:rsidRDefault="0058305E" w:rsidP="0058305E">
      <w:pPr>
        <w:pStyle w:val="Code"/>
      </w:pPr>
    </w:p>
    <w:p w:rsidR="0058305E" w:rsidRDefault="0058305E" w:rsidP="0058305E">
      <w:pPr>
        <w:pStyle w:val="Code"/>
      </w:pPr>
      <w:r>
        <w:t>LEAD &lt;- 36</w:t>
      </w:r>
    </w:p>
    <w:p w:rsidR="0058305E" w:rsidRDefault="0058305E" w:rsidP="0058305E">
      <w:pPr>
        <w:pStyle w:val="Code"/>
      </w:pPr>
    </w:p>
    <w:p w:rsidR="0058305E" w:rsidRDefault="0058305E" w:rsidP="0058305E">
      <w:pPr>
        <w:pStyle w:val="Code"/>
      </w:pPr>
      <w:proofErr w:type="spellStart"/>
      <w:r>
        <w:t>df.monthly$Return</w:t>
      </w:r>
      <w:proofErr w:type="spellEnd"/>
      <w:r>
        <w:t xml:space="preserve"> &lt;- </w:t>
      </w:r>
      <w:proofErr w:type="gramStart"/>
      <w:r>
        <w:t>with(</w:t>
      </w:r>
      <w:proofErr w:type="gramEnd"/>
    </w:p>
    <w:p w:rsidR="0058305E" w:rsidRDefault="0058305E" w:rsidP="0058305E">
      <w:pPr>
        <w:pStyle w:val="Code"/>
      </w:pPr>
      <w:r>
        <w:t xml:space="preserve">  </w:t>
      </w:r>
      <w:proofErr w:type="spellStart"/>
      <w:r>
        <w:t>df.monthly</w:t>
      </w:r>
      <w:proofErr w:type="spellEnd"/>
      <w:r>
        <w:t>,</w:t>
      </w:r>
    </w:p>
    <w:p w:rsidR="0058305E" w:rsidRDefault="0058305E" w:rsidP="0058305E">
      <w:pPr>
        <w:pStyle w:val="Code"/>
      </w:pPr>
      <w:r>
        <w:t xml:space="preserve">  </w:t>
      </w:r>
      <w:proofErr w:type="gramStart"/>
      <w:r>
        <w:t>log(</w:t>
      </w:r>
      <w:proofErr w:type="gramEnd"/>
      <w:r>
        <w:t>lead(Close, LEAD)/Close)) * 12/LEAD</w:t>
      </w:r>
      <w:r w:rsidR="001E5D7A">
        <w:t xml:space="preserve">       # annualized log returns</w:t>
      </w:r>
    </w:p>
    <w:p w:rsidR="0058305E" w:rsidRDefault="0058305E" w:rsidP="0058305E">
      <w:pPr>
        <w:pStyle w:val="Code"/>
      </w:pPr>
    </w:p>
    <w:p w:rsidR="0058305E" w:rsidRDefault="0058305E" w:rsidP="0058305E">
      <w:pPr>
        <w:pStyle w:val="Code"/>
      </w:pPr>
      <w:proofErr w:type="gramStart"/>
      <w:r>
        <w:t>with(</w:t>
      </w:r>
      <w:proofErr w:type="spellStart"/>
      <w:proofErr w:type="gramEnd"/>
      <w:r>
        <w:t>df.monthly</w:t>
      </w:r>
      <w:proofErr w:type="spellEnd"/>
      <w:r>
        <w:t>,</w:t>
      </w:r>
      <w:bookmarkStart w:id="0" w:name="_GoBack"/>
      <w:bookmarkEnd w:id="0"/>
    </w:p>
    <w:p w:rsidR="0058305E" w:rsidRDefault="0058305E" w:rsidP="0058305E">
      <w:pPr>
        <w:pStyle w:val="Code"/>
      </w:pPr>
      <w:r>
        <w:t xml:space="preserve">     </w:t>
      </w:r>
      <w:proofErr w:type="gramStart"/>
      <w:r>
        <w:t>plot(</w:t>
      </w:r>
      <w:proofErr w:type="spellStart"/>
      <w:proofErr w:type="gramEnd"/>
      <w:r>
        <w:t>PE.Ratio</w:t>
      </w:r>
      <w:proofErr w:type="spellEnd"/>
      <w:r>
        <w:t>, Return))</w:t>
      </w:r>
    </w:p>
    <w:p w:rsidR="0058305E" w:rsidRDefault="0058305E" w:rsidP="0058305E">
      <w:pPr>
        <w:pStyle w:val="Code"/>
      </w:pPr>
    </w:p>
    <w:p w:rsidR="0058305E" w:rsidRDefault="0058305E" w:rsidP="0058305E">
      <w:pPr>
        <w:pStyle w:val="Code"/>
      </w:pPr>
      <w:proofErr w:type="gramStart"/>
      <w:r>
        <w:t>summary(</w:t>
      </w:r>
      <w:proofErr w:type="gramEnd"/>
      <w:r>
        <w:t xml:space="preserve">lm(Return ~ </w:t>
      </w:r>
      <w:proofErr w:type="spellStart"/>
      <w:r>
        <w:t>PE.Ratio</w:t>
      </w:r>
      <w:proofErr w:type="spellEnd"/>
      <w:r>
        <w:t>, data=</w:t>
      </w:r>
      <w:proofErr w:type="spellStart"/>
      <w:r>
        <w:t>df.monthly</w:t>
      </w:r>
      <w:proofErr w:type="spellEnd"/>
      <w:r>
        <w:t>))</w:t>
      </w:r>
    </w:p>
    <w:p w:rsidR="0058305E" w:rsidRDefault="0058305E" w:rsidP="0058305E">
      <w:pPr>
        <w:pStyle w:val="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4680"/>
      </w:tblGrid>
      <w:tr w:rsidR="0058305E" w:rsidTr="00EA61F1">
        <w:tc>
          <w:tcPr>
            <w:tcW w:w="4896" w:type="dxa"/>
          </w:tcPr>
          <w:p w:rsidR="0058305E" w:rsidRPr="0058305E" w:rsidRDefault="0058305E" w:rsidP="0058305E">
            <w:pPr>
              <w:keepNext/>
              <w:jc w:val="center"/>
              <w:rPr>
                <w:b/>
              </w:rPr>
            </w:pPr>
            <w:r w:rsidRPr="0058305E">
              <w:rPr>
                <w:b/>
              </w:rPr>
              <w:lastRenderedPageBreak/>
              <w:t>1 Month</w:t>
            </w:r>
          </w:p>
          <w:p w:rsidR="0058305E" w:rsidRDefault="0058305E" w:rsidP="0058305E">
            <w:pPr>
              <w:keepNext/>
            </w:pPr>
            <w:r>
              <w:object w:dxaOrig="5460" w:dyaOrig="4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80pt" o:ole="">
                  <v:imagedata r:id="rId12" o:title=""/>
                </v:shape>
                <o:OLEObject Type="Embed" ProgID="PBrush" ShapeID="_x0000_i1025" DrawAspect="Content" ObjectID="_1564176273" r:id="rId13"/>
              </w:object>
            </w:r>
          </w:p>
        </w:tc>
        <w:tc>
          <w:tcPr>
            <w:tcW w:w="4680" w:type="dxa"/>
          </w:tcPr>
          <w:p w:rsidR="0058305E" w:rsidRPr="0058305E" w:rsidRDefault="0058305E" w:rsidP="0058305E">
            <w:pPr>
              <w:keepNext/>
              <w:jc w:val="center"/>
              <w:rPr>
                <w:b/>
              </w:rPr>
            </w:pPr>
            <w:r w:rsidRPr="0058305E">
              <w:rPr>
                <w:b/>
              </w:rPr>
              <w:t>6 Month</w:t>
            </w:r>
          </w:p>
          <w:p w:rsidR="0058305E" w:rsidRDefault="0058305E" w:rsidP="0058305E">
            <w:pPr>
              <w:keepNext/>
            </w:pPr>
            <w:r>
              <w:object w:dxaOrig="5460" w:dyaOrig="4380">
                <v:shape id="_x0000_i1026" type="#_x0000_t75" style="width:220.5pt;height:177pt" o:ole="">
                  <v:imagedata r:id="rId14" o:title=""/>
                </v:shape>
                <o:OLEObject Type="Embed" ProgID="PBrush" ShapeID="_x0000_i1026" DrawAspect="Content" ObjectID="_1564176274" r:id="rId15"/>
              </w:object>
            </w:r>
          </w:p>
        </w:tc>
      </w:tr>
      <w:tr w:rsidR="0058305E" w:rsidTr="00EA61F1">
        <w:tc>
          <w:tcPr>
            <w:tcW w:w="4896" w:type="dxa"/>
          </w:tcPr>
          <w:p w:rsidR="0058305E" w:rsidRPr="0058305E" w:rsidRDefault="0058305E" w:rsidP="0058305E">
            <w:pPr>
              <w:keepNext/>
              <w:jc w:val="center"/>
              <w:rPr>
                <w:b/>
              </w:rPr>
            </w:pPr>
            <w:r w:rsidRPr="0058305E">
              <w:rPr>
                <w:b/>
              </w:rPr>
              <w:t>12 Month</w:t>
            </w:r>
          </w:p>
          <w:p w:rsidR="0058305E" w:rsidRDefault="0058305E" w:rsidP="0058305E">
            <w:pPr>
              <w:keepNext/>
            </w:pPr>
            <w:r>
              <w:object w:dxaOrig="5385" w:dyaOrig="4365">
                <v:shape id="_x0000_i1027" type="#_x0000_t75" style="width:225pt;height:182.25pt" o:ole="">
                  <v:imagedata r:id="rId16" o:title=""/>
                </v:shape>
                <o:OLEObject Type="Embed" ProgID="PBrush" ShapeID="_x0000_i1027" DrawAspect="Content" ObjectID="_1564176275" r:id="rId17"/>
              </w:object>
            </w:r>
          </w:p>
        </w:tc>
        <w:tc>
          <w:tcPr>
            <w:tcW w:w="4680" w:type="dxa"/>
          </w:tcPr>
          <w:p w:rsidR="0058305E" w:rsidRPr="00EA61F1" w:rsidRDefault="0058305E" w:rsidP="00EA61F1">
            <w:pPr>
              <w:keepNext/>
              <w:jc w:val="center"/>
              <w:rPr>
                <w:b/>
              </w:rPr>
            </w:pPr>
            <w:r w:rsidRPr="00EA61F1">
              <w:rPr>
                <w:b/>
              </w:rPr>
              <w:t>18 Month</w:t>
            </w:r>
          </w:p>
          <w:p w:rsidR="0058305E" w:rsidRDefault="0058305E" w:rsidP="0058305E">
            <w:pPr>
              <w:keepNext/>
            </w:pPr>
            <w:r>
              <w:object w:dxaOrig="5385" w:dyaOrig="4440">
                <v:shape id="_x0000_i1028" type="#_x0000_t75" style="width:210.75pt;height:174pt" o:ole="">
                  <v:imagedata r:id="rId18" o:title=""/>
                </v:shape>
                <o:OLEObject Type="Embed" ProgID="PBrush" ShapeID="_x0000_i1028" DrawAspect="Content" ObjectID="_1564176276" r:id="rId19"/>
              </w:object>
            </w:r>
          </w:p>
        </w:tc>
      </w:tr>
      <w:tr w:rsidR="0058305E" w:rsidTr="00EA61F1">
        <w:tc>
          <w:tcPr>
            <w:tcW w:w="4896" w:type="dxa"/>
          </w:tcPr>
          <w:p w:rsidR="0058305E" w:rsidRPr="00EA61F1" w:rsidRDefault="0058305E" w:rsidP="00EA61F1">
            <w:pPr>
              <w:keepNext/>
              <w:jc w:val="center"/>
              <w:rPr>
                <w:b/>
              </w:rPr>
            </w:pPr>
            <w:r w:rsidRPr="00EA61F1">
              <w:rPr>
                <w:b/>
              </w:rPr>
              <w:t>24 Month</w:t>
            </w:r>
          </w:p>
          <w:p w:rsidR="00EA61F1" w:rsidRDefault="00EA61F1" w:rsidP="0058305E">
            <w:pPr>
              <w:keepNext/>
            </w:pPr>
            <w:r>
              <w:object w:dxaOrig="5370" w:dyaOrig="4335">
                <v:shape id="_x0000_i1029" type="#_x0000_t75" style="width:222pt;height:179.25pt" o:ole="">
                  <v:imagedata r:id="rId20" o:title=""/>
                </v:shape>
                <o:OLEObject Type="Embed" ProgID="PBrush" ShapeID="_x0000_i1029" DrawAspect="Content" ObjectID="_1564176277" r:id="rId21"/>
              </w:object>
            </w:r>
          </w:p>
        </w:tc>
        <w:tc>
          <w:tcPr>
            <w:tcW w:w="4680" w:type="dxa"/>
          </w:tcPr>
          <w:p w:rsidR="0058305E" w:rsidRPr="00EA61F1" w:rsidRDefault="0058305E" w:rsidP="00EA61F1">
            <w:pPr>
              <w:keepNext/>
              <w:jc w:val="center"/>
              <w:rPr>
                <w:b/>
              </w:rPr>
            </w:pPr>
            <w:r w:rsidRPr="00EA61F1">
              <w:rPr>
                <w:b/>
              </w:rPr>
              <w:t>30 Month</w:t>
            </w:r>
          </w:p>
          <w:p w:rsidR="00EA61F1" w:rsidRDefault="00EA61F1" w:rsidP="00EA61F1">
            <w:pPr>
              <w:keepNext/>
            </w:pPr>
            <w:r>
              <w:object w:dxaOrig="5370" w:dyaOrig="4290">
                <v:shape id="_x0000_i1030" type="#_x0000_t75" style="width:221.25pt;height:177pt" o:ole="">
                  <v:imagedata r:id="rId22" o:title=""/>
                </v:shape>
                <o:OLEObject Type="Embed" ProgID="PBrush" ShapeID="_x0000_i1030" DrawAspect="Content" ObjectID="_1564176278" r:id="rId23"/>
              </w:object>
            </w:r>
          </w:p>
        </w:tc>
      </w:tr>
    </w:tbl>
    <w:p w:rsidR="00EA61F1" w:rsidRDefault="00EA61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4680"/>
      </w:tblGrid>
      <w:tr w:rsidR="0058305E" w:rsidTr="00EA61F1">
        <w:tc>
          <w:tcPr>
            <w:tcW w:w="4896" w:type="dxa"/>
          </w:tcPr>
          <w:p w:rsidR="0058305E" w:rsidRPr="00EA61F1" w:rsidRDefault="0058305E" w:rsidP="00EA61F1">
            <w:pPr>
              <w:keepNext/>
              <w:keepLines/>
              <w:jc w:val="center"/>
              <w:rPr>
                <w:b/>
              </w:rPr>
            </w:pPr>
            <w:r w:rsidRPr="00EA61F1">
              <w:rPr>
                <w:b/>
              </w:rPr>
              <w:lastRenderedPageBreak/>
              <w:t>36 Month</w:t>
            </w:r>
          </w:p>
          <w:p w:rsidR="00EA61F1" w:rsidRDefault="00EA61F1" w:rsidP="00EA61F1">
            <w:pPr>
              <w:keepNext/>
              <w:keepLines/>
            </w:pPr>
            <w:r>
              <w:object w:dxaOrig="5385" w:dyaOrig="4365">
                <v:shape id="_x0000_i1031" type="#_x0000_t75" style="width:234pt;height:189.75pt" o:ole="">
                  <v:imagedata r:id="rId24" o:title=""/>
                </v:shape>
                <o:OLEObject Type="Embed" ProgID="PBrush" ShapeID="_x0000_i1031" DrawAspect="Content" ObjectID="_1564176279" r:id="rId25"/>
              </w:object>
            </w:r>
          </w:p>
        </w:tc>
        <w:tc>
          <w:tcPr>
            <w:tcW w:w="4680" w:type="dxa"/>
          </w:tcPr>
          <w:p w:rsidR="0058305E" w:rsidRPr="00EA61F1" w:rsidRDefault="0058305E" w:rsidP="00EA61F1">
            <w:pPr>
              <w:keepNext/>
              <w:jc w:val="center"/>
              <w:rPr>
                <w:b/>
              </w:rPr>
            </w:pPr>
            <w:r w:rsidRPr="00EA61F1">
              <w:rPr>
                <w:b/>
              </w:rPr>
              <w:t>42 Month</w:t>
            </w:r>
          </w:p>
          <w:p w:rsidR="00EA61F1" w:rsidRDefault="00EA61F1" w:rsidP="0058305E">
            <w:pPr>
              <w:keepNext/>
            </w:pPr>
            <w:r>
              <w:object w:dxaOrig="5355" w:dyaOrig="4320">
                <v:shape id="_x0000_i1032" type="#_x0000_t75" style="width:220.5pt;height:177.75pt" o:ole="">
                  <v:imagedata r:id="rId26" o:title=""/>
                </v:shape>
                <o:OLEObject Type="Embed" ProgID="PBrush" ShapeID="_x0000_i1032" DrawAspect="Content" ObjectID="_1564176280" r:id="rId27"/>
              </w:object>
            </w:r>
          </w:p>
        </w:tc>
      </w:tr>
    </w:tbl>
    <w:p w:rsidR="0058305E" w:rsidRDefault="0058305E" w:rsidP="0058305E"/>
    <w:p w:rsidR="00EA61F1" w:rsidRDefault="00EA61F1" w:rsidP="0058305E">
      <w:r>
        <w:t xml:space="preserve">As can be seen in the plots above, the model is unable to predict 1-month or 6-month returns.  However, at </w:t>
      </w:r>
      <w:proofErr w:type="gramStart"/>
      <w:r>
        <w:t>12-months</w:t>
      </w:r>
      <w:proofErr w:type="gramEnd"/>
      <w:r>
        <w:t xml:space="preserve"> a correlation does start to appear, and it strengthens as we look at 18-, 24-, and 30-months.  The table below provides R-squared, Adjusted R-Squared, and coefficients for each of the regressions.  The 30-month prediction is the most accurate.  The 24-month and 36-month predictions are also just as accurate.  The high-powered models have similar coefficients</w:t>
      </w:r>
      <w:r w:rsidR="00426976">
        <w:t>, allowing us to estimate 24-month to 36-month returns with roughly the same formula.</w:t>
      </w:r>
    </w:p>
    <w:p w:rsidR="00EA61F1" w:rsidRDefault="00EA61F1" w:rsidP="00583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405"/>
        <w:gridCol w:w="1480"/>
        <w:gridCol w:w="1530"/>
        <w:gridCol w:w="1800"/>
      </w:tblGrid>
      <w:tr w:rsidR="0058305E" w:rsidTr="00EA61F1">
        <w:tc>
          <w:tcPr>
            <w:tcW w:w="1543" w:type="dxa"/>
            <w:shd w:val="clear" w:color="auto" w:fill="D9D9D9" w:themeFill="background1" w:themeFillShade="D9"/>
          </w:tcPr>
          <w:p w:rsidR="0058305E" w:rsidRDefault="0058305E" w:rsidP="0058305E">
            <w:r>
              <w:t>Period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8305E" w:rsidRDefault="0058305E" w:rsidP="0058305E">
            <w:r>
              <w:t>R-Squared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58305E" w:rsidRDefault="0058305E" w:rsidP="0058305E">
            <w:r>
              <w:t>Adj. R2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8305E" w:rsidRDefault="0058305E" w:rsidP="0058305E">
            <w:r>
              <w:t>Intercept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8305E" w:rsidRDefault="0058305E" w:rsidP="0058305E">
            <w:r>
              <w:t>Slope</w:t>
            </w:r>
          </w:p>
        </w:tc>
      </w:tr>
      <w:tr w:rsidR="0058305E" w:rsidTr="0058305E">
        <w:tc>
          <w:tcPr>
            <w:tcW w:w="1543" w:type="dxa"/>
          </w:tcPr>
          <w:p w:rsidR="0058305E" w:rsidRDefault="0058305E" w:rsidP="0058305E">
            <w:r>
              <w:t>1-Month</w:t>
            </w:r>
          </w:p>
        </w:tc>
        <w:tc>
          <w:tcPr>
            <w:tcW w:w="1405" w:type="dxa"/>
          </w:tcPr>
          <w:p w:rsidR="0058305E" w:rsidRDefault="0058305E" w:rsidP="0058305E">
            <w:r>
              <w:t>0.0007</w:t>
            </w:r>
          </w:p>
        </w:tc>
        <w:tc>
          <w:tcPr>
            <w:tcW w:w="1480" w:type="dxa"/>
          </w:tcPr>
          <w:p w:rsidR="0058305E" w:rsidRDefault="0058305E" w:rsidP="0058305E">
            <w:r>
              <w:t>-0.01179</w:t>
            </w:r>
          </w:p>
        </w:tc>
        <w:tc>
          <w:tcPr>
            <w:tcW w:w="1530" w:type="dxa"/>
          </w:tcPr>
          <w:p w:rsidR="0058305E" w:rsidRDefault="0058305E" w:rsidP="0058305E">
            <w:r>
              <w:t>0.224669</w:t>
            </w:r>
          </w:p>
        </w:tc>
        <w:tc>
          <w:tcPr>
            <w:tcW w:w="1800" w:type="dxa"/>
          </w:tcPr>
          <w:p w:rsidR="0058305E" w:rsidRDefault="0058305E" w:rsidP="0058305E">
            <w:r>
              <w:t>-0.004516</w:t>
            </w:r>
          </w:p>
        </w:tc>
      </w:tr>
      <w:tr w:rsidR="0058305E" w:rsidTr="0058305E">
        <w:tc>
          <w:tcPr>
            <w:tcW w:w="1543" w:type="dxa"/>
          </w:tcPr>
          <w:p w:rsidR="0058305E" w:rsidRDefault="0058305E" w:rsidP="0058305E">
            <w:r>
              <w:t>6-Month</w:t>
            </w:r>
          </w:p>
        </w:tc>
        <w:tc>
          <w:tcPr>
            <w:tcW w:w="1405" w:type="dxa"/>
          </w:tcPr>
          <w:p w:rsidR="0058305E" w:rsidRDefault="0058305E" w:rsidP="0058305E">
            <w:r>
              <w:t>0.0866</w:t>
            </w:r>
          </w:p>
        </w:tc>
        <w:tc>
          <w:tcPr>
            <w:tcW w:w="1480" w:type="dxa"/>
          </w:tcPr>
          <w:p w:rsidR="0058305E" w:rsidRDefault="0058305E" w:rsidP="0058305E">
            <w:r>
              <w:t>0.07442</w:t>
            </w:r>
          </w:p>
        </w:tc>
        <w:tc>
          <w:tcPr>
            <w:tcW w:w="1530" w:type="dxa"/>
          </w:tcPr>
          <w:p w:rsidR="0058305E" w:rsidRDefault="0058305E" w:rsidP="0058305E">
            <w:r>
              <w:t>0.540115</w:t>
            </w:r>
          </w:p>
        </w:tc>
        <w:tc>
          <w:tcPr>
            <w:tcW w:w="1800" w:type="dxa"/>
          </w:tcPr>
          <w:p w:rsidR="0058305E" w:rsidRDefault="0058305E" w:rsidP="0058305E">
            <w:r>
              <w:t>-0.018101</w:t>
            </w:r>
          </w:p>
        </w:tc>
      </w:tr>
      <w:tr w:rsidR="0058305E" w:rsidTr="0058305E">
        <w:tc>
          <w:tcPr>
            <w:tcW w:w="1543" w:type="dxa"/>
          </w:tcPr>
          <w:p w:rsidR="0058305E" w:rsidRDefault="0058305E" w:rsidP="0058305E">
            <w:r>
              <w:t>12-Month</w:t>
            </w:r>
          </w:p>
        </w:tc>
        <w:tc>
          <w:tcPr>
            <w:tcW w:w="1405" w:type="dxa"/>
          </w:tcPr>
          <w:p w:rsidR="0058305E" w:rsidRDefault="0058305E" w:rsidP="0058305E">
            <w:r>
              <w:t>0.2257</w:t>
            </w:r>
          </w:p>
        </w:tc>
        <w:tc>
          <w:tcPr>
            <w:tcW w:w="1480" w:type="dxa"/>
          </w:tcPr>
          <w:p w:rsidR="0058305E" w:rsidRDefault="0058305E" w:rsidP="0058305E">
            <w:r>
              <w:t>0.2145</w:t>
            </w:r>
          </w:p>
        </w:tc>
        <w:tc>
          <w:tcPr>
            <w:tcW w:w="1530" w:type="dxa"/>
          </w:tcPr>
          <w:p w:rsidR="0058305E" w:rsidRDefault="0058305E" w:rsidP="0058305E">
            <w:r>
              <w:t>0.524288</w:t>
            </w:r>
          </w:p>
        </w:tc>
        <w:tc>
          <w:tcPr>
            <w:tcW w:w="1800" w:type="dxa"/>
          </w:tcPr>
          <w:p w:rsidR="0058305E" w:rsidRDefault="0058305E" w:rsidP="0058305E">
            <w:r>
              <w:t>-.017922</w:t>
            </w:r>
          </w:p>
        </w:tc>
      </w:tr>
      <w:tr w:rsidR="0058305E" w:rsidTr="00EA61F1">
        <w:tc>
          <w:tcPr>
            <w:tcW w:w="1543" w:type="dxa"/>
            <w:shd w:val="clear" w:color="auto" w:fill="C2D69B" w:themeFill="accent3" w:themeFillTint="99"/>
          </w:tcPr>
          <w:p w:rsidR="0058305E" w:rsidRDefault="0058305E" w:rsidP="0058305E">
            <w:r>
              <w:t>18-Month</w:t>
            </w:r>
          </w:p>
        </w:tc>
        <w:tc>
          <w:tcPr>
            <w:tcW w:w="1405" w:type="dxa"/>
            <w:shd w:val="clear" w:color="auto" w:fill="C2D69B" w:themeFill="accent3" w:themeFillTint="99"/>
          </w:tcPr>
          <w:p w:rsidR="0058305E" w:rsidRDefault="00EA61F1" w:rsidP="0058305E">
            <w:r>
              <w:t>0.5452</w:t>
            </w:r>
          </w:p>
        </w:tc>
        <w:tc>
          <w:tcPr>
            <w:tcW w:w="1480" w:type="dxa"/>
            <w:shd w:val="clear" w:color="auto" w:fill="C2D69B" w:themeFill="accent3" w:themeFillTint="99"/>
          </w:tcPr>
          <w:p w:rsidR="0058305E" w:rsidRDefault="00EA61F1" w:rsidP="0058305E">
            <w:r>
              <w:t>0.538</w:t>
            </w:r>
          </w:p>
        </w:tc>
        <w:tc>
          <w:tcPr>
            <w:tcW w:w="1530" w:type="dxa"/>
            <w:shd w:val="clear" w:color="auto" w:fill="C2D69B" w:themeFill="accent3" w:themeFillTint="99"/>
          </w:tcPr>
          <w:p w:rsidR="0058305E" w:rsidRDefault="00EA61F1" w:rsidP="0058305E">
            <w:r>
              <w:t>0.640713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58305E" w:rsidRDefault="00EA61F1" w:rsidP="0058305E">
            <w:r>
              <w:t>-.022832</w:t>
            </w:r>
          </w:p>
        </w:tc>
      </w:tr>
      <w:tr w:rsidR="0058305E" w:rsidTr="00EA61F1">
        <w:tc>
          <w:tcPr>
            <w:tcW w:w="1543" w:type="dxa"/>
            <w:shd w:val="clear" w:color="auto" w:fill="9BBB59" w:themeFill="accent3"/>
          </w:tcPr>
          <w:p w:rsidR="0058305E" w:rsidRDefault="0058305E" w:rsidP="0058305E">
            <w:r>
              <w:t>24-Month</w:t>
            </w:r>
          </w:p>
        </w:tc>
        <w:tc>
          <w:tcPr>
            <w:tcW w:w="1405" w:type="dxa"/>
            <w:shd w:val="clear" w:color="auto" w:fill="9BBB59" w:themeFill="accent3"/>
          </w:tcPr>
          <w:p w:rsidR="0058305E" w:rsidRDefault="00EA61F1" w:rsidP="0058305E">
            <w:r>
              <w:t>0.7125</w:t>
            </w:r>
          </w:p>
        </w:tc>
        <w:tc>
          <w:tcPr>
            <w:tcW w:w="1480" w:type="dxa"/>
            <w:shd w:val="clear" w:color="auto" w:fill="9BBB59" w:themeFill="accent3"/>
          </w:tcPr>
          <w:p w:rsidR="0058305E" w:rsidRDefault="00EA61F1" w:rsidP="0058305E">
            <w:r>
              <w:t>0.7075</w:t>
            </w:r>
          </w:p>
        </w:tc>
        <w:tc>
          <w:tcPr>
            <w:tcW w:w="1530" w:type="dxa"/>
            <w:shd w:val="clear" w:color="auto" w:fill="9BBB59" w:themeFill="accent3"/>
          </w:tcPr>
          <w:p w:rsidR="0058305E" w:rsidRDefault="00EA61F1" w:rsidP="0058305E">
            <w:r>
              <w:t>0.591222</w:t>
            </w:r>
          </w:p>
        </w:tc>
        <w:tc>
          <w:tcPr>
            <w:tcW w:w="1800" w:type="dxa"/>
            <w:shd w:val="clear" w:color="auto" w:fill="9BBB59" w:themeFill="accent3"/>
          </w:tcPr>
          <w:p w:rsidR="0058305E" w:rsidRDefault="00EA61F1" w:rsidP="0058305E">
            <w:r>
              <w:t>-.020817</w:t>
            </w:r>
          </w:p>
        </w:tc>
      </w:tr>
      <w:tr w:rsidR="0058305E" w:rsidTr="00EA61F1">
        <w:tc>
          <w:tcPr>
            <w:tcW w:w="1543" w:type="dxa"/>
            <w:shd w:val="clear" w:color="auto" w:fill="9BBB59" w:themeFill="accent3"/>
          </w:tcPr>
          <w:p w:rsidR="0058305E" w:rsidRDefault="0058305E" w:rsidP="0058305E">
            <w:r>
              <w:t>30-Month</w:t>
            </w:r>
          </w:p>
        </w:tc>
        <w:tc>
          <w:tcPr>
            <w:tcW w:w="1405" w:type="dxa"/>
            <w:shd w:val="clear" w:color="auto" w:fill="9BBB59" w:themeFill="accent3"/>
          </w:tcPr>
          <w:p w:rsidR="0058305E" w:rsidRDefault="00EA61F1" w:rsidP="0058305E">
            <w:r>
              <w:t>0.7578</w:t>
            </w:r>
          </w:p>
        </w:tc>
        <w:tc>
          <w:tcPr>
            <w:tcW w:w="1480" w:type="dxa"/>
            <w:shd w:val="clear" w:color="auto" w:fill="9BBB59" w:themeFill="accent3"/>
          </w:tcPr>
          <w:p w:rsidR="0058305E" w:rsidRDefault="00EA61F1" w:rsidP="0058305E">
            <w:r>
              <w:t>0.753</w:t>
            </w:r>
          </w:p>
        </w:tc>
        <w:tc>
          <w:tcPr>
            <w:tcW w:w="1530" w:type="dxa"/>
            <w:shd w:val="clear" w:color="auto" w:fill="9BBB59" w:themeFill="accent3"/>
          </w:tcPr>
          <w:p w:rsidR="0058305E" w:rsidRDefault="00EA61F1" w:rsidP="0058305E">
            <w:r>
              <w:t>0.560620</w:t>
            </w:r>
          </w:p>
        </w:tc>
        <w:tc>
          <w:tcPr>
            <w:tcW w:w="1800" w:type="dxa"/>
            <w:shd w:val="clear" w:color="auto" w:fill="9BBB59" w:themeFill="accent3"/>
          </w:tcPr>
          <w:p w:rsidR="0058305E" w:rsidRDefault="00EA61F1" w:rsidP="0058305E">
            <w:r>
              <w:t>-.019613</w:t>
            </w:r>
          </w:p>
        </w:tc>
      </w:tr>
      <w:tr w:rsidR="0058305E" w:rsidTr="00EA61F1">
        <w:tc>
          <w:tcPr>
            <w:tcW w:w="1543" w:type="dxa"/>
            <w:shd w:val="clear" w:color="auto" w:fill="9BBB59" w:themeFill="accent3"/>
          </w:tcPr>
          <w:p w:rsidR="0058305E" w:rsidRDefault="0058305E" w:rsidP="0058305E">
            <w:r>
              <w:t>36-Month</w:t>
            </w:r>
          </w:p>
        </w:tc>
        <w:tc>
          <w:tcPr>
            <w:tcW w:w="1405" w:type="dxa"/>
            <w:shd w:val="clear" w:color="auto" w:fill="9BBB59" w:themeFill="accent3"/>
          </w:tcPr>
          <w:p w:rsidR="0058305E" w:rsidRDefault="00EA61F1" w:rsidP="0058305E">
            <w:r>
              <w:t>0.7309</w:t>
            </w:r>
          </w:p>
        </w:tc>
        <w:tc>
          <w:tcPr>
            <w:tcW w:w="1480" w:type="dxa"/>
            <w:shd w:val="clear" w:color="auto" w:fill="9BBB59" w:themeFill="accent3"/>
          </w:tcPr>
          <w:p w:rsidR="0058305E" w:rsidRDefault="00EA61F1" w:rsidP="0058305E">
            <w:r>
              <w:t>0.7249</w:t>
            </w:r>
          </w:p>
        </w:tc>
        <w:tc>
          <w:tcPr>
            <w:tcW w:w="1530" w:type="dxa"/>
            <w:shd w:val="clear" w:color="auto" w:fill="9BBB59" w:themeFill="accent3"/>
          </w:tcPr>
          <w:p w:rsidR="0058305E" w:rsidRDefault="00EA61F1" w:rsidP="0058305E">
            <w:r>
              <w:t>0.502556</w:t>
            </w:r>
          </w:p>
        </w:tc>
        <w:tc>
          <w:tcPr>
            <w:tcW w:w="1800" w:type="dxa"/>
            <w:shd w:val="clear" w:color="auto" w:fill="9BBB59" w:themeFill="accent3"/>
          </w:tcPr>
          <w:p w:rsidR="0058305E" w:rsidRDefault="00EA61F1" w:rsidP="0058305E">
            <w:r>
              <w:t>-.017265</w:t>
            </w:r>
          </w:p>
        </w:tc>
      </w:tr>
      <w:tr w:rsidR="0058305E" w:rsidTr="00EA61F1">
        <w:tc>
          <w:tcPr>
            <w:tcW w:w="1543" w:type="dxa"/>
            <w:shd w:val="clear" w:color="auto" w:fill="C2D69B" w:themeFill="accent3" w:themeFillTint="99"/>
          </w:tcPr>
          <w:p w:rsidR="0058305E" w:rsidRDefault="0058305E" w:rsidP="0058305E">
            <w:r>
              <w:t>42-Month</w:t>
            </w:r>
          </w:p>
        </w:tc>
        <w:tc>
          <w:tcPr>
            <w:tcW w:w="1405" w:type="dxa"/>
            <w:shd w:val="clear" w:color="auto" w:fill="C2D69B" w:themeFill="accent3" w:themeFillTint="99"/>
          </w:tcPr>
          <w:p w:rsidR="0058305E" w:rsidRDefault="00EA61F1" w:rsidP="0058305E">
            <w:r>
              <w:t>0.517</w:t>
            </w:r>
          </w:p>
        </w:tc>
        <w:tc>
          <w:tcPr>
            <w:tcW w:w="1480" w:type="dxa"/>
            <w:shd w:val="clear" w:color="auto" w:fill="C2D69B" w:themeFill="accent3" w:themeFillTint="99"/>
          </w:tcPr>
          <w:p w:rsidR="0058305E" w:rsidRDefault="00EA61F1" w:rsidP="0058305E">
            <w:r>
              <w:t>0.5046</w:t>
            </w:r>
          </w:p>
        </w:tc>
        <w:tc>
          <w:tcPr>
            <w:tcW w:w="1530" w:type="dxa"/>
            <w:shd w:val="clear" w:color="auto" w:fill="C2D69B" w:themeFill="accent3" w:themeFillTint="99"/>
          </w:tcPr>
          <w:p w:rsidR="0058305E" w:rsidRDefault="00EA61F1" w:rsidP="0058305E">
            <w:r>
              <w:t>0.406384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58305E" w:rsidRDefault="00EA61F1" w:rsidP="0058305E">
            <w:r>
              <w:t>-.013169</w:t>
            </w:r>
          </w:p>
        </w:tc>
      </w:tr>
    </w:tbl>
    <w:p w:rsidR="0058305E" w:rsidRDefault="0058305E" w:rsidP="0058305E"/>
    <w:p w:rsidR="00426976" w:rsidRDefault="00426976" w:rsidP="0058305E">
      <w:r>
        <w:t xml:space="preserve">These coefficients </w:t>
      </w:r>
      <w:proofErr w:type="gramStart"/>
      <w:r>
        <w:t>were used</w:t>
      </w:r>
      <w:proofErr w:type="gramEnd"/>
      <w:r>
        <w:t xml:space="preserve"> to produce the predicted returns in the introduction.  The model is predicting a -2.5% return over the next 30 months.</w:t>
      </w:r>
    </w:p>
    <w:sectPr w:rsidR="0042697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E13" w:rsidRDefault="00440E13" w:rsidP="000D5E20">
      <w:r>
        <w:separator/>
      </w:r>
    </w:p>
    <w:p w:rsidR="00440E13" w:rsidRDefault="00440E13"/>
  </w:endnote>
  <w:endnote w:type="continuationSeparator" w:id="0">
    <w:p w:rsidR="00440E13" w:rsidRDefault="00440E13" w:rsidP="000D5E20">
      <w:r>
        <w:continuationSeparator/>
      </w:r>
    </w:p>
    <w:p w:rsidR="00440E13" w:rsidRDefault="00440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5A" w:rsidRDefault="00506C5A">
    <w:pPr>
      <w:pStyle w:val="Footer"/>
    </w:pPr>
  </w:p>
  <w:p w:rsidR="00972F33" w:rsidRDefault="00972F3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20" w:rsidRDefault="000D5E20">
    <w:pPr>
      <w:pStyle w:val="Footer"/>
    </w:pPr>
    <w:r>
      <w:tab/>
      <w:t xml:space="preserve">- Page </w:t>
    </w:r>
    <w:r>
      <w:fldChar w:fldCharType="begin"/>
    </w:r>
    <w:r>
      <w:instrText xml:space="preserve"> PAGE   \* MERGEFORMAT </w:instrText>
    </w:r>
    <w:r>
      <w:fldChar w:fldCharType="separate"/>
    </w:r>
    <w:r w:rsidR="001E5D7A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1E5D7A">
        <w:rPr>
          <w:noProof/>
        </w:rPr>
        <w:t>4</w:t>
      </w:r>
    </w:fldSimple>
    <w:r>
      <w:t xml:space="preserve"> -</w:t>
    </w:r>
  </w:p>
  <w:p w:rsidR="00972F33" w:rsidRDefault="00972F3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A8C" w:rsidRDefault="00771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E13" w:rsidRDefault="00440E13" w:rsidP="000D5E20">
      <w:r>
        <w:separator/>
      </w:r>
    </w:p>
    <w:p w:rsidR="00440E13" w:rsidRDefault="00440E13"/>
  </w:footnote>
  <w:footnote w:type="continuationSeparator" w:id="0">
    <w:p w:rsidR="00440E13" w:rsidRDefault="00440E13" w:rsidP="000D5E20">
      <w:r>
        <w:continuationSeparator/>
      </w:r>
    </w:p>
    <w:p w:rsidR="00440E13" w:rsidRDefault="00440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5A" w:rsidRDefault="00506C5A">
    <w:pPr>
      <w:pStyle w:val="Header"/>
    </w:pPr>
  </w:p>
  <w:p w:rsidR="00972F33" w:rsidRDefault="00972F3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20" w:rsidRPr="000D5E20" w:rsidRDefault="00F544DE">
    <w:pPr>
      <w:pStyle w:val="Header"/>
      <w:rPr>
        <w:u w:val="single"/>
      </w:rPr>
    </w:pPr>
    <w:r>
      <w:rPr>
        <w:u w:val="single"/>
      </w:rPr>
      <w:t>Dan’s Notes</w:t>
    </w:r>
    <w:r w:rsidR="000D5E20">
      <w:rPr>
        <w:u w:val="single"/>
      </w:rPr>
      <w:tab/>
    </w:r>
    <w:r w:rsidR="000D5E20">
      <w:rPr>
        <w:u w:val="single"/>
      </w:rPr>
      <w:tab/>
    </w:r>
  </w:p>
  <w:p w:rsidR="000D5E20" w:rsidRDefault="000D5E20">
    <w:pPr>
      <w:pStyle w:val="Header"/>
    </w:pPr>
    <w:r>
      <w:t>Daniel Rogers</w:t>
    </w:r>
    <w:r>
      <w:tab/>
    </w:r>
    <w:r>
      <w:tab/>
    </w:r>
    <w:r w:rsidR="00771A8C">
      <w:t>2017-08-13</w:t>
    </w:r>
  </w:p>
  <w:p w:rsidR="00972F33" w:rsidRPr="000E6FA2" w:rsidRDefault="00771A8C" w:rsidP="000E6FA2">
    <w:pPr>
      <w:pStyle w:val="Header"/>
      <w:spacing w:before="120" w:after="120"/>
      <w:jc w:val="center"/>
      <w:rPr>
        <w:b/>
      </w:rPr>
    </w:pPr>
    <w:r>
      <w:rPr>
        <w:b/>
      </w:rPr>
      <w:t>P/E Ratios and S&amp;P 500 Returns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A8C" w:rsidRDefault="00771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EAA"/>
    <w:multiLevelType w:val="hybridMultilevel"/>
    <w:tmpl w:val="71125148"/>
    <w:lvl w:ilvl="0" w:tplc="AAA89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A2A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90A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14CF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CB7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08D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AC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8B2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561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0C27C69"/>
    <w:multiLevelType w:val="hybridMultilevel"/>
    <w:tmpl w:val="5800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B2D01"/>
    <w:multiLevelType w:val="hybridMultilevel"/>
    <w:tmpl w:val="7902E72C"/>
    <w:lvl w:ilvl="0" w:tplc="03A66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C99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7C6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A2C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E93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C0F8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FE6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4F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5CF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CB753B"/>
    <w:multiLevelType w:val="hybridMultilevel"/>
    <w:tmpl w:val="2F5E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C7CB0"/>
    <w:multiLevelType w:val="hybridMultilevel"/>
    <w:tmpl w:val="6AAA7112"/>
    <w:lvl w:ilvl="0" w:tplc="4A982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81C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CD0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F2A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2641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24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B0A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4C8D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28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E4C0713"/>
    <w:multiLevelType w:val="hybridMultilevel"/>
    <w:tmpl w:val="070E072E"/>
    <w:lvl w:ilvl="0" w:tplc="C91CD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C49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0C7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4A2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8F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9C1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20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203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D679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4672149"/>
    <w:multiLevelType w:val="hybridMultilevel"/>
    <w:tmpl w:val="6E80C324"/>
    <w:lvl w:ilvl="0" w:tplc="D1765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AAD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7A7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1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8C6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CE3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A7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4AA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1A0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1870A07"/>
    <w:multiLevelType w:val="hybridMultilevel"/>
    <w:tmpl w:val="9EB2C430"/>
    <w:lvl w:ilvl="0" w:tplc="F73A20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CF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2241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1A9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DC8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8E3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7E4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0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025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5B201C0"/>
    <w:multiLevelType w:val="hybridMultilevel"/>
    <w:tmpl w:val="A28EB5FC"/>
    <w:lvl w:ilvl="0" w:tplc="01EAB4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D82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8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A49A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360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F4B5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00B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87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279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746139E"/>
    <w:multiLevelType w:val="hybridMultilevel"/>
    <w:tmpl w:val="7BE68A32"/>
    <w:lvl w:ilvl="0" w:tplc="1EAAE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204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E2B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CC4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03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6A8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EC6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AD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640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0"/>
    <w:rsid w:val="00062595"/>
    <w:rsid w:val="000D5E20"/>
    <w:rsid w:val="000E6FA2"/>
    <w:rsid w:val="000E7860"/>
    <w:rsid w:val="00190F1B"/>
    <w:rsid w:val="001972AB"/>
    <w:rsid w:val="001A3EAE"/>
    <w:rsid w:val="001D76A1"/>
    <w:rsid w:val="001E5D7A"/>
    <w:rsid w:val="003D14F3"/>
    <w:rsid w:val="00406C5F"/>
    <w:rsid w:val="00426976"/>
    <w:rsid w:val="00440E13"/>
    <w:rsid w:val="00456E34"/>
    <w:rsid w:val="00506C5A"/>
    <w:rsid w:val="0058305E"/>
    <w:rsid w:val="005B41E4"/>
    <w:rsid w:val="005F7099"/>
    <w:rsid w:val="00677940"/>
    <w:rsid w:val="00771A8C"/>
    <w:rsid w:val="007D13D4"/>
    <w:rsid w:val="008527D9"/>
    <w:rsid w:val="008774AC"/>
    <w:rsid w:val="009364DC"/>
    <w:rsid w:val="00972F33"/>
    <w:rsid w:val="00A163DF"/>
    <w:rsid w:val="00A93456"/>
    <w:rsid w:val="00D24FD4"/>
    <w:rsid w:val="00D3299A"/>
    <w:rsid w:val="00D54E8A"/>
    <w:rsid w:val="00EA61F1"/>
    <w:rsid w:val="00EE5AA2"/>
    <w:rsid w:val="00EF53EB"/>
    <w:rsid w:val="00F544DE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F3"/>
    <w:pPr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FA2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2"/>
    <w:p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E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5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2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FA2"/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6FA2"/>
    <w:rPr>
      <w:rFonts w:ascii="Times New Roman" w:hAnsi="Times New Roman"/>
      <w:b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FA2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FA2"/>
    <w:rPr>
      <w:rFonts w:ascii="Times New Roman" w:hAnsi="Times New Roman"/>
      <w:i/>
      <w:sz w:val="24"/>
    </w:rPr>
  </w:style>
  <w:style w:type="paragraph" w:customStyle="1" w:styleId="Code">
    <w:name w:val="Code"/>
    <w:basedOn w:val="Normal"/>
    <w:link w:val="CodeChar"/>
    <w:qFormat/>
    <w:rsid w:val="000E6FA2"/>
    <w:rPr>
      <w:rFonts w:ascii="Courier New" w:hAnsi="Courier New" w:cs="Courier New"/>
      <w:sz w:val="20"/>
    </w:rPr>
  </w:style>
  <w:style w:type="paragraph" w:styleId="NoSpacing">
    <w:name w:val="No Spacing"/>
    <w:uiPriority w:val="1"/>
    <w:qFormat/>
    <w:rsid w:val="000E6FA2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odeChar">
    <w:name w:val="Code Char"/>
    <w:basedOn w:val="DefaultParagraphFont"/>
    <w:link w:val="Code"/>
    <w:rsid w:val="000E6FA2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7D13D4"/>
    <w:pPr>
      <w:ind w:left="720"/>
    </w:pPr>
  </w:style>
  <w:style w:type="paragraph" w:styleId="NormalWeb">
    <w:name w:val="Normal (Web)"/>
    <w:basedOn w:val="Normal"/>
    <w:uiPriority w:val="99"/>
    <w:unhideWhenUsed/>
    <w:rsid w:val="007D13D4"/>
    <w:pPr>
      <w:spacing w:before="100" w:beforeAutospacing="1" w:after="100" w:afterAutospacing="1"/>
      <w:contextualSpacing w:val="0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F3"/>
    <w:pPr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FA2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2"/>
    <w:p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E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E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D5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E2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FA2"/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6FA2"/>
    <w:rPr>
      <w:rFonts w:ascii="Times New Roman" w:hAnsi="Times New Roman"/>
      <w:b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FA2"/>
    <w:rPr>
      <w:rFonts w:ascii="Times New Roman" w:hAnsi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FA2"/>
    <w:rPr>
      <w:rFonts w:ascii="Times New Roman" w:hAnsi="Times New Roman"/>
      <w:i/>
      <w:sz w:val="24"/>
    </w:rPr>
  </w:style>
  <w:style w:type="paragraph" w:customStyle="1" w:styleId="Code">
    <w:name w:val="Code"/>
    <w:basedOn w:val="Normal"/>
    <w:link w:val="CodeChar"/>
    <w:qFormat/>
    <w:rsid w:val="000E6FA2"/>
    <w:rPr>
      <w:rFonts w:ascii="Courier New" w:hAnsi="Courier New" w:cs="Courier New"/>
      <w:sz w:val="20"/>
    </w:rPr>
  </w:style>
  <w:style w:type="paragraph" w:styleId="NoSpacing">
    <w:name w:val="No Spacing"/>
    <w:uiPriority w:val="1"/>
    <w:qFormat/>
    <w:rsid w:val="000E6FA2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odeChar">
    <w:name w:val="Code Char"/>
    <w:basedOn w:val="DefaultParagraphFont"/>
    <w:link w:val="Code"/>
    <w:rsid w:val="000E6FA2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7D13D4"/>
    <w:pPr>
      <w:ind w:left="720"/>
    </w:pPr>
  </w:style>
  <w:style w:type="paragraph" w:styleId="NormalWeb">
    <w:name w:val="Normal (Web)"/>
    <w:basedOn w:val="Normal"/>
    <w:uiPriority w:val="99"/>
    <w:unhideWhenUsed/>
    <w:rsid w:val="007D13D4"/>
    <w:pPr>
      <w:spacing w:before="100" w:beforeAutospacing="1" w:after="100" w:afterAutospacing="1"/>
      <w:contextualSpacing w:val="0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2017/07/31/theres-a-99-percent-chance-stock-market-returns-will-be-subpar-from-here.html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hyperlink" Target="http://www.multpl.com/shiller-pe/" TargetMode="External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Kroger Co.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Rogers, Daniel</dc:creator>
  <cp:lastModifiedBy>Rogers, Daniel A</cp:lastModifiedBy>
  <cp:revision>5</cp:revision>
  <dcterms:created xsi:type="dcterms:W3CDTF">2017-08-14T03:48:00Z</dcterms:created>
  <dcterms:modified xsi:type="dcterms:W3CDTF">2017-08-14T04:38:00Z</dcterms:modified>
</cp:coreProperties>
</file>