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Default="00843EE6" w:rsidP="000E6FA2">
      <w:pPr>
        <w:rPr>
          <w:b/>
          <w:sz w:val="32"/>
          <w:u w:val="single"/>
        </w:rPr>
      </w:pPr>
      <w:r w:rsidRPr="00843EE6">
        <w:rPr>
          <w:b/>
          <w:sz w:val="32"/>
          <w:u w:val="single"/>
        </w:rPr>
        <w:t>Inferring Expected Returns from Option Prices</w:t>
      </w:r>
    </w:p>
    <w:p w:rsidR="00843EE6" w:rsidRDefault="00843EE6" w:rsidP="000E6FA2"/>
    <w:p w:rsidR="000E6FA2" w:rsidRPr="007D13D4" w:rsidRDefault="007D13D4" w:rsidP="007D13D4">
      <w:pPr>
        <w:pStyle w:val="Heading1"/>
      </w:pPr>
      <w:r w:rsidRPr="007D13D4">
        <w:t>Overview</w:t>
      </w:r>
    </w:p>
    <w:p w:rsidR="007D13D4" w:rsidRDefault="007D13D4" w:rsidP="000E6FA2"/>
    <w:p w:rsidR="007D13D4" w:rsidRDefault="00843EE6" w:rsidP="000E6FA2">
      <w:r>
        <w:t xml:space="preserve">Since college, </w:t>
      </w:r>
      <w:proofErr w:type="gramStart"/>
      <w:r>
        <w:t>I’ve</w:t>
      </w:r>
      <w:proofErr w:type="gramEnd"/>
      <w:r>
        <w:t xml:space="preserve"> wondered if there’s a way to infer future expectations about stocks from options prices.  Options prices should be tied to future expectations of the underlying stock’s price (I think… although this </w:t>
      </w:r>
      <w:proofErr w:type="gramStart"/>
      <w:r>
        <w:t>isn’t</w:t>
      </w:r>
      <w:proofErr w:type="gramEnd"/>
      <w:r>
        <w:t xml:space="preserve"> an input into the Black-Scholes equation), and the variety of strike prices should tell us something about the distribution at various future price points.  This paper presents a simple model for doing just that.  I </w:t>
      </w:r>
      <w:proofErr w:type="gramStart"/>
      <w:r>
        <w:t>don’t</w:t>
      </w:r>
      <w:proofErr w:type="gramEnd"/>
      <w:r>
        <w:t xml:space="preserve"> know if this is really good or not, but it seems interesting.</w:t>
      </w:r>
    </w:p>
    <w:p w:rsidR="00843EE6" w:rsidRDefault="00843EE6" w:rsidP="000E6FA2"/>
    <w:p w:rsidR="00843EE6" w:rsidRDefault="00B0182C" w:rsidP="00843EE6">
      <w:pPr>
        <w:pStyle w:val="Heading1"/>
      </w:pPr>
      <w:r>
        <w:t>Data &amp; Approach</w:t>
      </w:r>
    </w:p>
    <w:p w:rsidR="00843EE6" w:rsidRDefault="00843EE6" w:rsidP="000E6FA2"/>
    <w:p w:rsidR="00843EE6" w:rsidRDefault="00843EE6" w:rsidP="000E6FA2">
      <w:r>
        <w:t>The following screenshot shows options prices for the VOO on 8/5.  The options expire on 9/15 (30 trading days in the future), and the current price of VOO was 227.26.</w:t>
      </w:r>
    </w:p>
    <w:p w:rsidR="00843EE6" w:rsidRDefault="00843EE6" w:rsidP="000E6FA2"/>
    <w:p w:rsidR="00843EE6" w:rsidRDefault="00843EE6" w:rsidP="00843EE6">
      <w:r>
        <w:rPr>
          <w:noProof/>
        </w:rPr>
        <w:drawing>
          <wp:inline distT="0" distB="0" distL="0" distR="0" wp14:anchorId="004C1593" wp14:editId="01E4475A">
            <wp:extent cx="59436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843EE6" w:rsidRDefault="00843EE6" w:rsidP="00843EE6"/>
    <w:p w:rsidR="00843EE6" w:rsidRDefault="00843EE6" w:rsidP="00843EE6">
      <w:r>
        <w:rPr>
          <w:noProof/>
        </w:rPr>
        <w:drawing>
          <wp:inline distT="0" distB="0" distL="0" distR="0" wp14:anchorId="2D91FBD9" wp14:editId="547785DE">
            <wp:extent cx="5934075" cy="216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843EE6" w:rsidRDefault="00843EE6" w:rsidP="000E6FA2"/>
    <w:p w:rsidR="00FA68BF" w:rsidRDefault="00FA68BF" w:rsidP="00D24FD4">
      <w:r>
        <w:t>The goal of this analysis is to fit a simple distribution of the form shown below to this:</w:t>
      </w:r>
    </w:p>
    <w:p w:rsidR="00FA68BF" w:rsidRDefault="00FA68BF" w:rsidP="00D24FD4"/>
    <w:p w:rsidR="00FA68BF" w:rsidRDefault="00FA68BF" w:rsidP="00FA68BF">
      <w:pPr>
        <w:ind w:left="720"/>
      </w:pPr>
      <w:r w:rsidRPr="00FA68BF">
        <w:drawing>
          <wp:inline distT="0" distB="0" distL="0" distR="0" wp14:anchorId="08576BA2" wp14:editId="1CC8D6C8">
            <wp:extent cx="54959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962025"/>
                    </a:xfrm>
                    <a:prstGeom prst="rect">
                      <a:avLst/>
                    </a:prstGeom>
                    <a:noFill/>
                    <a:ln>
                      <a:noFill/>
                    </a:ln>
                  </pic:spPr>
                </pic:pic>
              </a:graphicData>
            </a:graphic>
          </wp:inline>
        </w:drawing>
      </w:r>
    </w:p>
    <w:p w:rsidR="00FA68BF" w:rsidRDefault="00FA68BF" w:rsidP="00FA68BF"/>
    <w:p w:rsidR="00FA68BF" w:rsidRDefault="00FA68BF" w:rsidP="00FA68BF">
      <w:r>
        <w:t>We will divide the distribution into intervals defined by the strike prices of the various options.  We then want to calculate the probability that the future price will fall into each of these bins.</w:t>
      </w:r>
    </w:p>
    <w:p w:rsidR="00FA68BF" w:rsidRDefault="00FA68BF" w:rsidP="00FA68BF"/>
    <w:p w:rsidR="00B0182C" w:rsidRDefault="00B0182C" w:rsidP="00B0182C">
      <w:pPr>
        <w:pStyle w:val="Heading1"/>
      </w:pPr>
      <w:r>
        <w:t>Estimating the Extreme Values</w:t>
      </w:r>
    </w:p>
    <w:p w:rsidR="00B0182C" w:rsidRDefault="00B0182C" w:rsidP="00FA68BF"/>
    <w:p w:rsidR="00D444CC" w:rsidRDefault="00FA68BF" w:rsidP="00FA68BF">
      <w:r>
        <w:t xml:space="preserve">To begin, we look at the extremes.  The ask price on a 235 call option is $0.25.  This means that the expected payoff of this option should be about $0.25.  A trader buying the option would thus have a zero expected profit.  (NOTE: Theory predicts that the expected profit should be near-zero.  There are two sides to each trade and neither should have an advantage over the other.  The buyer is thus essentially loaning money to the seller, and the return to the buyer should be the risk-free interest rate over the holding period of the option.  </w:t>
      </w:r>
      <w:proofErr w:type="gramStart"/>
      <w:r>
        <w:t>We’ll</w:t>
      </w:r>
      <w:proofErr w:type="gramEnd"/>
      <w:r>
        <w:t xml:space="preserve"> just assume that is near-zero since the options are short-</w:t>
      </w:r>
      <w:r w:rsidR="00D444CC">
        <w:t>term options.)  The payoff on the option depends on its price.  It is:</w:t>
      </w:r>
    </w:p>
    <w:p w:rsidR="00D444CC" w:rsidRDefault="00D444CC" w:rsidP="00FA68BF"/>
    <w:tbl>
      <w:tblPr>
        <w:tblStyle w:val="TableGrid"/>
        <w:tblW w:w="0" w:type="auto"/>
        <w:tblInd w:w="720" w:type="dxa"/>
        <w:tblLook w:val="04A0" w:firstRow="1" w:lastRow="0" w:firstColumn="1" w:lastColumn="0" w:noHBand="0" w:noVBand="1"/>
      </w:tblPr>
      <w:tblGrid>
        <w:gridCol w:w="1109"/>
        <w:gridCol w:w="1249"/>
      </w:tblGrid>
      <w:tr w:rsidR="00D444CC" w:rsidTr="00813408">
        <w:tc>
          <w:tcPr>
            <w:tcW w:w="1109" w:type="dxa"/>
            <w:shd w:val="clear" w:color="auto" w:fill="DBE5F1" w:themeFill="accent1" w:themeFillTint="33"/>
          </w:tcPr>
          <w:p w:rsidR="00D444CC" w:rsidRDefault="00D444CC" w:rsidP="00692BE9">
            <w:r>
              <w:t>Case</w:t>
            </w:r>
          </w:p>
        </w:tc>
        <w:tc>
          <w:tcPr>
            <w:tcW w:w="1249" w:type="dxa"/>
            <w:shd w:val="clear" w:color="auto" w:fill="DBE5F1" w:themeFill="accent1" w:themeFillTint="33"/>
          </w:tcPr>
          <w:p w:rsidR="00D444CC" w:rsidRDefault="00D444CC" w:rsidP="00692BE9">
            <w:r>
              <w:t>Payoff</w:t>
            </w:r>
          </w:p>
        </w:tc>
      </w:tr>
      <w:tr w:rsidR="00D444CC" w:rsidTr="00D444CC">
        <w:tc>
          <w:tcPr>
            <w:tcW w:w="1109" w:type="dxa"/>
          </w:tcPr>
          <w:p w:rsidR="00D444CC" w:rsidRDefault="00D444CC" w:rsidP="00692BE9">
            <w:r>
              <w:t>S &lt;= 235</w:t>
            </w:r>
          </w:p>
        </w:tc>
        <w:tc>
          <w:tcPr>
            <w:tcW w:w="1249" w:type="dxa"/>
          </w:tcPr>
          <w:p w:rsidR="00D444CC" w:rsidRDefault="00D444CC" w:rsidP="00692BE9">
            <w:r>
              <w:t>0</w:t>
            </w:r>
          </w:p>
        </w:tc>
      </w:tr>
      <w:tr w:rsidR="00D444CC" w:rsidTr="00D444CC">
        <w:tc>
          <w:tcPr>
            <w:tcW w:w="1109" w:type="dxa"/>
          </w:tcPr>
          <w:p w:rsidR="00D444CC" w:rsidRDefault="00D444CC" w:rsidP="00692BE9">
            <w:r>
              <w:t>S &gt; 235</w:t>
            </w:r>
          </w:p>
        </w:tc>
        <w:tc>
          <w:tcPr>
            <w:tcW w:w="1249" w:type="dxa"/>
          </w:tcPr>
          <w:p w:rsidR="00D444CC" w:rsidRDefault="00D444CC" w:rsidP="00692BE9">
            <w:r>
              <w:t>S – 235</w:t>
            </w:r>
          </w:p>
        </w:tc>
      </w:tr>
    </w:tbl>
    <w:p w:rsidR="00D444CC" w:rsidRDefault="00D444CC" w:rsidP="00FA68BF"/>
    <w:p w:rsidR="00D444CC" w:rsidRDefault="00D444CC" w:rsidP="00FA68BF">
      <w:r>
        <w:t>The expected payoff of the option is thus:</w:t>
      </w:r>
    </w:p>
    <w:p w:rsidR="00D444CC" w:rsidRDefault="00D444CC" w:rsidP="00FA68BF"/>
    <w:p w:rsidR="00D444CC" w:rsidRPr="00D444CC" w:rsidRDefault="00D444CC" w:rsidP="00D444CC">
      <w:pPr>
        <w:ind w:left="720"/>
        <w:rPr>
          <w:rFonts w:eastAsiaTheme="minorEastAsia"/>
        </w:rPr>
      </w:pPr>
      <m:oMathPara>
        <m:oMathParaPr>
          <m:jc m:val="left"/>
        </m:oMathParaPr>
        <m:oMath>
          <m:r>
            <w:rPr>
              <w:rFonts w:ascii="Cambria Math" w:hAnsi="Cambria Math"/>
            </w:rPr>
            <m:t>E[S-235 | S &gt;235</m:t>
          </m:r>
          <m:r>
            <w:rPr>
              <w:rFonts w:ascii="Cambria Math" w:hAnsi="Cambria Math"/>
            </w:rPr>
            <m:t>]</m:t>
          </m:r>
          <m:r>
            <w:rPr>
              <w:rFonts w:ascii="Cambria Math" w:hAnsi="Cambria Math"/>
            </w:rPr>
            <m:t>*</m:t>
          </m:r>
          <m:r>
            <m:rPr>
              <m:sty m:val="p"/>
            </m:rPr>
            <w:rPr>
              <w:rFonts w:ascii="Cambria Math" w:hAnsi="Cambria Math"/>
            </w:rPr>
            <m:t>Pr⁡</m:t>
          </m:r>
          <m:r>
            <w:rPr>
              <w:rFonts w:ascii="Cambria Math" w:hAnsi="Cambria Math"/>
            </w:rPr>
            <m:t>(S&gt;235)+0*</m:t>
          </m:r>
          <m:r>
            <m:rPr>
              <m:sty m:val="p"/>
            </m:rPr>
            <w:rPr>
              <w:rFonts w:ascii="Cambria Math" w:hAnsi="Cambria Math"/>
            </w:rPr>
            <m:t>Pr⁡</m:t>
          </m:r>
          <m:r>
            <w:rPr>
              <w:rFonts w:ascii="Cambria Math" w:hAnsi="Cambria Math"/>
            </w:rPr>
            <m:t>(S≤2350</m:t>
          </m:r>
          <m:r>
            <w:rPr>
              <w:rFonts w:ascii="Cambria Math" w:hAnsi="Cambria Math"/>
            </w:rPr>
            <m:t>)</m:t>
          </m:r>
          <m:r>
            <w:rPr>
              <w:rFonts w:ascii="Cambria Math" w:hAnsi="Cambria Math"/>
            </w:rPr>
            <m:t>=</m:t>
          </m:r>
        </m:oMath>
      </m:oMathPara>
    </w:p>
    <w:p w:rsidR="00D444CC" w:rsidRPr="00D444CC" w:rsidRDefault="00D444CC" w:rsidP="00D444CC">
      <w:pPr>
        <w:ind w:left="720"/>
        <w:rPr>
          <w:rFonts w:eastAsiaTheme="minorEastAsia"/>
        </w:rPr>
      </w:pPr>
      <m:oMathPara>
        <m:oMathParaPr>
          <m:jc m:val="left"/>
        </m:oMathParaPr>
        <m:oMath>
          <m:r>
            <w:rPr>
              <w:rFonts w:ascii="Cambria Math" w:hAnsi="Cambria Math"/>
            </w:rPr>
            <m:t>E[S-235 | S &gt;235</m:t>
          </m:r>
          <m:r>
            <w:rPr>
              <w:rFonts w:ascii="Cambria Math" w:hAnsi="Cambria Math"/>
            </w:rPr>
            <m:t>]</m:t>
          </m:r>
          <m:r>
            <w:rPr>
              <w:rFonts w:ascii="Cambria Math" w:hAnsi="Cambria Math"/>
            </w:rPr>
            <m:t>*</m:t>
          </m:r>
          <m:r>
            <m:rPr>
              <m:sty m:val="p"/>
            </m:rPr>
            <w:rPr>
              <w:rFonts w:ascii="Cambria Math" w:hAnsi="Cambria Math"/>
            </w:rPr>
            <m:t>Pr⁡</m:t>
          </m:r>
          <m:r>
            <w:rPr>
              <w:rFonts w:ascii="Cambria Math" w:hAnsi="Cambria Math"/>
            </w:rPr>
            <m:t>(S&gt;235)</m:t>
          </m:r>
          <m:r>
            <w:rPr>
              <w:rFonts w:ascii="Cambria Math" w:eastAsiaTheme="minorEastAsia" w:hAnsi="Cambria Math"/>
            </w:rPr>
            <m:t>=$0.25</m:t>
          </m:r>
        </m:oMath>
      </m:oMathPara>
    </w:p>
    <w:p w:rsidR="00D444CC" w:rsidRDefault="00D444CC" w:rsidP="00FA68BF"/>
    <w:p w:rsidR="00FC6216" w:rsidRDefault="00FA68BF" w:rsidP="00FA68BF">
      <w:r>
        <w:t xml:space="preserve">So how do we build a distribution with an expected value of $0.25?  If we </w:t>
      </w:r>
      <w:proofErr w:type="gramStart"/>
      <w:r>
        <w:t>define</w:t>
      </w:r>
      <w:proofErr w:type="gramEnd"/>
      <w:r>
        <w:t xml:space="preserve"> an interval from 235 to 240 with a constant probability for all points in between, the expected payoff if the price exceeds 235 is $2.50.  </w:t>
      </w:r>
      <w:r w:rsidR="00FC6216">
        <w:t>That is:</w:t>
      </w:r>
    </w:p>
    <w:p w:rsidR="00FC6216" w:rsidRDefault="00FC6216" w:rsidP="00FA68BF"/>
    <w:p w:rsidR="00D444CC" w:rsidRDefault="00FC6216" w:rsidP="00FC6216">
      <w:pPr>
        <w:ind w:left="720"/>
      </w:pPr>
      <w:r>
        <w:t xml:space="preserve"> </w:t>
      </w:r>
      <m:oMath>
        <m:r>
          <w:rPr>
            <w:rFonts w:ascii="Cambria Math" w:hAnsi="Cambria Math"/>
          </w:rPr>
          <m:t>E[S-235 | S &gt;235</m:t>
        </m:r>
        <m:r>
          <w:rPr>
            <w:rFonts w:ascii="Cambria Math" w:hAnsi="Cambria Math"/>
          </w:rPr>
          <m:t>]</m:t>
        </m:r>
        <m:r>
          <w:rPr>
            <w:rFonts w:ascii="Cambria Math" w:hAnsi="Cambria Math"/>
          </w:rPr>
          <m:t>=E[S|S&gt;235]-235=237.5-235=2.50</m:t>
        </m:r>
      </m:oMath>
    </w:p>
    <w:p w:rsidR="00D444CC" w:rsidRDefault="00D444CC" w:rsidP="00FA68BF"/>
    <w:p w:rsidR="00C957CC" w:rsidRDefault="00FA68BF" w:rsidP="00FA68BF">
      <w:r>
        <w:t xml:space="preserve">Note that we are assuming there is zero probability of the stock price exceeded 240.  The expected value is then 237.5 and the payoff on the option is $2.50.  </w:t>
      </w:r>
      <w:r w:rsidR="00C957CC">
        <w:t>In order to make this worth $0.25, the probability of the price exceeding 235 must be 10%.</w:t>
      </w:r>
    </w:p>
    <w:p w:rsidR="00C957CC" w:rsidRDefault="00C957CC" w:rsidP="00FA68BF"/>
    <w:p w:rsidR="00C957CC" w:rsidRPr="00C957CC" w:rsidRDefault="00C957CC" w:rsidP="00C957CC">
      <w:pPr>
        <w:ind w:left="720"/>
        <w:rPr>
          <w:rFonts w:eastAsiaTheme="minorEastAsia"/>
        </w:rPr>
      </w:pPr>
      <m:oMathPara>
        <m:oMathParaPr>
          <m:jc m:val="left"/>
        </m:oMathParaPr>
        <m:oMath>
          <m:r>
            <w:rPr>
              <w:rFonts w:ascii="Cambria Math" w:hAnsi="Cambria Math"/>
            </w:rPr>
            <m:t>E[S-235 | S &gt;235</m:t>
          </m:r>
          <m:r>
            <w:rPr>
              <w:rFonts w:ascii="Cambria Math" w:hAnsi="Cambria Math"/>
            </w:rPr>
            <m:t>]</m:t>
          </m:r>
          <m:r>
            <w:rPr>
              <w:rFonts w:ascii="Cambria Math" w:hAnsi="Cambria Math"/>
            </w:rPr>
            <m:t>*</m:t>
          </m:r>
          <m:r>
            <m:rPr>
              <m:sty m:val="p"/>
            </m:rPr>
            <w:rPr>
              <w:rFonts w:ascii="Cambria Math" w:hAnsi="Cambria Math"/>
            </w:rPr>
            <m:t>Pr⁡</m:t>
          </m:r>
          <m:r>
            <w:rPr>
              <w:rFonts w:ascii="Cambria Math" w:hAnsi="Cambria Math"/>
            </w:rPr>
            <m:t>(S&gt;235)=0.25</m:t>
          </m:r>
        </m:oMath>
      </m:oMathPara>
    </w:p>
    <w:p w:rsidR="00C957CC" w:rsidRPr="00C957CC" w:rsidRDefault="00C957CC" w:rsidP="00C957CC">
      <w:pPr>
        <w:ind w:left="720"/>
        <w:rPr>
          <w:rFonts w:eastAsiaTheme="minorEastAsia"/>
        </w:rPr>
      </w:pPr>
      <m:oMathPara>
        <m:oMathParaPr>
          <m:jc m:val="left"/>
        </m:oMathParaPr>
        <m:oMath>
          <m:r>
            <w:rPr>
              <w:rFonts w:ascii="Cambria Math" w:hAnsi="Cambria Math"/>
            </w:rPr>
            <m:t>2.50*</m:t>
          </m:r>
          <m:r>
            <m:rPr>
              <m:sty m:val="p"/>
            </m:rPr>
            <w:rPr>
              <w:rFonts w:ascii="Cambria Math" w:hAnsi="Cambria Math"/>
            </w:rPr>
            <m:t>Pr⁡</m:t>
          </m:r>
          <m:r>
            <w:rPr>
              <w:rFonts w:ascii="Cambria Math" w:hAnsi="Cambria Math"/>
            </w:rPr>
            <m:t>(S&gt;235)=0.25</m:t>
          </m:r>
        </m:oMath>
      </m:oMathPara>
    </w:p>
    <w:p w:rsidR="001972AB" w:rsidRDefault="00C957CC" w:rsidP="00C957CC">
      <w:pPr>
        <w:ind w:left="720"/>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S&gt;235</m:t>
                </m:r>
              </m:e>
            </m:d>
          </m:e>
        </m:func>
        <m:r>
          <w:rPr>
            <w:rFonts w:ascii="Cambria Math" w:hAnsi="Cambria Math"/>
          </w:rPr>
          <m:t>=.25/2.50=0.1</m:t>
        </m:r>
      </m:oMath>
      <w:r w:rsidR="00B0182C">
        <w:rPr>
          <w:rFonts w:eastAsiaTheme="minorEastAsia"/>
        </w:rPr>
        <w:t xml:space="preserve"> = 10%</w:t>
      </w:r>
      <w:r w:rsidR="007D13D4" w:rsidRPr="00C957CC">
        <w:br/>
      </w:r>
    </w:p>
    <w:p w:rsidR="00FA68BF" w:rsidRDefault="00C957CC" w:rsidP="00FA68BF">
      <w:r>
        <w:t xml:space="preserve">A more realistic estimate might be that the stock could increase as high as </w:t>
      </w:r>
      <w:r w:rsidR="00B0182C">
        <w:t>285</w:t>
      </w:r>
      <w:r>
        <w:t>.  The expected payoff is then the midpoint of the interval (</w:t>
      </w:r>
      <w:r w:rsidR="00B0182C">
        <w:t>260</w:t>
      </w:r>
      <w:r>
        <w:t xml:space="preserve">) minus the lower range </w:t>
      </w:r>
      <w:r w:rsidR="00B0182C">
        <w:t>(235), which is $25</w:t>
      </w:r>
      <w:r>
        <w:t xml:space="preserve">.  To provide an expected value of 0.25, the probability in this interval would need to be </w:t>
      </w:r>
      <w:r w:rsidR="00B0182C">
        <w:t>1</w:t>
      </w:r>
      <w:r>
        <w:t>%.</w:t>
      </w:r>
      <w:r w:rsidR="00B0182C">
        <w:t xml:space="preserve">  Alternately, we might build an interval that extends all the way to 335.  The midpoint is then 285.  The payoff is $50, and the inferred probability is 0.5%.  As we can see, the choice of how wide we make this interval can change the probability quite a bit.  However, </w:t>
      </w:r>
      <w:proofErr w:type="gramStart"/>
      <w:r w:rsidR="00B0182C">
        <w:t>we’ll</w:t>
      </w:r>
      <w:proofErr w:type="gramEnd"/>
      <w:r w:rsidR="00B0182C">
        <w:t xml:space="preserve"> see later that this might influence our results less than we’d expect.</w:t>
      </w:r>
    </w:p>
    <w:p w:rsidR="00B0182C" w:rsidRDefault="00B0182C" w:rsidP="00FA68BF"/>
    <w:p w:rsidR="00B0182C" w:rsidRDefault="00B0182C" w:rsidP="00FA68BF">
      <w:proofErr w:type="gramStart"/>
      <w:r>
        <w:t>We’ll</w:t>
      </w:r>
      <w:proofErr w:type="gramEnd"/>
      <w:r>
        <w:t xml:space="preserve"> proceed using the 235 to 285 interval, implying that the probability for the price exceeding 235 is 1%.  We can perform this same operation on the other extreme using the put option with a </w:t>
      </w:r>
      <w:r>
        <w:lastRenderedPageBreak/>
        <w:t>strike price of 200.  Its current price is $0.40.  If we build an interval from 150 to 200, the expected in-the-money payoff is $25, and the inferred probability of landing in this interval is $0.40 / $25 = 0.016 = 1.6%.</w:t>
      </w:r>
    </w:p>
    <w:p w:rsidR="0072173D" w:rsidRDefault="0072173D" w:rsidP="00FA68BF"/>
    <w:p w:rsidR="0072173D" w:rsidRDefault="0072173D" w:rsidP="0072173D">
      <w:pPr>
        <w:pStyle w:val="Heading1"/>
      </w:pPr>
      <w:r>
        <w:t>Estimating the Internal Intervals</w:t>
      </w:r>
    </w:p>
    <w:p w:rsidR="0072173D" w:rsidRDefault="0072173D" w:rsidP="00FA68BF"/>
    <w:p w:rsidR="0072173D" w:rsidRDefault="0072173D" w:rsidP="00FA68BF">
      <w:r>
        <w:t xml:space="preserve">Now that we have the tails estimated, we can proceed to estimate the internal intervals.  This gets a little bit trickier.  </w:t>
      </w:r>
      <w:proofErr w:type="gramStart"/>
      <w:r w:rsidR="00D444CC">
        <w:t>Let’s</w:t>
      </w:r>
      <w:proofErr w:type="gramEnd"/>
      <w:r w:rsidR="00D444CC">
        <w:t xml:space="preserve"> examine the interval from 230 to 235.  If we bought a </w:t>
      </w:r>
      <w:proofErr w:type="gramStart"/>
      <w:r w:rsidR="00D444CC">
        <w:t>230 call</w:t>
      </w:r>
      <w:proofErr w:type="gramEnd"/>
      <w:r w:rsidR="00D444CC">
        <w:t xml:space="preserve"> option for $1.15 and sell a 235 option for $0.25, the cost of this spread will be $0.</w:t>
      </w:r>
      <w:r w:rsidR="00813408">
        <w:t>90.  The payoff will depend on the price of the stock:</w:t>
      </w:r>
    </w:p>
    <w:p w:rsidR="00813408" w:rsidRDefault="00813408" w:rsidP="00FA68BF"/>
    <w:tbl>
      <w:tblPr>
        <w:tblStyle w:val="TableGrid"/>
        <w:tblW w:w="0" w:type="auto"/>
        <w:tblInd w:w="720" w:type="dxa"/>
        <w:tblLook w:val="04A0" w:firstRow="1" w:lastRow="0" w:firstColumn="1" w:lastColumn="0" w:noHBand="0" w:noVBand="1"/>
      </w:tblPr>
      <w:tblGrid>
        <w:gridCol w:w="1998"/>
        <w:gridCol w:w="1249"/>
      </w:tblGrid>
      <w:tr w:rsidR="00813408" w:rsidTr="00813408">
        <w:tc>
          <w:tcPr>
            <w:tcW w:w="1998" w:type="dxa"/>
            <w:shd w:val="clear" w:color="auto" w:fill="DBE5F1" w:themeFill="accent1" w:themeFillTint="33"/>
          </w:tcPr>
          <w:p w:rsidR="00813408" w:rsidRDefault="00813408" w:rsidP="00692BE9">
            <w:r>
              <w:t>Case</w:t>
            </w:r>
          </w:p>
        </w:tc>
        <w:tc>
          <w:tcPr>
            <w:tcW w:w="1249" w:type="dxa"/>
            <w:shd w:val="clear" w:color="auto" w:fill="DBE5F1" w:themeFill="accent1" w:themeFillTint="33"/>
          </w:tcPr>
          <w:p w:rsidR="00813408" w:rsidRDefault="00813408" w:rsidP="00692BE9">
            <w:r>
              <w:t>Payoff</w:t>
            </w:r>
          </w:p>
        </w:tc>
      </w:tr>
      <w:tr w:rsidR="00813408" w:rsidTr="00813408">
        <w:tc>
          <w:tcPr>
            <w:tcW w:w="1998" w:type="dxa"/>
          </w:tcPr>
          <w:p w:rsidR="00813408" w:rsidRDefault="00813408" w:rsidP="00813408">
            <w:r>
              <w:t>S &lt;= 230</w:t>
            </w:r>
          </w:p>
        </w:tc>
        <w:tc>
          <w:tcPr>
            <w:tcW w:w="1249" w:type="dxa"/>
          </w:tcPr>
          <w:p w:rsidR="00813408" w:rsidRDefault="00813408" w:rsidP="00692BE9">
            <w:r>
              <w:t>0</w:t>
            </w:r>
          </w:p>
        </w:tc>
      </w:tr>
      <w:tr w:rsidR="00813408" w:rsidTr="00813408">
        <w:tc>
          <w:tcPr>
            <w:tcW w:w="1998" w:type="dxa"/>
          </w:tcPr>
          <w:p w:rsidR="00813408" w:rsidRDefault="00813408" w:rsidP="00813408">
            <w:r>
              <w:t>230 &lt;= S &lt; 235</w:t>
            </w:r>
          </w:p>
        </w:tc>
        <w:tc>
          <w:tcPr>
            <w:tcW w:w="1249" w:type="dxa"/>
          </w:tcPr>
          <w:p w:rsidR="00813408" w:rsidRDefault="00813408" w:rsidP="00692BE9">
            <w:r>
              <w:t>S - 235</w:t>
            </w:r>
          </w:p>
        </w:tc>
      </w:tr>
      <w:tr w:rsidR="00813408" w:rsidTr="00813408">
        <w:tc>
          <w:tcPr>
            <w:tcW w:w="1998" w:type="dxa"/>
          </w:tcPr>
          <w:p w:rsidR="00813408" w:rsidRDefault="00813408" w:rsidP="00692BE9">
            <w:r>
              <w:t>S &gt; 235</w:t>
            </w:r>
          </w:p>
        </w:tc>
        <w:tc>
          <w:tcPr>
            <w:tcW w:w="1249" w:type="dxa"/>
          </w:tcPr>
          <w:p w:rsidR="00813408" w:rsidRDefault="00813408" w:rsidP="00692BE9">
            <w:r>
              <w:t>5</w:t>
            </w:r>
          </w:p>
        </w:tc>
      </w:tr>
    </w:tbl>
    <w:p w:rsidR="00813408" w:rsidRDefault="00813408" w:rsidP="00FA68BF"/>
    <w:p w:rsidR="00813408" w:rsidRDefault="00813408" w:rsidP="00FA68BF">
      <w:r>
        <w:t xml:space="preserve">Notice that our profit </w:t>
      </w:r>
      <w:proofErr w:type="gramStart"/>
      <w:r>
        <w:t>is capped</w:t>
      </w:r>
      <w:proofErr w:type="gramEnd"/>
      <w:r>
        <w:t xml:space="preserve"> at $5.00 if the price exceeds 235.  We also know the probability of the price exceeding 235.  We calculated that earlier and estimated it to be 1%.  So the value of this option derived from this case is $5.00 * 1% = $0.05.  </w:t>
      </w:r>
      <w:r w:rsidR="000A10AA">
        <w:t xml:space="preserve">This leaves $0.85 to </w:t>
      </w:r>
      <w:proofErr w:type="gramStart"/>
      <w:r w:rsidR="000A10AA">
        <w:t>be explained</w:t>
      </w:r>
      <w:proofErr w:type="gramEnd"/>
      <w:r w:rsidR="000A10AA">
        <w:t xml:space="preserve"> by the case where the price falls between 230 and 235.  </w:t>
      </w:r>
      <w:r>
        <w:t>If the price falls between 230 and 235, the expected price is 232.50 and the expected value</w:t>
      </w:r>
      <w:r w:rsidR="000A10AA">
        <w:t xml:space="preserve"> is $2.50.  In order to make this outcome worth $0.85</w:t>
      </w:r>
      <w:r>
        <w:t xml:space="preserve">, the probability of the stock’s price falling within this interval must be </w:t>
      </w:r>
      <w:r w:rsidR="000A10AA">
        <w:t>34%.  More formally:</w:t>
      </w:r>
    </w:p>
    <w:p w:rsidR="000A10AA" w:rsidRDefault="000A10AA" w:rsidP="00FA68BF"/>
    <w:p w:rsidR="000A10AA" w:rsidRPr="000A10AA" w:rsidRDefault="000A10AA" w:rsidP="00FA68BF">
      <w:pPr>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S&gt;235</m:t>
                  </m:r>
                </m:e>
              </m:d>
            </m:e>
          </m:func>
          <m:r>
            <w:rPr>
              <w:rFonts w:ascii="Cambria Math" w:hAnsi="Cambria Math"/>
            </w:rPr>
            <m:t>*5+</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230≤S≤235</m:t>
                  </m:r>
                </m:e>
              </m:d>
            </m:e>
          </m:func>
          <m:r>
            <w:rPr>
              <w:rFonts w:ascii="Cambria Math" w:hAnsi="Cambria Math"/>
            </w:rPr>
            <m:t>E</m:t>
          </m:r>
          <m:d>
            <m:dPr>
              <m:begChr m:val="["/>
              <m:endChr m:val="|"/>
              <m:ctrlPr>
                <w:rPr>
                  <w:rFonts w:ascii="Cambria Math" w:hAnsi="Cambria Math"/>
                  <w:i/>
                </w:rPr>
              </m:ctrlPr>
            </m:dPr>
            <m:e>
              <m:r>
                <w:rPr>
                  <w:rFonts w:ascii="Cambria Math" w:hAnsi="Cambria Math"/>
                </w:rPr>
                <m:t>S-</m:t>
              </m:r>
              <m:r>
                <w:rPr>
                  <w:rFonts w:ascii="Cambria Math" w:hAnsi="Cambria Math"/>
                </w:rPr>
                <m:t>230</m:t>
              </m:r>
              <m:r>
                <w:rPr>
                  <w:rFonts w:ascii="Cambria Math" w:hAnsi="Cambria Math"/>
                </w:rPr>
                <m:t xml:space="preserve"> </m:t>
              </m:r>
            </m:e>
          </m:d>
          <m:r>
            <w:rPr>
              <w:rFonts w:ascii="Cambria Math" w:hAnsi="Cambria Math"/>
            </w:rPr>
            <m:t xml:space="preserve"> 230≤</m:t>
          </m:r>
          <m:r>
            <w:rPr>
              <w:rFonts w:ascii="Cambria Math" w:hAnsi="Cambria Math"/>
            </w:rPr>
            <m:t>S</m:t>
          </m:r>
          <m:r>
            <w:rPr>
              <w:rFonts w:ascii="Cambria Math" w:hAnsi="Cambria Math"/>
            </w:rPr>
            <m:t>&lt;</m:t>
          </m:r>
          <m:r>
            <w:rPr>
              <w:rFonts w:ascii="Cambria Math" w:hAnsi="Cambria Math"/>
            </w:rPr>
            <m:t>235</m:t>
          </m:r>
          <m:r>
            <w:rPr>
              <w:rFonts w:ascii="Cambria Math" w:hAnsi="Cambria Math"/>
            </w:rPr>
            <m:t>]</m:t>
          </m:r>
          <m:r>
            <w:rPr>
              <w:rFonts w:ascii="Cambria Math" w:hAnsi="Cambria Math"/>
            </w:rPr>
            <m:t>+</m:t>
          </m:r>
          <m:r>
            <m:rPr>
              <m:sty m:val="p"/>
            </m:rPr>
            <w:rPr>
              <w:rFonts w:ascii="Cambria Math" w:hAnsi="Cambria Math"/>
            </w:rPr>
            <m:t>Pr⁡</m:t>
          </m:r>
          <m:r>
            <w:rPr>
              <w:rFonts w:ascii="Cambria Math" w:hAnsi="Cambria Math"/>
            </w:rPr>
            <m:t>(S&gt;230)*0</m:t>
          </m:r>
          <m:r>
            <w:rPr>
              <w:rFonts w:ascii="Cambria Math" w:hAnsi="Cambria Math"/>
            </w:rPr>
            <m:t>=</m:t>
          </m:r>
        </m:oMath>
      </m:oMathPara>
    </w:p>
    <w:p w:rsidR="000A10AA" w:rsidRPr="000A10AA" w:rsidRDefault="000A10AA" w:rsidP="00FA68BF">
      <w:pPr>
        <w:rPr>
          <w:rFonts w:eastAsiaTheme="minorEastAsia"/>
        </w:rPr>
      </w:pPr>
      <m:oMathPara>
        <m:oMathParaPr>
          <m:jc m:val="left"/>
        </m:oMathParaPr>
        <m:oMath>
          <m:r>
            <m:rPr>
              <m:sty m:val="p"/>
            </m:rPr>
            <w:rPr>
              <w:rFonts w:ascii="Cambria Math" w:hAnsi="Cambria Math"/>
            </w:rPr>
            <m:t xml:space="preserve">      0.01*5          </m:t>
          </m:r>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230≤S≤235</m:t>
                  </m:r>
                </m:e>
              </m:d>
            </m:e>
          </m:func>
          <m:r>
            <w:rPr>
              <w:rFonts w:ascii="Cambria Math" w:hAnsi="Cambria Math"/>
            </w:rPr>
            <m:t>2.50     +     0=0.90</m:t>
          </m:r>
        </m:oMath>
      </m:oMathPara>
    </w:p>
    <w:p w:rsidR="000A10AA" w:rsidRPr="000A10AA" w:rsidRDefault="000A10AA" w:rsidP="00FA68BF">
      <w:pPr>
        <w:rPr>
          <w:rFonts w:eastAsiaTheme="minorEastAsia"/>
        </w:rPr>
      </w:pPr>
    </w:p>
    <w:p w:rsidR="000A10AA" w:rsidRPr="000A10AA" w:rsidRDefault="000A10AA" w:rsidP="00FA68BF">
      <w:pPr>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230≤S≤235</m:t>
                  </m:r>
                </m:e>
              </m:d>
            </m:e>
          </m:func>
          <m:r>
            <w:rPr>
              <w:rFonts w:ascii="Cambria Math" w:hAnsi="Cambria Math"/>
            </w:rPr>
            <m:t>=</m:t>
          </m:r>
          <m:f>
            <m:fPr>
              <m:ctrlPr>
                <w:rPr>
                  <w:rFonts w:ascii="Cambria Math" w:hAnsi="Cambria Math"/>
                  <w:i/>
                </w:rPr>
              </m:ctrlPr>
            </m:fPr>
            <m:num>
              <m:r>
                <w:rPr>
                  <w:rFonts w:ascii="Cambria Math" w:hAnsi="Cambria Math"/>
                </w:rPr>
                <m:t>.90-.05</m:t>
              </m:r>
            </m:num>
            <m:den>
              <m:r>
                <w:rPr>
                  <w:rFonts w:ascii="Cambria Math" w:hAnsi="Cambria Math"/>
                </w:rPr>
                <m:t>2.50</m:t>
              </m:r>
            </m:den>
          </m:f>
          <m:r>
            <w:rPr>
              <w:rFonts w:ascii="Cambria Math" w:hAnsi="Cambria Math"/>
            </w:rPr>
            <m:t>=.34=34</m:t>
          </m:r>
          <m:r>
            <w:rPr>
              <w:rFonts w:ascii="Cambria Math" w:hAnsi="Cambria Math"/>
            </w:rPr>
            <m:t>%</m:t>
          </m:r>
        </m:oMath>
      </m:oMathPara>
    </w:p>
    <w:p w:rsidR="000A10AA" w:rsidRDefault="000A10AA" w:rsidP="00FA68BF">
      <w:pPr>
        <w:rPr>
          <w:rFonts w:eastAsiaTheme="minorEastAsia"/>
        </w:rPr>
      </w:pPr>
    </w:p>
    <w:p w:rsidR="000A10AA" w:rsidRDefault="000A10AA" w:rsidP="00FA68BF">
      <w:pPr>
        <w:rPr>
          <w:rFonts w:eastAsiaTheme="minorEastAsia"/>
        </w:rPr>
      </w:pPr>
      <w:r>
        <w:rPr>
          <w:rFonts w:eastAsiaTheme="minorEastAsia"/>
        </w:rPr>
        <w:t xml:space="preserve">If we had a call option at a strike price of 225, we could repeat this process.  We now know the probability of S exceeding 230.  </w:t>
      </w:r>
      <w:proofErr w:type="gramStart"/>
      <w:r>
        <w:rPr>
          <w:rFonts w:eastAsiaTheme="minorEastAsia"/>
        </w:rPr>
        <w:t>It’s</w:t>
      </w:r>
      <w:proofErr w:type="gramEnd"/>
      <w:r>
        <w:rPr>
          <w:rFonts w:eastAsiaTheme="minorEastAsia"/>
        </w:rPr>
        <w:t xml:space="preserve"> the probability of it exceeding 235 (1%) added to the probability of it falling in the range of 230 and 235 (34%), which is 35%.  However, we </w:t>
      </w:r>
      <w:proofErr w:type="gramStart"/>
      <w:r>
        <w:rPr>
          <w:rFonts w:eastAsiaTheme="minorEastAsia"/>
        </w:rPr>
        <w:t>don’t</w:t>
      </w:r>
      <w:proofErr w:type="gramEnd"/>
      <w:r>
        <w:rPr>
          <w:rFonts w:eastAsiaTheme="minorEastAsia"/>
        </w:rPr>
        <w:t xml:space="preserve"> have a call option at a strike price of 225.  Instead, we have to go to the other end of the distribution and look at the price of puts.</w:t>
      </w:r>
    </w:p>
    <w:p w:rsidR="000A10AA" w:rsidRDefault="000A10AA" w:rsidP="00FA68BF">
      <w:pPr>
        <w:rPr>
          <w:rFonts w:eastAsiaTheme="minorEastAsia"/>
        </w:rPr>
      </w:pPr>
    </w:p>
    <w:p w:rsidR="000A10AA" w:rsidRDefault="000A10AA" w:rsidP="00FA68BF">
      <w:pPr>
        <w:rPr>
          <w:rFonts w:eastAsiaTheme="minorEastAsia"/>
        </w:rPr>
      </w:pPr>
      <w:r>
        <w:rPr>
          <w:rFonts w:eastAsiaTheme="minorEastAsia"/>
        </w:rPr>
        <w:t>We already have the probability of the price falling below 200 (1.6%).  We can construct a spread by buying the 205 put for $0.50 and selling the 200 put for $0.40.  The cost of the spread is thus $0.10 and $0.08 of that is accounted for by the probability of the price falling below 200 (</w:t>
      </w:r>
      <w:r w:rsidR="00DD2493">
        <w:rPr>
          <w:rFonts w:eastAsiaTheme="minorEastAsia"/>
        </w:rPr>
        <w:t>$5.00 * .016 = $0.08).  If the price falls between 200 and 205, the expected payoff is $2.50.  To make this worth $0.02, the inferred probability is .02 / 2.50 = 0.008 = 0.8%.</w:t>
      </w:r>
      <w:r>
        <w:rPr>
          <w:rFonts w:eastAsiaTheme="minorEastAsia"/>
        </w:rPr>
        <w:t xml:space="preserve">  </w:t>
      </w:r>
    </w:p>
    <w:p w:rsidR="000A10AA" w:rsidRDefault="000A10AA" w:rsidP="00FA68BF">
      <w:pPr>
        <w:rPr>
          <w:rFonts w:eastAsiaTheme="minorEastAsia"/>
        </w:rPr>
      </w:pPr>
    </w:p>
    <w:p w:rsidR="000A10AA" w:rsidRDefault="00DD2493" w:rsidP="00FA68BF">
      <w:pPr>
        <w:rPr>
          <w:rFonts w:eastAsiaTheme="minorEastAsia"/>
        </w:rPr>
      </w:pPr>
      <w:r>
        <w:rPr>
          <w:rFonts w:eastAsiaTheme="minorEastAsia"/>
        </w:rPr>
        <w:t>Repeating this process produces the following table:</w:t>
      </w:r>
    </w:p>
    <w:p w:rsidR="00DD2493" w:rsidRDefault="00DD2493">
      <w:pPr>
        <w:spacing w:after="200" w:line="276" w:lineRule="auto"/>
        <w:contextualSpacing w:val="0"/>
        <w:rPr>
          <w:rFonts w:eastAsiaTheme="minorEastAsia"/>
        </w:rPr>
      </w:pPr>
      <w:r>
        <w:rPr>
          <w:rFonts w:eastAsiaTheme="minorEastAsia"/>
        </w:rPr>
        <w:br w:type="page"/>
      </w:r>
    </w:p>
    <w:p w:rsidR="00DD2493" w:rsidRDefault="00DD2493" w:rsidP="00FA68BF">
      <w:pPr>
        <w:rPr>
          <w:rFonts w:eastAsiaTheme="minorEastAsia"/>
        </w:rPr>
      </w:pPr>
    </w:p>
    <w:tbl>
      <w:tblPr>
        <w:tblW w:w="9000" w:type="dxa"/>
        <w:tblInd w:w="93" w:type="dxa"/>
        <w:tblLook w:val="04A0" w:firstRow="1" w:lastRow="0" w:firstColumn="1" w:lastColumn="0" w:noHBand="0" w:noVBand="1"/>
      </w:tblPr>
      <w:tblGrid>
        <w:gridCol w:w="571"/>
        <w:gridCol w:w="794"/>
        <w:gridCol w:w="705"/>
        <w:gridCol w:w="340"/>
        <w:gridCol w:w="840"/>
        <w:gridCol w:w="1021"/>
        <w:gridCol w:w="1274"/>
        <w:gridCol w:w="236"/>
        <w:gridCol w:w="840"/>
        <w:gridCol w:w="1200"/>
        <w:gridCol w:w="1274"/>
      </w:tblGrid>
      <w:tr w:rsidR="00DD2493" w:rsidRPr="00DD2493" w:rsidTr="00DD2493">
        <w:trPr>
          <w:trHeight w:val="300"/>
        </w:trPr>
        <w:tc>
          <w:tcPr>
            <w:tcW w:w="2070" w:type="dxa"/>
            <w:gridSpan w:val="3"/>
            <w:tcBorders>
              <w:top w:val="nil"/>
              <w:left w:val="nil"/>
              <w:bottom w:val="single" w:sz="4" w:space="0" w:color="auto"/>
              <w:right w:val="nil"/>
            </w:tcBorders>
            <w:shd w:val="clear" w:color="auto" w:fill="auto"/>
            <w:noWrap/>
            <w:vAlign w:val="bottom"/>
          </w:tcPr>
          <w:p w:rsidR="00DD2493" w:rsidRPr="00DD2493" w:rsidRDefault="00DD2493" w:rsidP="00DD2493">
            <w:pPr>
              <w:contextualSpacing w:val="0"/>
              <w:jc w:val="center"/>
              <w:rPr>
                <w:rFonts w:ascii="Calibri" w:eastAsia="Times New Roman" w:hAnsi="Calibri" w:cs="Calibri"/>
                <w:color w:val="000000"/>
                <w:sz w:val="22"/>
              </w:rPr>
            </w:pPr>
            <w:r>
              <w:rPr>
                <w:rFonts w:ascii="Calibri" w:eastAsia="Times New Roman" w:hAnsi="Calibri" w:cs="Calibri"/>
                <w:color w:val="000000"/>
                <w:sz w:val="22"/>
              </w:rPr>
              <w:t>Strike Price Range</w:t>
            </w:r>
          </w:p>
        </w:tc>
        <w:tc>
          <w:tcPr>
            <w:tcW w:w="340" w:type="dxa"/>
            <w:tcBorders>
              <w:top w:val="nil"/>
              <w:left w:val="nil"/>
              <w:right w:val="nil"/>
            </w:tcBorders>
            <w:shd w:val="clear" w:color="auto" w:fill="auto"/>
            <w:noWrap/>
            <w:vAlign w:val="bottom"/>
          </w:tcPr>
          <w:p w:rsidR="00DD2493" w:rsidRPr="00DD2493" w:rsidRDefault="00DD2493" w:rsidP="00DD2493">
            <w:pPr>
              <w:contextualSpacing w:val="0"/>
              <w:rPr>
                <w:rFonts w:ascii="Calibri" w:eastAsia="Times New Roman" w:hAnsi="Calibri" w:cs="Calibri"/>
                <w:color w:val="000000"/>
                <w:sz w:val="22"/>
              </w:rPr>
            </w:pPr>
          </w:p>
        </w:tc>
        <w:tc>
          <w:tcPr>
            <w:tcW w:w="3040" w:type="dxa"/>
            <w:gridSpan w:val="3"/>
            <w:tcBorders>
              <w:top w:val="nil"/>
              <w:left w:val="nil"/>
              <w:bottom w:val="single" w:sz="4" w:space="0" w:color="auto"/>
              <w:right w:val="nil"/>
            </w:tcBorders>
            <w:shd w:val="clear" w:color="auto" w:fill="auto"/>
            <w:noWrap/>
            <w:vAlign w:val="bottom"/>
          </w:tcPr>
          <w:p w:rsidR="00DD2493" w:rsidRPr="00DD2493" w:rsidRDefault="00DD2493" w:rsidP="00692BE9">
            <w:pPr>
              <w:contextualSpacing w:val="0"/>
              <w:jc w:val="center"/>
              <w:rPr>
                <w:rFonts w:ascii="Calibri" w:eastAsia="Times New Roman" w:hAnsi="Calibri" w:cs="Calibri"/>
                <w:color w:val="000000"/>
                <w:sz w:val="22"/>
              </w:rPr>
            </w:pPr>
            <w:r>
              <w:rPr>
                <w:rFonts w:ascii="Calibri" w:eastAsia="Times New Roman" w:hAnsi="Calibri" w:cs="Calibri"/>
                <w:color w:val="000000"/>
                <w:sz w:val="22"/>
              </w:rPr>
              <w:t>Using Call Options</w:t>
            </w:r>
          </w:p>
        </w:tc>
        <w:tc>
          <w:tcPr>
            <w:tcW w:w="236" w:type="dxa"/>
            <w:tcBorders>
              <w:top w:val="nil"/>
              <w:left w:val="nil"/>
              <w:right w:val="nil"/>
            </w:tcBorders>
            <w:shd w:val="clear" w:color="auto" w:fill="auto"/>
            <w:noWrap/>
            <w:vAlign w:val="bottom"/>
          </w:tcPr>
          <w:p w:rsidR="00DD2493" w:rsidRPr="00DD2493" w:rsidRDefault="00DD2493" w:rsidP="00DD2493">
            <w:pPr>
              <w:contextualSpacing w:val="0"/>
              <w:rPr>
                <w:rFonts w:ascii="Calibri" w:eastAsia="Times New Roman" w:hAnsi="Calibri" w:cs="Calibri"/>
                <w:color w:val="000000"/>
                <w:sz w:val="22"/>
              </w:rPr>
            </w:pPr>
          </w:p>
        </w:tc>
        <w:tc>
          <w:tcPr>
            <w:tcW w:w="3314" w:type="dxa"/>
            <w:gridSpan w:val="3"/>
            <w:tcBorders>
              <w:top w:val="nil"/>
              <w:left w:val="nil"/>
              <w:bottom w:val="single" w:sz="4" w:space="0" w:color="auto"/>
              <w:right w:val="nil"/>
            </w:tcBorders>
            <w:shd w:val="clear" w:color="auto" w:fill="auto"/>
            <w:noWrap/>
            <w:vAlign w:val="bottom"/>
          </w:tcPr>
          <w:p w:rsidR="00DD2493" w:rsidRPr="00DD2493" w:rsidRDefault="00DD2493" w:rsidP="00DD2493">
            <w:pPr>
              <w:contextualSpacing w:val="0"/>
              <w:jc w:val="center"/>
              <w:rPr>
                <w:rFonts w:ascii="Calibri" w:eastAsia="Times New Roman" w:hAnsi="Calibri" w:cs="Calibri"/>
                <w:color w:val="000000"/>
                <w:sz w:val="22"/>
              </w:rPr>
            </w:pPr>
            <w:r>
              <w:rPr>
                <w:rFonts w:ascii="Calibri" w:eastAsia="Times New Roman" w:hAnsi="Calibri" w:cs="Calibri"/>
                <w:color w:val="000000"/>
                <w:sz w:val="22"/>
              </w:rPr>
              <w:t>Using Put Options</w:t>
            </w:r>
          </w:p>
        </w:tc>
      </w:tr>
      <w:tr w:rsidR="00DD2493" w:rsidRPr="00DD2493" w:rsidTr="00DD2493">
        <w:trPr>
          <w:trHeight w:val="300"/>
        </w:trPr>
        <w:tc>
          <w:tcPr>
            <w:tcW w:w="571" w:type="dxa"/>
            <w:tcBorders>
              <w:top w:val="single" w:sz="4" w:space="0" w:color="auto"/>
              <w:left w:val="nil"/>
              <w:bottom w:val="single" w:sz="4" w:space="0" w:color="auto"/>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Min</w:t>
            </w:r>
          </w:p>
        </w:tc>
        <w:tc>
          <w:tcPr>
            <w:tcW w:w="794" w:type="dxa"/>
            <w:tcBorders>
              <w:top w:val="single" w:sz="4" w:space="0" w:color="auto"/>
              <w:left w:val="nil"/>
              <w:bottom w:val="single" w:sz="4" w:space="0" w:color="auto"/>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Mid</w:t>
            </w:r>
          </w:p>
        </w:tc>
        <w:tc>
          <w:tcPr>
            <w:tcW w:w="705" w:type="dxa"/>
            <w:tcBorders>
              <w:top w:val="single" w:sz="4" w:space="0" w:color="auto"/>
              <w:left w:val="nil"/>
              <w:bottom w:val="single" w:sz="4" w:space="0" w:color="auto"/>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Max</w:t>
            </w:r>
          </w:p>
        </w:tc>
        <w:tc>
          <w:tcPr>
            <w:tcW w:w="340" w:type="dxa"/>
            <w:tcBorders>
              <w:left w:val="nil"/>
              <w:bottom w:val="single" w:sz="4" w:space="0" w:color="auto"/>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single" w:sz="4" w:space="0" w:color="auto"/>
              <w:left w:val="nil"/>
              <w:bottom w:val="single" w:sz="4" w:space="0" w:color="auto"/>
              <w:right w:val="nil"/>
            </w:tcBorders>
            <w:shd w:val="clear" w:color="auto" w:fill="auto"/>
            <w:noWrap/>
            <w:vAlign w:val="bottom"/>
            <w:hideMark/>
          </w:tcPr>
          <w:p w:rsidR="00DD2493" w:rsidRDefault="00DD2493" w:rsidP="00692BE9">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 xml:space="preserve">Spread </w:t>
            </w:r>
          </w:p>
          <w:p w:rsidR="00DD2493" w:rsidRPr="00DD2493" w:rsidRDefault="00DD2493" w:rsidP="00692BE9">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Cost</w:t>
            </w:r>
          </w:p>
        </w:tc>
        <w:tc>
          <w:tcPr>
            <w:tcW w:w="1021" w:type="dxa"/>
            <w:tcBorders>
              <w:top w:val="single" w:sz="4" w:space="0" w:color="auto"/>
              <w:left w:val="nil"/>
              <w:bottom w:val="single" w:sz="4" w:space="0" w:color="auto"/>
              <w:right w:val="nil"/>
            </w:tcBorders>
            <w:shd w:val="clear" w:color="auto" w:fill="auto"/>
            <w:noWrap/>
            <w:vAlign w:val="bottom"/>
            <w:hideMark/>
          </w:tcPr>
          <w:p w:rsidR="00DD2493" w:rsidRPr="00DD2493" w:rsidRDefault="00DD2493" w:rsidP="00692BE9">
            <w:pPr>
              <w:contextualSpacing w:val="0"/>
              <w:jc w:val="center"/>
              <w:rPr>
                <w:rFonts w:ascii="Calibri" w:eastAsia="Times New Roman" w:hAnsi="Calibri" w:cs="Calibri"/>
                <w:color w:val="000000"/>
                <w:sz w:val="22"/>
              </w:rPr>
            </w:pPr>
            <w:proofErr w:type="spellStart"/>
            <w:r w:rsidRPr="00DD2493">
              <w:rPr>
                <w:rFonts w:ascii="Calibri" w:eastAsia="Times New Roman" w:hAnsi="Calibri" w:cs="Calibri"/>
                <w:color w:val="000000"/>
                <w:sz w:val="22"/>
              </w:rPr>
              <w:t>Pr</w:t>
            </w:r>
            <w:proofErr w:type="spellEnd"/>
            <w:r w:rsidRPr="00DD2493">
              <w:rPr>
                <w:rFonts w:ascii="Calibri" w:eastAsia="Times New Roman" w:hAnsi="Calibri" w:cs="Calibri"/>
                <w:color w:val="000000"/>
                <w:sz w:val="22"/>
              </w:rPr>
              <w:t>(S&gt;x2)</w:t>
            </w:r>
          </w:p>
        </w:tc>
        <w:tc>
          <w:tcPr>
            <w:tcW w:w="1179" w:type="dxa"/>
            <w:tcBorders>
              <w:top w:val="single" w:sz="4" w:space="0" w:color="auto"/>
              <w:left w:val="nil"/>
              <w:bottom w:val="single" w:sz="4" w:space="0" w:color="auto"/>
              <w:right w:val="nil"/>
            </w:tcBorders>
            <w:shd w:val="clear" w:color="auto" w:fill="auto"/>
            <w:noWrap/>
            <w:vAlign w:val="bottom"/>
            <w:hideMark/>
          </w:tcPr>
          <w:p w:rsidR="00DD2493" w:rsidRPr="00DD2493" w:rsidRDefault="00DD2493" w:rsidP="00692BE9">
            <w:pPr>
              <w:contextualSpacing w:val="0"/>
              <w:jc w:val="center"/>
              <w:rPr>
                <w:rFonts w:ascii="Calibri" w:eastAsia="Times New Roman" w:hAnsi="Calibri" w:cs="Calibri"/>
                <w:color w:val="000000"/>
                <w:sz w:val="22"/>
              </w:rPr>
            </w:pPr>
            <w:proofErr w:type="spellStart"/>
            <w:r w:rsidRPr="00DD2493">
              <w:rPr>
                <w:rFonts w:ascii="Calibri" w:eastAsia="Times New Roman" w:hAnsi="Calibri" w:cs="Calibri"/>
                <w:color w:val="000000"/>
                <w:sz w:val="22"/>
              </w:rPr>
              <w:t>Pr</w:t>
            </w:r>
            <w:proofErr w:type="spellEnd"/>
            <w:r w:rsidRPr="00DD2493">
              <w:rPr>
                <w:rFonts w:ascii="Calibri" w:eastAsia="Times New Roman" w:hAnsi="Calibri" w:cs="Calibri"/>
                <w:color w:val="000000"/>
                <w:sz w:val="22"/>
              </w:rPr>
              <w:t>(x1&lt;S&lt;</w:t>
            </w:r>
            <w:r>
              <w:rPr>
                <w:rFonts w:ascii="Calibri" w:eastAsia="Times New Roman" w:hAnsi="Calibri" w:cs="Calibri"/>
                <w:color w:val="000000"/>
                <w:sz w:val="22"/>
              </w:rPr>
              <w:t>x</w:t>
            </w:r>
            <w:r w:rsidRPr="00DD2493">
              <w:rPr>
                <w:rFonts w:ascii="Calibri" w:eastAsia="Times New Roman" w:hAnsi="Calibri" w:cs="Calibri"/>
                <w:color w:val="000000"/>
                <w:sz w:val="22"/>
              </w:rPr>
              <w:t>2)</w:t>
            </w:r>
          </w:p>
        </w:tc>
        <w:tc>
          <w:tcPr>
            <w:tcW w:w="236" w:type="dxa"/>
            <w:tcBorders>
              <w:left w:val="nil"/>
              <w:bottom w:val="single" w:sz="4" w:space="0" w:color="auto"/>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single" w:sz="4" w:space="0" w:color="auto"/>
              <w:left w:val="nil"/>
              <w:bottom w:val="single" w:sz="4" w:space="0" w:color="auto"/>
              <w:right w:val="nil"/>
            </w:tcBorders>
            <w:shd w:val="clear" w:color="auto" w:fill="auto"/>
            <w:noWrap/>
            <w:vAlign w:val="bottom"/>
            <w:hideMark/>
          </w:tcPr>
          <w:p w:rsidR="00DD2493" w:rsidRDefault="00DD2493" w:rsidP="00DD2493">
            <w:pPr>
              <w:contextualSpacing w:val="0"/>
              <w:jc w:val="center"/>
              <w:rPr>
                <w:rFonts w:ascii="Calibri" w:eastAsia="Times New Roman" w:hAnsi="Calibri" w:cs="Calibri"/>
                <w:color w:val="000000"/>
                <w:sz w:val="22"/>
              </w:rPr>
            </w:pPr>
            <w:r>
              <w:rPr>
                <w:rFonts w:ascii="Calibri" w:eastAsia="Times New Roman" w:hAnsi="Calibri" w:cs="Calibri"/>
                <w:color w:val="000000"/>
                <w:sz w:val="22"/>
              </w:rPr>
              <w:t>Spread</w:t>
            </w:r>
          </w:p>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Cost</w:t>
            </w:r>
          </w:p>
        </w:tc>
        <w:tc>
          <w:tcPr>
            <w:tcW w:w="1200" w:type="dxa"/>
            <w:tcBorders>
              <w:top w:val="single" w:sz="4" w:space="0" w:color="auto"/>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roofErr w:type="spellStart"/>
            <w:r w:rsidRPr="00DD2493">
              <w:rPr>
                <w:rFonts w:ascii="Calibri" w:eastAsia="Times New Roman" w:hAnsi="Calibri" w:cs="Calibri"/>
                <w:color w:val="000000"/>
                <w:sz w:val="22"/>
              </w:rPr>
              <w:t>Pr</w:t>
            </w:r>
            <w:proofErr w:type="spellEnd"/>
            <w:r w:rsidRPr="00DD2493">
              <w:rPr>
                <w:rFonts w:ascii="Calibri" w:eastAsia="Times New Roman" w:hAnsi="Calibri" w:cs="Calibri"/>
                <w:color w:val="000000"/>
                <w:sz w:val="22"/>
              </w:rPr>
              <w:t>(S&lt;x1)</w:t>
            </w:r>
          </w:p>
        </w:tc>
        <w:tc>
          <w:tcPr>
            <w:tcW w:w="1274" w:type="dxa"/>
            <w:tcBorders>
              <w:top w:val="single" w:sz="4" w:space="0" w:color="auto"/>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roofErr w:type="spellStart"/>
            <w:r w:rsidRPr="00DD2493">
              <w:rPr>
                <w:rFonts w:ascii="Calibri" w:eastAsia="Times New Roman" w:hAnsi="Calibri" w:cs="Calibri"/>
                <w:color w:val="000000"/>
                <w:sz w:val="22"/>
              </w:rPr>
              <w:t>Pr</w:t>
            </w:r>
            <w:proofErr w:type="spellEnd"/>
            <w:r w:rsidRPr="00DD2493">
              <w:rPr>
                <w:rFonts w:ascii="Calibri" w:eastAsia="Times New Roman" w:hAnsi="Calibri" w:cs="Calibri"/>
                <w:color w:val="000000"/>
                <w:sz w:val="22"/>
              </w:rPr>
              <w:t>(x1&lt;S&lt;x2)</w:t>
            </w:r>
          </w:p>
        </w:tc>
      </w:tr>
      <w:tr w:rsidR="00DD2493" w:rsidRPr="00DD2493" w:rsidTr="00DD2493">
        <w:trPr>
          <w:trHeight w:val="300"/>
        </w:trPr>
        <w:tc>
          <w:tcPr>
            <w:tcW w:w="571"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150</w:t>
            </w:r>
          </w:p>
        </w:tc>
        <w:tc>
          <w:tcPr>
            <w:tcW w:w="794" w:type="dxa"/>
            <w:tcBorders>
              <w:top w:val="single" w:sz="4" w:space="0" w:color="auto"/>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175</w:t>
            </w:r>
            <w:r>
              <w:rPr>
                <w:rFonts w:ascii="Calibri" w:eastAsia="Times New Roman" w:hAnsi="Calibri" w:cs="Calibri"/>
                <w:color w:val="000000"/>
                <w:sz w:val="22"/>
              </w:rPr>
              <w:t>.0</w:t>
            </w:r>
          </w:p>
        </w:tc>
        <w:tc>
          <w:tcPr>
            <w:tcW w:w="705"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200</w:t>
            </w:r>
          </w:p>
        </w:tc>
        <w:tc>
          <w:tcPr>
            <w:tcW w:w="34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single" w:sz="4" w:space="0" w:color="auto"/>
              <w:left w:val="nil"/>
              <w:bottom w:val="nil"/>
              <w:right w:val="nil"/>
            </w:tcBorders>
            <w:shd w:val="clear" w:color="auto" w:fill="auto"/>
            <w:noWrap/>
            <w:vAlign w:val="bottom"/>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single" w:sz="4" w:space="0" w:color="auto"/>
              <w:left w:val="nil"/>
              <w:bottom w:val="nil"/>
              <w:right w:val="nil"/>
            </w:tcBorders>
            <w:shd w:val="clear" w:color="auto" w:fill="auto"/>
            <w:noWrap/>
            <w:vAlign w:val="bottom"/>
          </w:tcPr>
          <w:p w:rsidR="00DD2493" w:rsidRPr="00DD2493" w:rsidRDefault="00DD2493" w:rsidP="00DD2493">
            <w:pPr>
              <w:contextualSpacing w:val="0"/>
              <w:jc w:val="center"/>
              <w:rPr>
                <w:rFonts w:ascii="Calibri" w:eastAsia="Times New Roman" w:hAnsi="Calibri" w:cs="Calibri"/>
                <w:color w:val="000000"/>
                <w:sz w:val="22"/>
              </w:rPr>
            </w:pPr>
          </w:p>
        </w:tc>
        <w:tc>
          <w:tcPr>
            <w:tcW w:w="1415" w:type="dxa"/>
            <w:gridSpan w:val="2"/>
            <w:tcBorders>
              <w:top w:val="single" w:sz="4" w:space="0" w:color="auto"/>
              <w:left w:val="nil"/>
              <w:bottom w:val="nil"/>
              <w:right w:val="nil"/>
            </w:tcBorders>
            <w:shd w:val="clear" w:color="auto" w:fill="auto"/>
            <w:noWrap/>
            <w:vAlign w:val="bottom"/>
          </w:tcPr>
          <w:p w:rsidR="00DD2493" w:rsidRPr="00DD2493" w:rsidRDefault="00DD2493" w:rsidP="00DD2493">
            <w:pPr>
              <w:contextualSpacing w:val="0"/>
              <w:jc w:val="center"/>
              <w:rPr>
                <w:rFonts w:ascii="Calibri" w:eastAsia="Times New Roman" w:hAnsi="Calibri" w:cs="Calibri"/>
                <w:color w:val="000000"/>
                <w:sz w:val="22"/>
              </w:rPr>
            </w:pPr>
          </w:p>
        </w:tc>
        <w:tc>
          <w:tcPr>
            <w:tcW w:w="84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0.4</w:t>
            </w:r>
            <w:r>
              <w:rPr>
                <w:rFonts w:ascii="Calibri" w:eastAsia="Times New Roman" w:hAnsi="Calibri" w:cs="Calibri"/>
                <w:color w:val="000000"/>
                <w:sz w:val="22"/>
              </w:rPr>
              <w:t>0</w:t>
            </w:r>
          </w:p>
        </w:tc>
        <w:tc>
          <w:tcPr>
            <w:tcW w:w="120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w:t>
            </w:r>
            <w:r>
              <w:rPr>
                <w:rFonts w:ascii="Calibri" w:eastAsia="Times New Roman" w:hAnsi="Calibri" w:cs="Calibri"/>
                <w:color w:val="000000"/>
                <w:sz w:val="22"/>
              </w:rPr>
              <w:t>.000</w:t>
            </w:r>
          </w:p>
        </w:tc>
        <w:tc>
          <w:tcPr>
            <w:tcW w:w="1274"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0.016</w:t>
            </w:r>
          </w:p>
        </w:tc>
      </w:tr>
      <w:tr w:rsidR="00DD2493" w:rsidRPr="00DD2493" w:rsidTr="00DD2493">
        <w:trPr>
          <w:trHeight w:val="300"/>
        </w:trPr>
        <w:tc>
          <w:tcPr>
            <w:tcW w:w="57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200</w:t>
            </w:r>
          </w:p>
        </w:tc>
        <w:tc>
          <w:tcPr>
            <w:tcW w:w="794" w:type="dxa"/>
            <w:tcBorders>
              <w:top w:val="nil"/>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202.5</w:t>
            </w:r>
          </w:p>
        </w:tc>
        <w:tc>
          <w:tcPr>
            <w:tcW w:w="705"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205</w:t>
            </w:r>
          </w:p>
        </w:tc>
        <w:tc>
          <w:tcPr>
            <w:tcW w:w="34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179"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0.1</w:t>
            </w:r>
            <w:r>
              <w:rPr>
                <w:rFonts w:ascii="Calibri" w:eastAsia="Times New Roman" w:hAnsi="Calibri" w:cs="Calibri"/>
                <w:color w:val="000000"/>
                <w:sz w:val="22"/>
              </w:rPr>
              <w:t>0</w:t>
            </w:r>
          </w:p>
        </w:tc>
        <w:tc>
          <w:tcPr>
            <w:tcW w:w="120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0.016</w:t>
            </w:r>
          </w:p>
        </w:tc>
        <w:tc>
          <w:tcPr>
            <w:tcW w:w="1274"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0.008</w:t>
            </w:r>
          </w:p>
        </w:tc>
      </w:tr>
      <w:tr w:rsidR="00DD2493" w:rsidRPr="00DD2493" w:rsidTr="00DD2493">
        <w:trPr>
          <w:trHeight w:val="300"/>
        </w:trPr>
        <w:tc>
          <w:tcPr>
            <w:tcW w:w="57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205</w:t>
            </w:r>
          </w:p>
        </w:tc>
        <w:tc>
          <w:tcPr>
            <w:tcW w:w="794" w:type="dxa"/>
            <w:tcBorders>
              <w:top w:val="nil"/>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207.5</w:t>
            </w:r>
          </w:p>
        </w:tc>
        <w:tc>
          <w:tcPr>
            <w:tcW w:w="705"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210</w:t>
            </w:r>
          </w:p>
        </w:tc>
        <w:tc>
          <w:tcPr>
            <w:tcW w:w="34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179"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0.1</w:t>
            </w:r>
            <w:r>
              <w:rPr>
                <w:rFonts w:ascii="Calibri" w:eastAsia="Times New Roman" w:hAnsi="Calibri" w:cs="Calibri"/>
                <w:color w:val="000000"/>
                <w:sz w:val="22"/>
              </w:rPr>
              <w:t>0</w:t>
            </w:r>
          </w:p>
        </w:tc>
        <w:tc>
          <w:tcPr>
            <w:tcW w:w="120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0.024</w:t>
            </w:r>
          </w:p>
        </w:tc>
        <w:tc>
          <w:tcPr>
            <w:tcW w:w="1274"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w:t>
            </w:r>
            <w:r>
              <w:rPr>
                <w:rFonts w:ascii="Calibri" w:eastAsia="Times New Roman" w:hAnsi="Calibri" w:cs="Calibri"/>
                <w:color w:val="000000"/>
                <w:sz w:val="22"/>
              </w:rPr>
              <w:t>.000</w:t>
            </w:r>
          </w:p>
        </w:tc>
      </w:tr>
      <w:tr w:rsidR="00DD2493" w:rsidRPr="00DD2493" w:rsidTr="00DD2493">
        <w:trPr>
          <w:trHeight w:val="300"/>
        </w:trPr>
        <w:tc>
          <w:tcPr>
            <w:tcW w:w="57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210</w:t>
            </w:r>
          </w:p>
        </w:tc>
        <w:tc>
          <w:tcPr>
            <w:tcW w:w="794" w:type="dxa"/>
            <w:tcBorders>
              <w:top w:val="nil"/>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212.5</w:t>
            </w:r>
          </w:p>
        </w:tc>
        <w:tc>
          <w:tcPr>
            <w:tcW w:w="705"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215</w:t>
            </w:r>
          </w:p>
        </w:tc>
        <w:tc>
          <w:tcPr>
            <w:tcW w:w="34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179"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0.3</w:t>
            </w:r>
            <w:r>
              <w:rPr>
                <w:rFonts w:ascii="Calibri" w:eastAsia="Times New Roman" w:hAnsi="Calibri" w:cs="Calibri"/>
                <w:color w:val="000000"/>
                <w:sz w:val="22"/>
              </w:rPr>
              <w:t>0</w:t>
            </w:r>
          </w:p>
        </w:tc>
        <w:tc>
          <w:tcPr>
            <w:tcW w:w="120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0.024</w:t>
            </w:r>
          </w:p>
        </w:tc>
        <w:tc>
          <w:tcPr>
            <w:tcW w:w="1274"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0.072</w:t>
            </w:r>
          </w:p>
        </w:tc>
      </w:tr>
      <w:tr w:rsidR="00DD2493" w:rsidRPr="00DD2493" w:rsidTr="00DD2493">
        <w:trPr>
          <w:trHeight w:val="300"/>
        </w:trPr>
        <w:tc>
          <w:tcPr>
            <w:tcW w:w="57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215</w:t>
            </w:r>
          </w:p>
        </w:tc>
        <w:tc>
          <w:tcPr>
            <w:tcW w:w="794" w:type="dxa"/>
            <w:tcBorders>
              <w:top w:val="nil"/>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217.5</w:t>
            </w:r>
          </w:p>
        </w:tc>
        <w:tc>
          <w:tcPr>
            <w:tcW w:w="705"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220</w:t>
            </w:r>
          </w:p>
        </w:tc>
        <w:tc>
          <w:tcPr>
            <w:tcW w:w="34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179"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0.3</w:t>
            </w:r>
            <w:r>
              <w:rPr>
                <w:rFonts w:ascii="Calibri" w:eastAsia="Times New Roman" w:hAnsi="Calibri" w:cs="Calibri"/>
                <w:color w:val="000000"/>
                <w:sz w:val="22"/>
              </w:rPr>
              <w:t>0</w:t>
            </w:r>
          </w:p>
        </w:tc>
        <w:tc>
          <w:tcPr>
            <w:tcW w:w="120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0.096</w:t>
            </w:r>
          </w:p>
        </w:tc>
        <w:tc>
          <w:tcPr>
            <w:tcW w:w="1274"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w:t>
            </w:r>
            <w:r>
              <w:rPr>
                <w:rFonts w:ascii="Calibri" w:eastAsia="Times New Roman" w:hAnsi="Calibri" w:cs="Calibri"/>
                <w:color w:val="000000"/>
                <w:sz w:val="22"/>
              </w:rPr>
              <w:t>.000</w:t>
            </w:r>
          </w:p>
        </w:tc>
      </w:tr>
      <w:tr w:rsidR="00DD2493" w:rsidRPr="00DD2493" w:rsidTr="00DD2493">
        <w:trPr>
          <w:trHeight w:val="300"/>
        </w:trPr>
        <w:tc>
          <w:tcPr>
            <w:tcW w:w="571" w:type="dxa"/>
            <w:tcBorders>
              <w:top w:val="nil"/>
              <w:left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220</w:t>
            </w:r>
          </w:p>
        </w:tc>
        <w:tc>
          <w:tcPr>
            <w:tcW w:w="794" w:type="dxa"/>
            <w:tcBorders>
              <w:top w:val="nil"/>
              <w:left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222.5</w:t>
            </w:r>
          </w:p>
        </w:tc>
        <w:tc>
          <w:tcPr>
            <w:tcW w:w="705" w:type="dxa"/>
            <w:tcBorders>
              <w:top w:val="nil"/>
              <w:left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225</w:t>
            </w:r>
          </w:p>
        </w:tc>
        <w:tc>
          <w:tcPr>
            <w:tcW w:w="340" w:type="dxa"/>
            <w:tcBorders>
              <w:top w:val="nil"/>
              <w:left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nil"/>
              <w:left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179" w:type="dxa"/>
            <w:tcBorders>
              <w:top w:val="nil"/>
              <w:left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236" w:type="dxa"/>
            <w:tcBorders>
              <w:top w:val="nil"/>
              <w:left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1.05</w:t>
            </w:r>
          </w:p>
        </w:tc>
        <w:tc>
          <w:tcPr>
            <w:tcW w:w="1200" w:type="dxa"/>
            <w:tcBorders>
              <w:top w:val="nil"/>
              <w:left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0.096</w:t>
            </w:r>
          </w:p>
        </w:tc>
        <w:tc>
          <w:tcPr>
            <w:tcW w:w="1274" w:type="dxa"/>
            <w:tcBorders>
              <w:top w:val="nil"/>
              <w:left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0.228</w:t>
            </w:r>
          </w:p>
        </w:tc>
      </w:tr>
      <w:tr w:rsidR="00DD2493" w:rsidRPr="00DD2493" w:rsidTr="00DD2493">
        <w:trPr>
          <w:trHeight w:val="300"/>
        </w:trPr>
        <w:tc>
          <w:tcPr>
            <w:tcW w:w="571"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225</w:t>
            </w:r>
          </w:p>
        </w:tc>
        <w:tc>
          <w:tcPr>
            <w:tcW w:w="794" w:type="dxa"/>
            <w:tcBorders>
              <w:top w:val="nil"/>
              <w:left w:val="nil"/>
              <w:bottom w:val="single" w:sz="4" w:space="0" w:color="auto"/>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227.5</w:t>
            </w:r>
          </w:p>
        </w:tc>
        <w:tc>
          <w:tcPr>
            <w:tcW w:w="705"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230</w:t>
            </w:r>
          </w:p>
        </w:tc>
        <w:tc>
          <w:tcPr>
            <w:tcW w:w="340"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021"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1179"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p>
        </w:tc>
        <w:tc>
          <w:tcPr>
            <w:tcW w:w="236"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1.55</w:t>
            </w:r>
          </w:p>
        </w:tc>
        <w:tc>
          <w:tcPr>
            <w:tcW w:w="1200"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0.324</w:t>
            </w:r>
          </w:p>
        </w:tc>
        <w:tc>
          <w:tcPr>
            <w:tcW w:w="1274" w:type="dxa"/>
            <w:tcBorders>
              <w:top w:val="nil"/>
              <w:left w:val="nil"/>
              <w:bottom w:val="single" w:sz="4" w:space="0" w:color="auto"/>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w:t>
            </w:r>
            <w:r>
              <w:rPr>
                <w:rFonts w:ascii="Calibri" w:eastAsia="Times New Roman" w:hAnsi="Calibri" w:cs="Calibri"/>
                <w:color w:val="000000"/>
                <w:sz w:val="22"/>
              </w:rPr>
              <w:t>.000</w:t>
            </w:r>
          </w:p>
        </w:tc>
      </w:tr>
      <w:tr w:rsidR="00DD2493" w:rsidRPr="00DD2493" w:rsidTr="00DD2493">
        <w:trPr>
          <w:trHeight w:val="300"/>
        </w:trPr>
        <w:tc>
          <w:tcPr>
            <w:tcW w:w="571"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230</w:t>
            </w:r>
          </w:p>
        </w:tc>
        <w:tc>
          <w:tcPr>
            <w:tcW w:w="794" w:type="dxa"/>
            <w:tcBorders>
              <w:top w:val="single" w:sz="4" w:space="0" w:color="auto"/>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232.5</w:t>
            </w:r>
          </w:p>
        </w:tc>
        <w:tc>
          <w:tcPr>
            <w:tcW w:w="705"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235</w:t>
            </w:r>
          </w:p>
        </w:tc>
        <w:tc>
          <w:tcPr>
            <w:tcW w:w="34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0.90</w:t>
            </w:r>
          </w:p>
        </w:tc>
        <w:tc>
          <w:tcPr>
            <w:tcW w:w="1021"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0.01</w:t>
            </w:r>
          </w:p>
        </w:tc>
        <w:tc>
          <w:tcPr>
            <w:tcW w:w="1179"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0.34</w:t>
            </w:r>
          </w:p>
        </w:tc>
        <w:tc>
          <w:tcPr>
            <w:tcW w:w="236"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1200"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1274" w:type="dxa"/>
            <w:tcBorders>
              <w:top w:val="single" w:sz="4" w:space="0" w:color="auto"/>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r>
      <w:tr w:rsidR="00DD2493" w:rsidRPr="00DD2493" w:rsidTr="00DD2493">
        <w:trPr>
          <w:trHeight w:val="300"/>
        </w:trPr>
        <w:tc>
          <w:tcPr>
            <w:tcW w:w="57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235</w:t>
            </w:r>
          </w:p>
        </w:tc>
        <w:tc>
          <w:tcPr>
            <w:tcW w:w="794" w:type="dxa"/>
            <w:tcBorders>
              <w:top w:val="nil"/>
              <w:left w:val="nil"/>
              <w:bottom w:val="nil"/>
              <w:right w:val="nil"/>
            </w:tcBorders>
            <w:vAlign w:val="bottom"/>
          </w:tcPr>
          <w:p w:rsidR="00DD2493" w:rsidRPr="00DD2493" w:rsidRDefault="00DD2493" w:rsidP="00692BE9">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260</w:t>
            </w:r>
            <w:r>
              <w:rPr>
                <w:rFonts w:ascii="Calibri" w:eastAsia="Times New Roman" w:hAnsi="Calibri" w:cs="Calibri"/>
                <w:color w:val="000000"/>
                <w:sz w:val="22"/>
              </w:rPr>
              <w:t>.0</w:t>
            </w:r>
          </w:p>
        </w:tc>
        <w:tc>
          <w:tcPr>
            <w:tcW w:w="705" w:type="dxa"/>
            <w:tcBorders>
              <w:top w:val="nil"/>
              <w:left w:val="nil"/>
              <w:bottom w:val="nil"/>
              <w:right w:val="nil"/>
            </w:tcBorders>
            <w:shd w:val="clear" w:color="auto" w:fill="auto"/>
            <w:noWrap/>
            <w:vAlign w:val="bottom"/>
            <w:hideMark/>
          </w:tcPr>
          <w:p w:rsidR="00DD2493" w:rsidRPr="00DD2493" w:rsidRDefault="00DD2493" w:rsidP="00DD2493">
            <w:pPr>
              <w:contextualSpacing w:val="0"/>
              <w:jc w:val="right"/>
              <w:rPr>
                <w:rFonts w:ascii="Calibri" w:eastAsia="Times New Roman" w:hAnsi="Calibri" w:cs="Calibri"/>
                <w:color w:val="000000"/>
                <w:sz w:val="22"/>
              </w:rPr>
            </w:pPr>
            <w:r w:rsidRPr="00DD2493">
              <w:rPr>
                <w:rFonts w:ascii="Calibri" w:eastAsia="Times New Roman" w:hAnsi="Calibri" w:cs="Calibri"/>
                <w:color w:val="000000"/>
                <w:sz w:val="22"/>
              </w:rPr>
              <w:t>285</w:t>
            </w:r>
          </w:p>
        </w:tc>
        <w:tc>
          <w:tcPr>
            <w:tcW w:w="34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0.25</w:t>
            </w:r>
          </w:p>
        </w:tc>
        <w:tc>
          <w:tcPr>
            <w:tcW w:w="1021"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0.00</w:t>
            </w:r>
          </w:p>
        </w:tc>
        <w:tc>
          <w:tcPr>
            <w:tcW w:w="1179" w:type="dxa"/>
            <w:tcBorders>
              <w:top w:val="nil"/>
              <w:left w:val="nil"/>
              <w:bottom w:val="nil"/>
              <w:right w:val="nil"/>
            </w:tcBorders>
            <w:shd w:val="clear" w:color="auto" w:fill="auto"/>
            <w:noWrap/>
            <w:vAlign w:val="bottom"/>
            <w:hideMark/>
          </w:tcPr>
          <w:p w:rsidR="00DD2493" w:rsidRPr="00DD2493" w:rsidRDefault="00DD2493" w:rsidP="00DD2493">
            <w:pPr>
              <w:contextualSpacing w:val="0"/>
              <w:jc w:val="center"/>
              <w:rPr>
                <w:rFonts w:ascii="Calibri" w:eastAsia="Times New Roman" w:hAnsi="Calibri" w:cs="Calibri"/>
                <w:color w:val="000000"/>
                <w:sz w:val="22"/>
              </w:rPr>
            </w:pPr>
            <w:r w:rsidRPr="00DD2493">
              <w:rPr>
                <w:rFonts w:ascii="Calibri" w:eastAsia="Times New Roman" w:hAnsi="Calibri" w:cs="Calibri"/>
                <w:color w:val="000000"/>
                <w:sz w:val="22"/>
              </w:rPr>
              <w:t>0.01</w:t>
            </w:r>
          </w:p>
        </w:tc>
        <w:tc>
          <w:tcPr>
            <w:tcW w:w="236"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c>
          <w:tcPr>
            <w:tcW w:w="1274" w:type="dxa"/>
            <w:tcBorders>
              <w:top w:val="nil"/>
              <w:left w:val="nil"/>
              <w:bottom w:val="nil"/>
              <w:right w:val="nil"/>
            </w:tcBorders>
            <w:shd w:val="clear" w:color="auto" w:fill="auto"/>
            <w:noWrap/>
            <w:vAlign w:val="bottom"/>
            <w:hideMark/>
          </w:tcPr>
          <w:p w:rsidR="00DD2493" w:rsidRPr="00DD2493" w:rsidRDefault="00DD2493" w:rsidP="00DD2493">
            <w:pPr>
              <w:contextualSpacing w:val="0"/>
              <w:rPr>
                <w:rFonts w:ascii="Calibri" w:eastAsia="Times New Roman" w:hAnsi="Calibri" w:cs="Calibri"/>
                <w:color w:val="000000"/>
                <w:sz w:val="22"/>
              </w:rPr>
            </w:pPr>
          </w:p>
        </w:tc>
      </w:tr>
    </w:tbl>
    <w:p w:rsidR="00DD2493" w:rsidRDefault="00DD2493" w:rsidP="00FA68BF">
      <w:pPr>
        <w:rPr>
          <w:rFonts w:eastAsiaTheme="minorEastAsia"/>
        </w:rPr>
      </w:pPr>
    </w:p>
    <w:p w:rsidR="00DD2493" w:rsidRDefault="00DD2493" w:rsidP="00FA68BF">
      <w:pPr>
        <w:rPr>
          <w:rFonts w:eastAsiaTheme="minorEastAsia"/>
        </w:rPr>
      </w:pPr>
      <w:r>
        <w:rPr>
          <w:rFonts w:eastAsiaTheme="minorEastAsia"/>
        </w:rPr>
        <w:t xml:space="preserve">Finally, we are able to infer the probability distribution for each of the intervals we have defined.    Now comes the fun part: we can use this distribution </w:t>
      </w:r>
      <w:r w:rsidR="00436DC5">
        <w:rPr>
          <w:rFonts w:eastAsiaTheme="minorEastAsia"/>
        </w:rPr>
        <w:t>to calculate the expected price of the asset.  We have:</w:t>
      </w:r>
    </w:p>
    <w:p w:rsidR="00436DC5" w:rsidRDefault="00436DC5" w:rsidP="00FA68BF">
      <w:pPr>
        <w:rPr>
          <w:rFonts w:eastAsiaTheme="minorEastAsia"/>
        </w:rPr>
      </w:pPr>
    </w:p>
    <w:tbl>
      <w:tblPr>
        <w:tblW w:w="2342" w:type="dxa"/>
        <w:tblInd w:w="720" w:type="dxa"/>
        <w:tblLook w:val="04A0" w:firstRow="1" w:lastRow="0" w:firstColumn="1" w:lastColumn="0" w:noHBand="0" w:noVBand="1"/>
      </w:tblPr>
      <w:tblGrid>
        <w:gridCol w:w="1171"/>
        <w:gridCol w:w="1184"/>
      </w:tblGrid>
      <w:tr w:rsidR="00A77CBE" w:rsidRPr="00436DC5" w:rsidTr="00692BE9">
        <w:trPr>
          <w:trHeight w:val="300"/>
        </w:trPr>
        <w:tc>
          <w:tcPr>
            <w:tcW w:w="1171" w:type="dxa"/>
            <w:tcBorders>
              <w:top w:val="nil"/>
              <w:left w:val="nil"/>
              <w:bottom w:val="single" w:sz="4" w:space="0" w:color="auto"/>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Pr>
                <w:rFonts w:ascii="Calibri" w:eastAsia="Times New Roman" w:hAnsi="Calibri" w:cs="Calibri"/>
                <w:color w:val="000000"/>
                <w:sz w:val="22"/>
              </w:rPr>
              <w:t>Mid-Point</w:t>
            </w:r>
          </w:p>
        </w:tc>
        <w:tc>
          <w:tcPr>
            <w:tcW w:w="1171" w:type="dxa"/>
            <w:tcBorders>
              <w:top w:val="nil"/>
              <w:left w:val="nil"/>
              <w:bottom w:val="single" w:sz="4" w:space="0" w:color="auto"/>
              <w:right w:val="nil"/>
            </w:tcBorders>
            <w:vAlign w:val="bottom"/>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Pr</w:t>
            </w:r>
            <w:r>
              <w:rPr>
                <w:rFonts w:ascii="Calibri" w:eastAsia="Times New Roman" w:hAnsi="Calibri" w:cs="Calibri"/>
                <w:color w:val="000000"/>
                <w:sz w:val="22"/>
              </w:rPr>
              <w:t>obability</w:t>
            </w:r>
          </w:p>
        </w:tc>
      </w:tr>
      <w:tr w:rsidR="00A77CBE" w:rsidRPr="00436DC5" w:rsidTr="00692BE9">
        <w:trPr>
          <w:trHeight w:val="300"/>
        </w:trPr>
        <w:tc>
          <w:tcPr>
            <w:tcW w:w="1171" w:type="dxa"/>
            <w:tcBorders>
              <w:top w:val="single" w:sz="4" w:space="0" w:color="auto"/>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175</w:t>
            </w:r>
            <w:r>
              <w:rPr>
                <w:rFonts w:ascii="Calibri" w:eastAsia="Times New Roman" w:hAnsi="Calibri" w:cs="Calibri"/>
                <w:color w:val="000000"/>
                <w:sz w:val="22"/>
              </w:rPr>
              <w:t>.0</w:t>
            </w:r>
          </w:p>
        </w:tc>
        <w:tc>
          <w:tcPr>
            <w:tcW w:w="1171" w:type="dxa"/>
            <w:tcBorders>
              <w:top w:val="single" w:sz="4" w:space="0" w:color="auto"/>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0.0160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202.5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0.0080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207.5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212.5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0.0720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217.5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222.5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0.2280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227.5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232.5</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0.3400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A77CBE">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260</w:t>
            </w:r>
            <w:r>
              <w:rPr>
                <w:rFonts w:ascii="Calibri" w:eastAsia="Times New Roman" w:hAnsi="Calibri" w:cs="Calibri"/>
                <w:color w:val="000000"/>
                <w:sz w:val="22"/>
              </w:rPr>
              <w:t>.0</w:t>
            </w:r>
          </w:p>
        </w:tc>
        <w:tc>
          <w:tcPr>
            <w:tcW w:w="1171"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0.0100</w:t>
            </w:r>
          </w:p>
        </w:tc>
      </w:tr>
    </w:tbl>
    <w:p w:rsidR="00DD2493" w:rsidRDefault="00DD2493" w:rsidP="00FA68BF">
      <w:pPr>
        <w:rPr>
          <w:rFonts w:eastAsiaTheme="minorEastAsia"/>
        </w:rPr>
      </w:pPr>
    </w:p>
    <w:p w:rsidR="00DD2493" w:rsidRDefault="00DD2493" w:rsidP="00FA68BF">
      <w:pPr>
        <w:rPr>
          <w:rFonts w:eastAsiaTheme="minorEastAsia"/>
        </w:rPr>
      </w:pPr>
      <w:r>
        <w:rPr>
          <w:rFonts w:eastAsiaTheme="minorEastAsia"/>
        </w:rPr>
        <w:t>These probabilities do not add to 10</w:t>
      </w:r>
      <w:r w:rsidR="00436DC5">
        <w:rPr>
          <w:rFonts w:eastAsiaTheme="minorEastAsia"/>
        </w:rPr>
        <w:t>0%.  Instead, they add to 67.4%, but we can normalize the distribution so that they do add to 100%.  This is the same as doing a weighted average using the probabilities as the weights.  The expected value in this case is $225.67.  If correct, the market is expecting the price to fall from its current price of $227.26 by $1.59.  Since these options expire on September 15, we would also assume that this is the date of the predicted price.</w:t>
      </w:r>
    </w:p>
    <w:p w:rsidR="00436DC5" w:rsidRDefault="00436DC5" w:rsidP="00FA68BF">
      <w:pPr>
        <w:rPr>
          <w:rFonts w:eastAsiaTheme="minorEastAsia"/>
        </w:rPr>
      </w:pPr>
    </w:p>
    <w:p w:rsidR="00436DC5" w:rsidRDefault="00A77CBE" w:rsidP="001C0AE4">
      <w:pPr>
        <w:pStyle w:val="Heading1"/>
      </w:pPr>
      <w:r>
        <w:t>Sensitivity to End Points</w:t>
      </w:r>
    </w:p>
    <w:p w:rsidR="00A77CBE" w:rsidRDefault="00A77CBE" w:rsidP="00FA68BF">
      <w:pPr>
        <w:rPr>
          <w:rFonts w:eastAsiaTheme="minorEastAsia"/>
        </w:rPr>
      </w:pPr>
    </w:p>
    <w:p w:rsidR="00A77CBE" w:rsidRDefault="00A77CBE" w:rsidP="00FA68BF">
      <w:pPr>
        <w:rPr>
          <w:rFonts w:eastAsiaTheme="minorEastAsia"/>
        </w:rPr>
      </w:pPr>
      <w:r>
        <w:rPr>
          <w:rFonts w:eastAsiaTheme="minorEastAsia"/>
        </w:rPr>
        <w:t xml:space="preserve">Earlier, we had to make an arbitrary decision about how far to extend the ends of our distribution beyond the highest call option and the lowest put option.  We created intervals that were $5, $50, and $100 wide.  The expected price of $225.67 </w:t>
      </w:r>
      <w:proofErr w:type="gramStart"/>
      <w:r>
        <w:rPr>
          <w:rFonts w:eastAsiaTheme="minorEastAsia"/>
        </w:rPr>
        <w:t>was obtained</w:t>
      </w:r>
      <w:proofErr w:type="gramEnd"/>
      <w:r>
        <w:rPr>
          <w:rFonts w:eastAsiaTheme="minorEastAsia"/>
        </w:rPr>
        <w:t xml:space="preserve"> using widths of $50. If we increase these to $100, the expected price becomes $225.69.  This does not have much effect.  If we decrease the width to $5, it becomes $221.85.  Bringing the endpoints in too closely really skews the inferred distribution as well.  The following table shows the different distributions based on end-point width:</w:t>
      </w:r>
    </w:p>
    <w:p w:rsidR="00A77CBE" w:rsidRDefault="00A77CBE" w:rsidP="00FA68BF">
      <w:pPr>
        <w:rPr>
          <w:rFonts w:eastAsiaTheme="minorEastAsia"/>
        </w:rPr>
      </w:pPr>
    </w:p>
    <w:tbl>
      <w:tblPr>
        <w:tblW w:w="6082" w:type="dxa"/>
        <w:tblInd w:w="720" w:type="dxa"/>
        <w:tblLook w:val="04A0" w:firstRow="1" w:lastRow="0" w:firstColumn="1" w:lastColumn="0" w:noHBand="0" w:noVBand="1"/>
      </w:tblPr>
      <w:tblGrid>
        <w:gridCol w:w="1171"/>
        <w:gridCol w:w="1637"/>
        <w:gridCol w:w="1637"/>
        <w:gridCol w:w="1637"/>
      </w:tblGrid>
      <w:tr w:rsidR="00A77CBE" w:rsidRPr="00436DC5" w:rsidTr="00A77CBE">
        <w:trPr>
          <w:trHeight w:val="300"/>
        </w:trPr>
        <w:tc>
          <w:tcPr>
            <w:tcW w:w="1171" w:type="dxa"/>
            <w:tcBorders>
              <w:top w:val="nil"/>
              <w:left w:val="nil"/>
              <w:bottom w:val="single" w:sz="4" w:space="0" w:color="auto"/>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Pr>
                <w:rFonts w:ascii="Calibri" w:eastAsia="Times New Roman" w:hAnsi="Calibri" w:cs="Calibri"/>
                <w:color w:val="000000"/>
                <w:sz w:val="22"/>
              </w:rPr>
              <w:t>Mid-Point</w:t>
            </w:r>
          </w:p>
        </w:tc>
        <w:tc>
          <w:tcPr>
            <w:tcW w:w="1637" w:type="dxa"/>
            <w:tcBorders>
              <w:top w:val="nil"/>
              <w:left w:val="nil"/>
              <w:bottom w:val="single" w:sz="4" w:space="0" w:color="auto"/>
              <w:right w:val="nil"/>
            </w:tcBorders>
          </w:tcPr>
          <w:p w:rsidR="00A77CBE" w:rsidRDefault="00A77CBE" w:rsidP="00A77CBE">
            <w:pPr>
              <w:contextualSpacing w:val="0"/>
              <w:jc w:val="right"/>
              <w:rPr>
                <w:rFonts w:ascii="Calibri" w:eastAsia="Times New Roman" w:hAnsi="Calibri" w:cs="Calibri"/>
                <w:color w:val="000000"/>
                <w:sz w:val="22"/>
              </w:rPr>
            </w:pPr>
            <w:r>
              <w:rPr>
                <w:rFonts w:ascii="Calibri" w:eastAsia="Times New Roman" w:hAnsi="Calibri" w:cs="Calibri"/>
                <w:color w:val="000000"/>
                <w:sz w:val="22"/>
              </w:rPr>
              <w:t>$100-interval</w:t>
            </w:r>
          </w:p>
        </w:tc>
        <w:tc>
          <w:tcPr>
            <w:tcW w:w="1637" w:type="dxa"/>
            <w:tcBorders>
              <w:top w:val="nil"/>
              <w:left w:val="nil"/>
              <w:bottom w:val="single" w:sz="4" w:space="0" w:color="auto"/>
              <w:right w:val="nil"/>
            </w:tcBorders>
            <w:vAlign w:val="bottom"/>
          </w:tcPr>
          <w:p w:rsidR="00A77CBE" w:rsidRPr="00436DC5" w:rsidRDefault="00A77CBE" w:rsidP="00A77CBE">
            <w:pPr>
              <w:contextualSpacing w:val="0"/>
              <w:jc w:val="right"/>
              <w:rPr>
                <w:rFonts w:ascii="Calibri" w:eastAsia="Times New Roman" w:hAnsi="Calibri" w:cs="Calibri"/>
                <w:color w:val="000000"/>
                <w:sz w:val="22"/>
              </w:rPr>
            </w:pPr>
            <w:r>
              <w:rPr>
                <w:rFonts w:ascii="Calibri" w:eastAsia="Times New Roman" w:hAnsi="Calibri" w:cs="Calibri"/>
                <w:color w:val="000000"/>
                <w:sz w:val="22"/>
              </w:rPr>
              <w:t>$50-interval</w:t>
            </w:r>
          </w:p>
        </w:tc>
        <w:tc>
          <w:tcPr>
            <w:tcW w:w="1637" w:type="dxa"/>
            <w:tcBorders>
              <w:top w:val="nil"/>
              <w:left w:val="nil"/>
              <w:bottom w:val="single" w:sz="4" w:space="0" w:color="auto"/>
              <w:right w:val="nil"/>
            </w:tcBorders>
          </w:tcPr>
          <w:p w:rsidR="00A77CBE" w:rsidRDefault="00A77CBE" w:rsidP="00A77CBE">
            <w:pPr>
              <w:contextualSpacing w:val="0"/>
              <w:jc w:val="right"/>
              <w:rPr>
                <w:rFonts w:ascii="Calibri" w:eastAsia="Times New Roman" w:hAnsi="Calibri" w:cs="Calibri"/>
                <w:color w:val="000000"/>
                <w:sz w:val="22"/>
              </w:rPr>
            </w:pPr>
            <w:r>
              <w:rPr>
                <w:rFonts w:ascii="Calibri" w:eastAsia="Times New Roman" w:hAnsi="Calibri" w:cs="Calibri"/>
                <w:color w:val="000000"/>
                <w:sz w:val="22"/>
              </w:rPr>
              <w:t>$5 interval</w:t>
            </w:r>
          </w:p>
        </w:tc>
      </w:tr>
      <w:tr w:rsidR="00A77CBE" w:rsidRPr="00436DC5" w:rsidTr="00692BE9">
        <w:trPr>
          <w:trHeight w:val="300"/>
        </w:trPr>
        <w:tc>
          <w:tcPr>
            <w:tcW w:w="1171" w:type="dxa"/>
            <w:tcBorders>
              <w:top w:val="single" w:sz="4" w:space="0" w:color="auto"/>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175</w:t>
            </w:r>
            <w:r>
              <w:rPr>
                <w:rFonts w:ascii="Calibri" w:eastAsia="Times New Roman" w:hAnsi="Calibri" w:cs="Calibri"/>
                <w:color w:val="000000"/>
                <w:sz w:val="22"/>
              </w:rPr>
              <w:t>.0</w:t>
            </w:r>
          </w:p>
        </w:tc>
        <w:tc>
          <w:tcPr>
            <w:tcW w:w="1637" w:type="dxa"/>
            <w:tcBorders>
              <w:top w:val="single" w:sz="4" w:space="0" w:color="auto"/>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0.0080</w:t>
            </w:r>
          </w:p>
        </w:tc>
        <w:tc>
          <w:tcPr>
            <w:tcW w:w="1637" w:type="dxa"/>
            <w:tcBorders>
              <w:top w:val="single" w:sz="4" w:space="0" w:color="auto"/>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0.0160</w:t>
            </w:r>
          </w:p>
        </w:tc>
        <w:tc>
          <w:tcPr>
            <w:tcW w:w="1637" w:type="dxa"/>
            <w:tcBorders>
              <w:top w:val="single" w:sz="4" w:space="0" w:color="auto"/>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0.1600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202.5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0.0240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0.0080</w:t>
            </w:r>
          </w:p>
        </w:tc>
        <w:tc>
          <w:tcPr>
            <w:tcW w:w="1637" w:type="dxa"/>
            <w:tcBorders>
              <w:top w:val="nil"/>
              <w:left w:val="nil"/>
              <w:bottom w:val="nil"/>
              <w:right w:val="nil"/>
            </w:tcBorders>
            <w:vAlign w:val="bottom"/>
          </w:tcPr>
          <w:p w:rsidR="00A77CBE" w:rsidRPr="00A77CBE" w:rsidRDefault="00A77CBE">
            <w:pPr>
              <w:jc w:val="right"/>
              <w:rPr>
                <w:rFonts w:ascii="Calibri" w:hAnsi="Calibri" w:cs="Calibri"/>
                <w:color w:val="BFBFBF" w:themeColor="background1" w:themeShade="BF"/>
                <w:sz w:val="22"/>
              </w:rPr>
            </w:pPr>
            <w:r w:rsidRPr="00A77CBE">
              <w:rPr>
                <w:rFonts w:ascii="Calibri" w:hAnsi="Calibri" w:cs="Calibri"/>
                <w:color w:val="BFBFBF" w:themeColor="background1" w:themeShade="BF"/>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207.5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sidRPr="00A77CBE">
              <w:rPr>
                <w:rFonts w:ascii="Calibri" w:hAnsi="Calibri" w:cs="Calibri"/>
                <w:color w:val="BFBFBF" w:themeColor="background1" w:themeShade="BF"/>
                <w:sz w:val="22"/>
              </w:rPr>
              <w:t>0.0000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BFBFBF" w:themeColor="background1" w:themeShade="BF"/>
                <w:sz w:val="22"/>
              </w:rPr>
              <w:t>0.0000</w:t>
            </w:r>
          </w:p>
        </w:tc>
        <w:tc>
          <w:tcPr>
            <w:tcW w:w="1637" w:type="dxa"/>
            <w:tcBorders>
              <w:top w:val="nil"/>
              <w:left w:val="nil"/>
              <w:bottom w:val="nil"/>
              <w:right w:val="nil"/>
            </w:tcBorders>
            <w:vAlign w:val="bottom"/>
          </w:tcPr>
          <w:p w:rsidR="00A77CBE" w:rsidRPr="00A77CBE" w:rsidRDefault="00A77CBE">
            <w:pPr>
              <w:jc w:val="right"/>
              <w:rPr>
                <w:rFonts w:ascii="Calibri" w:hAnsi="Calibri" w:cs="Calibri"/>
                <w:color w:val="BFBFBF" w:themeColor="background1" w:themeShade="BF"/>
                <w:sz w:val="22"/>
              </w:rPr>
            </w:pPr>
            <w:r w:rsidRPr="00A77CBE">
              <w:rPr>
                <w:rFonts w:ascii="Calibri" w:hAnsi="Calibri" w:cs="Calibri"/>
                <w:color w:val="BFBFBF" w:themeColor="background1" w:themeShade="BF"/>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212.5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0.0560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0.0720</w:t>
            </w:r>
          </w:p>
        </w:tc>
        <w:tc>
          <w:tcPr>
            <w:tcW w:w="1637" w:type="dxa"/>
            <w:tcBorders>
              <w:top w:val="nil"/>
              <w:left w:val="nil"/>
              <w:bottom w:val="nil"/>
              <w:right w:val="nil"/>
            </w:tcBorders>
            <w:vAlign w:val="bottom"/>
          </w:tcPr>
          <w:p w:rsidR="00A77CBE" w:rsidRPr="00A77CBE" w:rsidRDefault="00A77CBE">
            <w:pPr>
              <w:jc w:val="right"/>
              <w:rPr>
                <w:rFonts w:ascii="Calibri" w:hAnsi="Calibri" w:cs="Calibri"/>
                <w:color w:val="BFBFBF" w:themeColor="background1" w:themeShade="BF"/>
                <w:sz w:val="22"/>
              </w:rPr>
            </w:pPr>
            <w:r w:rsidRPr="00A77CBE">
              <w:rPr>
                <w:rFonts w:ascii="Calibri" w:hAnsi="Calibri" w:cs="Calibri"/>
                <w:color w:val="BFBFBF" w:themeColor="background1" w:themeShade="BF"/>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217.5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sidRPr="00A77CBE">
              <w:rPr>
                <w:rFonts w:ascii="Calibri" w:hAnsi="Calibri" w:cs="Calibri"/>
                <w:color w:val="BFBFBF" w:themeColor="background1" w:themeShade="BF"/>
                <w:sz w:val="22"/>
              </w:rPr>
              <w:t>0.0000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BFBFBF" w:themeColor="background1" w:themeShade="BF"/>
                <w:sz w:val="22"/>
              </w:rPr>
              <w:t>0.0000</w:t>
            </w:r>
          </w:p>
        </w:tc>
        <w:tc>
          <w:tcPr>
            <w:tcW w:w="1637" w:type="dxa"/>
            <w:tcBorders>
              <w:top w:val="nil"/>
              <w:left w:val="nil"/>
              <w:bottom w:val="nil"/>
              <w:right w:val="nil"/>
            </w:tcBorders>
            <w:vAlign w:val="bottom"/>
          </w:tcPr>
          <w:p w:rsidR="00A77CBE" w:rsidRPr="00A77CBE" w:rsidRDefault="00A77CBE">
            <w:pPr>
              <w:jc w:val="right"/>
              <w:rPr>
                <w:rFonts w:ascii="Calibri" w:hAnsi="Calibri" w:cs="Calibri"/>
                <w:color w:val="BFBFBF" w:themeColor="background1" w:themeShade="BF"/>
                <w:sz w:val="22"/>
              </w:rPr>
            </w:pPr>
            <w:r w:rsidRPr="00A77CBE">
              <w:rPr>
                <w:rFonts w:ascii="Calibri" w:hAnsi="Calibri" w:cs="Calibri"/>
                <w:color w:val="BFBFBF" w:themeColor="background1" w:themeShade="BF"/>
                <w:sz w:val="22"/>
              </w:rPr>
              <w:t>0.0000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222.5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0.2440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0.2280</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0.1000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227.5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sidRPr="00A77CBE">
              <w:rPr>
                <w:rFonts w:ascii="Calibri" w:hAnsi="Calibri" w:cs="Calibri"/>
                <w:color w:val="BFBFBF" w:themeColor="background1" w:themeShade="BF"/>
                <w:sz w:val="22"/>
              </w:rPr>
              <w:t>0.0000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BFBFBF" w:themeColor="background1" w:themeShade="BF"/>
                <w:sz w:val="22"/>
              </w:rPr>
              <w:t>0.0000</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0.1000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232.5</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0.3500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0.3400</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0.1600</w:t>
            </w:r>
          </w:p>
        </w:tc>
      </w:tr>
      <w:tr w:rsidR="00A77CBE" w:rsidRPr="00436DC5" w:rsidTr="00692BE9">
        <w:trPr>
          <w:trHeight w:val="300"/>
        </w:trPr>
        <w:tc>
          <w:tcPr>
            <w:tcW w:w="1171" w:type="dxa"/>
            <w:tcBorders>
              <w:top w:val="nil"/>
              <w:left w:val="nil"/>
              <w:bottom w:val="nil"/>
              <w:right w:val="nil"/>
            </w:tcBorders>
            <w:shd w:val="clear" w:color="auto" w:fill="auto"/>
            <w:noWrap/>
            <w:vAlign w:val="bottom"/>
            <w:hideMark/>
          </w:tcPr>
          <w:p w:rsidR="00A77CBE" w:rsidRPr="00436DC5" w:rsidRDefault="00A77CBE" w:rsidP="00692BE9">
            <w:pPr>
              <w:contextualSpacing w:val="0"/>
              <w:rPr>
                <w:rFonts w:ascii="Calibri" w:eastAsia="Times New Roman" w:hAnsi="Calibri" w:cs="Calibri"/>
                <w:color w:val="000000"/>
                <w:sz w:val="22"/>
              </w:rPr>
            </w:pPr>
            <w:r w:rsidRPr="00436DC5">
              <w:rPr>
                <w:rFonts w:ascii="Calibri" w:eastAsia="Times New Roman" w:hAnsi="Calibri" w:cs="Calibri"/>
                <w:color w:val="000000"/>
                <w:sz w:val="22"/>
              </w:rPr>
              <w:t>260</w:t>
            </w:r>
            <w:r>
              <w:rPr>
                <w:rFonts w:ascii="Calibri" w:eastAsia="Times New Roman" w:hAnsi="Calibri" w:cs="Calibri"/>
                <w:color w:val="000000"/>
                <w:sz w:val="22"/>
              </w:rPr>
              <w:t>.0</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0.0050</w:t>
            </w:r>
          </w:p>
        </w:tc>
        <w:tc>
          <w:tcPr>
            <w:tcW w:w="1637" w:type="dxa"/>
            <w:tcBorders>
              <w:top w:val="nil"/>
              <w:left w:val="nil"/>
              <w:bottom w:val="nil"/>
              <w:right w:val="nil"/>
            </w:tcBorders>
            <w:vAlign w:val="bottom"/>
          </w:tcPr>
          <w:p w:rsidR="00A77CBE" w:rsidRPr="00436DC5" w:rsidRDefault="00A77CBE" w:rsidP="00692BE9">
            <w:pPr>
              <w:contextualSpacing w:val="0"/>
              <w:jc w:val="right"/>
              <w:rPr>
                <w:rFonts w:ascii="Calibri" w:eastAsia="Times New Roman" w:hAnsi="Calibri" w:cs="Calibri"/>
                <w:color w:val="000000"/>
                <w:sz w:val="22"/>
              </w:rPr>
            </w:pPr>
            <w:r w:rsidRPr="00436DC5">
              <w:rPr>
                <w:rFonts w:ascii="Calibri" w:eastAsia="Times New Roman" w:hAnsi="Calibri" w:cs="Calibri"/>
                <w:color w:val="000000"/>
                <w:sz w:val="22"/>
              </w:rPr>
              <w:t>0.0100</w:t>
            </w:r>
          </w:p>
        </w:tc>
        <w:tc>
          <w:tcPr>
            <w:tcW w:w="1637" w:type="dxa"/>
            <w:tcBorders>
              <w:top w:val="nil"/>
              <w:left w:val="nil"/>
              <w:bottom w:val="nil"/>
              <w:right w:val="nil"/>
            </w:tcBorders>
            <w:vAlign w:val="bottom"/>
          </w:tcPr>
          <w:p w:rsidR="00A77CBE" w:rsidRDefault="00A77CBE">
            <w:pPr>
              <w:jc w:val="right"/>
              <w:rPr>
                <w:rFonts w:ascii="Calibri" w:hAnsi="Calibri" w:cs="Calibri"/>
                <w:color w:val="000000"/>
                <w:sz w:val="22"/>
              </w:rPr>
            </w:pPr>
            <w:r>
              <w:rPr>
                <w:rFonts w:ascii="Calibri" w:hAnsi="Calibri" w:cs="Calibri"/>
                <w:color w:val="000000"/>
                <w:sz w:val="22"/>
              </w:rPr>
              <w:t>0.1000</w:t>
            </w:r>
          </w:p>
        </w:tc>
      </w:tr>
    </w:tbl>
    <w:p w:rsidR="00A77CBE" w:rsidRDefault="00A77CBE" w:rsidP="00FA68BF">
      <w:pPr>
        <w:rPr>
          <w:rFonts w:eastAsiaTheme="minorEastAsia"/>
        </w:rPr>
      </w:pPr>
    </w:p>
    <w:p w:rsidR="00A77CBE" w:rsidRDefault="00A77CBE" w:rsidP="00FA68BF">
      <w:pPr>
        <w:rPr>
          <w:rFonts w:eastAsiaTheme="minorEastAsia"/>
        </w:rPr>
      </w:pPr>
      <w:r>
        <w:rPr>
          <w:rFonts w:eastAsiaTheme="minorEastAsia"/>
        </w:rPr>
        <w:t xml:space="preserve">In general, we would not expect to see many intervals with a zero probability of occurring.  This would lead us to prefer the wider intervals </w:t>
      </w:r>
      <w:proofErr w:type="gramStart"/>
      <w:r>
        <w:rPr>
          <w:rFonts w:eastAsiaTheme="minorEastAsia"/>
        </w:rPr>
        <w:t>over</w:t>
      </w:r>
      <w:proofErr w:type="gramEnd"/>
      <w:r>
        <w:rPr>
          <w:rFonts w:eastAsiaTheme="minorEastAsia"/>
        </w:rPr>
        <w:t xml:space="preserve"> the smaller ones.  Some realistic boundary based upon the </w:t>
      </w:r>
      <w:proofErr w:type="gramStart"/>
      <w:r>
        <w:rPr>
          <w:rFonts w:eastAsiaTheme="minorEastAsia"/>
        </w:rPr>
        <w:t>time-frame</w:t>
      </w:r>
      <w:proofErr w:type="gramEnd"/>
      <w:r>
        <w:rPr>
          <w:rFonts w:eastAsiaTheme="minorEastAsia"/>
        </w:rPr>
        <w:t xml:space="preserve"> being examined would make sense.</w:t>
      </w:r>
      <w:r w:rsidR="00AB5285">
        <w:rPr>
          <w:rFonts w:eastAsiaTheme="minorEastAsia"/>
        </w:rPr>
        <w:t xml:space="preserve">  If </w:t>
      </w:r>
      <w:proofErr w:type="gramStart"/>
      <w:r w:rsidR="00AB5285">
        <w:rPr>
          <w:rFonts w:eastAsiaTheme="minorEastAsia"/>
        </w:rPr>
        <w:t>you’re</w:t>
      </w:r>
      <w:proofErr w:type="gramEnd"/>
      <w:r w:rsidR="00AB5285">
        <w:rPr>
          <w:rFonts w:eastAsiaTheme="minorEastAsia"/>
        </w:rPr>
        <w:t xml:space="preserve"> looking at 1-month options it would make sense to take the largest 1-month movement observed in the stock to set the upper and lower endpoints of the distribution.</w:t>
      </w:r>
    </w:p>
    <w:p w:rsidR="00AB5285" w:rsidRDefault="00AB5285" w:rsidP="00FA68BF">
      <w:pPr>
        <w:rPr>
          <w:rFonts w:eastAsiaTheme="minorEastAsia"/>
        </w:rPr>
      </w:pPr>
    </w:p>
    <w:p w:rsidR="00AB5285" w:rsidRDefault="00692BE9" w:rsidP="00692BE9">
      <w:pPr>
        <w:pStyle w:val="Heading1"/>
      </w:pPr>
      <w:r>
        <w:t>Fidelity Data versus Yahoo Data</w:t>
      </w:r>
    </w:p>
    <w:p w:rsidR="00692BE9" w:rsidRDefault="00692BE9" w:rsidP="00FA68BF">
      <w:pPr>
        <w:rPr>
          <w:rFonts w:eastAsiaTheme="minorEastAsia"/>
        </w:rPr>
      </w:pPr>
    </w:p>
    <w:p w:rsidR="00692BE9" w:rsidRDefault="00692BE9" w:rsidP="00FA68BF">
      <w:pPr>
        <w:rPr>
          <w:rFonts w:eastAsiaTheme="minorEastAsia"/>
        </w:rPr>
      </w:pPr>
      <w:r>
        <w:rPr>
          <w:rFonts w:eastAsiaTheme="minorEastAsia"/>
        </w:rPr>
        <w:t>Fidelity offered slightly different prices for these same options:</w:t>
      </w:r>
    </w:p>
    <w:p w:rsidR="00692BE9" w:rsidRDefault="00692BE9" w:rsidP="00FA68BF">
      <w:pPr>
        <w:rPr>
          <w:rFonts w:eastAsiaTheme="minorEastAsia"/>
        </w:rPr>
      </w:pPr>
    </w:p>
    <w:tbl>
      <w:tblPr>
        <w:tblW w:w="4515" w:type="dxa"/>
        <w:tblInd w:w="720" w:type="dxa"/>
        <w:tblLook w:val="04A0" w:firstRow="1" w:lastRow="0" w:firstColumn="1" w:lastColumn="0" w:noHBand="0" w:noVBand="1"/>
      </w:tblPr>
      <w:tblGrid>
        <w:gridCol w:w="1725"/>
        <w:gridCol w:w="1170"/>
        <w:gridCol w:w="1620"/>
      </w:tblGrid>
      <w:tr w:rsidR="00692BE9" w:rsidRPr="00692BE9" w:rsidTr="00692BE9">
        <w:trPr>
          <w:trHeight w:val="300"/>
        </w:trPr>
        <w:tc>
          <w:tcPr>
            <w:tcW w:w="1725" w:type="dxa"/>
            <w:tcBorders>
              <w:top w:val="nil"/>
              <w:left w:val="nil"/>
              <w:bottom w:val="single" w:sz="4" w:space="0" w:color="auto"/>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Call Price (Ask)</w:t>
            </w:r>
          </w:p>
        </w:tc>
        <w:tc>
          <w:tcPr>
            <w:tcW w:w="1170" w:type="dxa"/>
            <w:tcBorders>
              <w:top w:val="nil"/>
              <w:left w:val="nil"/>
              <w:bottom w:val="single" w:sz="4" w:space="0" w:color="auto"/>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Strike</w:t>
            </w:r>
          </w:p>
        </w:tc>
        <w:tc>
          <w:tcPr>
            <w:tcW w:w="1620" w:type="dxa"/>
            <w:tcBorders>
              <w:top w:val="nil"/>
              <w:left w:val="nil"/>
              <w:bottom w:val="single" w:sz="4" w:space="0" w:color="auto"/>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Put Price (Ask)</w:t>
            </w:r>
          </w:p>
        </w:tc>
      </w:tr>
      <w:tr w:rsidR="00692BE9" w:rsidRPr="00692BE9" w:rsidTr="00692BE9">
        <w:trPr>
          <w:trHeight w:val="300"/>
        </w:trPr>
        <w:tc>
          <w:tcPr>
            <w:tcW w:w="1725" w:type="dxa"/>
            <w:tcBorders>
              <w:top w:val="single" w:sz="4" w:space="0" w:color="auto"/>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23.00</w:t>
            </w:r>
          </w:p>
        </w:tc>
        <w:tc>
          <w:tcPr>
            <w:tcW w:w="1170" w:type="dxa"/>
            <w:tcBorders>
              <w:top w:val="single" w:sz="4" w:space="0" w:color="auto"/>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205</w:t>
            </w:r>
          </w:p>
        </w:tc>
        <w:tc>
          <w:tcPr>
            <w:tcW w:w="1620" w:type="dxa"/>
            <w:tcBorders>
              <w:top w:val="single" w:sz="4" w:space="0" w:color="auto"/>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0.35</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18.10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210</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0.45</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13.30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215</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0.65</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8.70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220</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1.05</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4.60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225</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1.8</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1.15</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230</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3.8</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0.20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235</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8.5</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0.15</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240</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13.2</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0.10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245</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18.5</w:t>
            </w:r>
          </w:p>
        </w:tc>
      </w:tr>
      <w:tr w:rsidR="00692BE9" w:rsidRPr="00692BE9" w:rsidTr="00692BE9">
        <w:trPr>
          <w:trHeight w:val="300"/>
        </w:trPr>
        <w:tc>
          <w:tcPr>
            <w:tcW w:w="1725" w:type="dxa"/>
            <w:tcBorders>
              <w:top w:val="nil"/>
              <w:left w:val="nil"/>
              <w:bottom w:val="nil"/>
              <w:right w:val="nil"/>
            </w:tcBorders>
            <w:shd w:val="clear" w:color="auto" w:fill="auto"/>
            <w:noWrap/>
            <w:vAlign w:val="bottom"/>
            <w:hideMark/>
          </w:tcPr>
          <w:p w:rsidR="00692BE9" w:rsidRPr="00692BE9" w:rsidRDefault="00692BE9" w:rsidP="00692BE9">
            <w:pPr>
              <w:ind w:right="34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0.10</w:t>
            </w:r>
          </w:p>
        </w:tc>
        <w:tc>
          <w:tcPr>
            <w:tcW w:w="117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250</w:t>
            </w:r>
          </w:p>
        </w:tc>
        <w:tc>
          <w:tcPr>
            <w:tcW w:w="1620" w:type="dxa"/>
            <w:tcBorders>
              <w:top w:val="nil"/>
              <w:left w:val="nil"/>
              <w:bottom w:val="nil"/>
              <w:right w:val="nil"/>
            </w:tcBorders>
            <w:shd w:val="clear" w:color="auto" w:fill="auto"/>
            <w:noWrap/>
            <w:vAlign w:val="bottom"/>
            <w:hideMark/>
          </w:tcPr>
          <w:p w:rsidR="00692BE9" w:rsidRPr="00692BE9" w:rsidRDefault="00692BE9" w:rsidP="00692BE9">
            <w:pPr>
              <w:ind w:right="252"/>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23.4</w:t>
            </w:r>
          </w:p>
        </w:tc>
      </w:tr>
    </w:tbl>
    <w:p w:rsidR="00692BE9" w:rsidRDefault="00692BE9" w:rsidP="00FA68BF">
      <w:pPr>
        <w:rPr>
          <w:rFonts w:eastAsiaTheme="minorEastAsia"/>
        </w:rPr>
      </w:pPr>
    </w:p>
    <w:p w:rsidR="00692BE9" w:rsidRDefault="00692BE9" w:rsidP="00FA68BF">
      <w:pPr>
        <w:rPr>
          <w:rFonts w:eastAsiaTheme="minorEastAsia"/>
        </w:rPr>
      </w:pPr>
      <w:r>
        <w:rPr>
          <w:rFonts w:eastAsiaTheme="minorEastAsia"/>
        </w:rPr>
        <w:t xml:space="preserve">The predicted price based on the put option was $228.33.  Predicting off the call options gave an expectation of $230.77.  However, the distributions of both of these were far from ideal, and I </w:t>
      </w:r>
      <w:proofErr w:type="gramStart"/>
      <w:r>
        <w:rPr>
          <w:rFonts w:eastAsiaTheme="minorEastAsia"/>
        </w:rPr>
        <w:t>don’t</w:t>
      </w:r>
      <w:proofErr w:type="gramEnd"/>
      <w:r>
        <w:rPr>
          <w:rFonts w:eastAsiaTheme="minorEastAsia"/>
        </w:rPr>
        <w:t xml:space="preserve"> know a good way of combining them:</w:t>
      </w:r>
    </w:p>
    <w:p w:rsidR="00692BE9" w:rsidRDefault="00692BE9">
      <w:pPr>
        <w:spacing w:after="200" w:line="276" w:lineRule="auto"/>
        <w:contextualSpacing w:val="0"/>
        <w:rPr>
          <w:rFonts w:eastAsiaTheme="minorEastAsia"/>
        </w:rPr>
      </w:pPr>
      <w:r>
        <w:rPr>
          <w:rFonts w:eastAsiaTheme="minorEastAsia"/>
        </w:rPr>
        <w:br w:type="page"/>
      </w:r>
    </w:p>
    <w:p w:rsidR="00692BE9" w:rsidRDefault="00692BE9" w:rsidP="00FA68BF">
      <w:pPr>
        <w:rPr>
          <w:rFonts w:eastAsiaTheme="minorEastAsia"/>
        </w:rPr>
      </w:pPr>
    </w:p>
    <w:tbl>
      <w:tblPr>
        <w:tblW w:w="4064" w:type="dxa"/>
        <w:tblInd w:w="720" w:type="dxa"/>
        <w:tblLook w:val="04A0" w:firstRow="1" w:lastRow="0" w:firstColumn="1" w:lastColumn="0" w:noHBand="0" w:noVBand="1"/>
      </w:tblPr>
      <w:tblGrid>
        <w:gridCol w:w="960"/>
        <w:gridCol w:w="736"/>
        <w:gridCol w:w="1184"/>
        <w:gridCol w:w="1184"/>
      </w:tblGrid>
      <w:tr w:rsidR="00692BE9" w:rsidRPr="00692BE9" w:rsidTr="00EE2869">
        <w:trPr>
          <w:trHeight w:val="300"/>
        </w:trPr>
        <w:tc>
          <w:tcPr>
            <w:tcW w:w="960" w:type="dxa"/>
            <w:tcBorders>
              <w:top w:val="nil"/>
              <w:left w:val="nil"/>
              <w:bottom w:val="single" w:sz="4" w:space="0" w:color="auto"/>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Mid</w:t>
            </w:r>
          </w:p>
        </w:tc>
        <w:tc>
          <w:tcPr>
            <w:tcW w:w="736" w:type="dxa"/>
            <w:tcBorders>
              <w:top w:val="nil"/>
              <w:left w:val="nil"/>
              <w:bottom w:val="single" w:sz="4" w:space="0" w:color="auto"/>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single" w:sz="4" w:space="0" w:color="auto"/>
              <w:right w:val="nil"/>
            </w:tcBorders>
          </w:tcPr>
          <w:p w:rsidR="00692BE9" w:rsidRPr="00692BE9" w:rsidRDefault="00692BE9" w:rsidP="00692BE9">
            <w:pPr>
              <w:contextualSpacing w:val="0"/>
              <w:jc w:val="right"/>
              <w:rPr>
                <w:rFonts w:ascii="Calibri" w:eastAsia="Times New Roman" w:hAnsi="Calibri" w:cs="Calibri"/>
                <w:color w:val="000000"/>
                <w:sz w:val="22"/>
              </w:rPr>
            </w:pPr>
            <w:r>
              <w:rPr>
                <w:rFonts w:ascii="Calibri" w:eastAsia="Times New Roman" w:hAnsi="Calibri" w:cs="Calibri"/>
                <w:color w:val="000000"/>
                <w:sz w:val="22"/>
              </w:rPr>
              <w:t>Probability using calls</w:t>
            </w:r>
          </w:p>
        </w:tc>
        <w:tc>
          <w:tcPr>
            <w:tcW w:w="1184" w:type="dxa"/>
            <w:tcBorders>
              <w:top w:val="nil"/>
              <w:left w:val="nil"/>
              <w:bottom w:val="single" w:sz="4" w:space="0" w:color="auto"/>
              <w:right w:val="nil"/>
            </w:tcBorders>
          </w:tcPr>
          <w:p w:rsidR="00692BE9" w:rsidRDefault="00692BE9" w:rsidP="00692BE9">
            <w:pPr>
              <w:contextualSpacing w:val="0"/>
              <w:jc w:val="right"/>
              <w:rPr>
                <w:rFonts w:ascii="Calibri" w:eastAsia="Times New Roman" w:hAnsi="Calibri" w:cs="Calibri"/>
                <w:color w:val="000000"/>
                <w:sz w:val="22"/>
              </w:rPr>
            </w:pPr>
            <w:r>
              <w:rPr>
                <w:rFonts w:ascii="Calibri" w:eastAsia="Times New Roman" w:hAnsi="Calibri" w:cs="Calibri"/>
                <w:color w:val="000000"/>
                <w:sz w:val="22"/>
              </w:rPr>
              <w:t>Probability using puts</w:t>
            </w:r>
          </w:p>
        </w:tc>
      </w:tr>
      <w:tr w:rsidR="00692BE9" w:rsidRPr="00692BE9" w:rsidTr="00EE2869">
        <w:trPr>
          <w:trHeight w:val="300"/>
        </w:trPr>
        <w:tc>
          <w:tcPr>
            <w:tcW w:w="960" w:type="dxa"/>
            <w:tcBorders>
              <w:top w:val="single" w:sz="4" w:space="0" w:color="auto"/>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180</w:t>
            </w:r>
            <w:r>
              <w:rPr>
                <w:rFonts w:ascii="Calibri" w:eastAsia="Times New Roman" w:hAnsi="Calibri" w:cs="Calibri"/>
                <w:color w:val="000000"/>
                <w:sz w:val="22"/>
              </w:rPr>
              <w:t>.0</w:t>
            </w:r>
          </w:p>
        </w:tc>
        <w:tc>
          <w:tcPr>
            <w:tcW w:w="736" w:type="dxa"/>
            <w:tcBorders>
              <w:top w:val="single" w:sz="4" w:space="0" w:color="auto"/>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single" w:sz="4" w:space="0" w:color="auto"/>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single" w:sz="4" w:space="0" w:color="auto"/>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0.014</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207.5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0.012</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212.5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0.028</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217.5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0.052</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222.5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0.088</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227.5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0.7</w:t>
            </w:r>
            <w:r w:rsidR="00EE2869">
              <w:rPr>
                <w:rFonts w:ascii="Calibri" w:hAnsi="Calibri" w:cs="Calibri"/>
                <w:color w:val="000000"/>
                <w:sz w:val="22"/>
              </w:rPr>
              <w:t>00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0.412</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232.5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0.3</w:t>
            </w:r>
            <w:r w:rsidR="00EE2869">
              <w:rPr>
                <w:rFonts w:ascii="Calibri" w:hAnsi="Calibri" w:cs="Calibri"/>
                <w:color w:val="000000"/>
                <w:sz w:val="22"/>
              </w:rPr>
              <w:t>00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0.668</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237.5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r>
      <w:tr w:rsidR="00692BE9" w:rsidRPr="00692BE9" w:rsidTr="00EE2869">
        <w:trPr>
          <w:trHeight w:val="300"/>
        </w:trPr>
        <w:tc>
          <w:tcPr>
            <w:tcW w:w="960" w:type="dxa"/>
            <w:tcBorders>
              <w:top w:val="nil"/>
              <w:left w:val="nil"/>
              <w:bottom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242.5</w:t>
            </w:r>
          </w:p>
        </w:tc>
        <w:tc>
          <w:tcPr>
            <w:tcW w:w="736" w:type="dxa"/>
            <w:tcBorders>
              <w:top w:val="nil"/>
              <w:left w:val="nil"/>
              <w:bottom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bottom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r>
      <w:tr w:rsidR="00692BE9" w:rsidRPr="00692BE9" w:rsidTr="00EE2869">
        <w:trPr>
          <w:trHeight w:val="300"/>
        </w:trPr>
        <w:tc>
          <w:tcPr>
            <w:tcW w:w="960" w:type="dxa"/>
            <w:tcBorders>
              <w:top w:val="nil"/>
              <w:left w:val="nil"/>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247.5</w:t>
            </w:r>
          </w:p>
        </w:tc>
        <w:tc>
          <w:tcPr>
            <w:tcW w:w="736" w:type="dxa"/>
            <w:tcBorders>
              <w:top w:val="nil"/>
              <w:left w:val="nil"/>
              <w:right w:val="nil"/>
            </w:tcBorders>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c>
          <w:tcPr>
            <w:tcW w:w="1184" w:type="dxa"/>
            <w:tcBorders>
              <w:top w:val="nil"/>
              <w:left w:val="nil"/>
              <w:right w:val="nil"/>
            </w:tcBorders>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r>
      <w:tr w:rsidR="00692BE9" w:rsidRPr="00692BE9" w:rsidTr="00EE2869">
        <w:trPr>
          <w:trHeight w:val="300"/>
        </w:trPr>
        <w:tc>
          <w:tcPr>
            <w:tcW w:w="960" w:type="dxa"/>
            <w:tcBorders>
              <w:top w:val="nil"/>
              <w:left w:val="nil"/>
              <w:bottom w:val="single" w:sz="4" w:space="0" w:color="auto"/>
              <w:right w:val="nil"/>
            </w:tcBorders>
            <w:shd w:val="clear" w:color="auto" w:fill="auto"/>
            <w:noWrap/>
            <w:vAlign w:val="bottom"/>
            <w:hideMark/>
          </w:tcPr>
          <w:p w:rsidR="00692BE9" w:rsidRPr="00692BE9" w:rsidRDefault="00692BE9" w:rsidP="00692BE9">
            <w:pPr>
              <w:contextualSpacing w:val="0"/>
              <w:jc w:val="right"/>
              <w:rPr>
                <w:rFonts w:ascii="Calibri" w:eastAsia="Times New Roman" w:hAnsi="Calibri" w:cs="Calibri"/>
                <w:color w:val="000000"/>
                <w:sz w:val="22"/>
              </w:rPr>
            </w:pPr>
            <w:r w:rsidRPr="00692BE9">
              <w:rPr>
                <w:rFonts w:ascii="Calibri" w:eastAsia="Times New Roman" w:hAnsi="Calibri" w:cs="Calibri"/>
                <w:color w:val="000000"/>
                <w:sz w:val="22"/>
              </w:rPr>
              <w:t>275</w:t>
            </w:r>
            <w:r>
              <w:rPr>
                <w:rFonts w:ascii="Calibri" w:eastAsia="Times New Roman" w:hAnsi="Calibri" w:cs="Calibri"/>
                <w:color w:val="000000"/>
                <w:sz w:val="22"/>
              </w:rPr>
              <w:t>.0</w:t>
            </w:r>
          </w:p>
        </w:tc>
        <w:tc>
          <w:tcPr>
            <w:tcW w:w="736" w:type="dxa"/>
            <w:tcBorders>
              <w:top w:val="nil"/>
              <w:left w:val="nil"/>
              <w:bottom w:val="single" w:sz="4" w:space="0" w:color="auto"/>
              <w:right w:val="nil"/>
            </w:tcBorders>
            <w:shd w:val="clear" w:color="auto" w:fill="auto"/>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nil"/>
              <w:left w:val="nil"/>
              <w:bottom w:val="single" w:sz="4" w:space="0" w:color="auto"/>
              <w:right w:val="nil"/>
            </w:tcBorders>
            <w:shd w:val="clear" w:color="auto" w:fill="auto"/>
            <w:vAlign w:val="bottom"/>
          </w:tcPr>
          <w:p w:rsidR="00692BE9" w:rsidRDefault="00692BE9">
            <w:pPr>
              <w:jc w:val="right"/>
              <w:rPr>
                <w:rFonts w:ascii="Calibri" w:hAnsi="Calibri" w:cs="Calibri"/>
                <w:color w:val="000000"/>
                <w:sz w:val="22"/>
              </w:rPr>
            </w:pPr>
            <w:r>
              <w:rPr>
                <w:rFonts w:ascii="Calibri" w:hAnsi="Calibri" w:cs="Calibri"/>
                <w:color w:val="000000"/>
                <w:sz w:val="22"/>
              </w:rPr>
              <w:t>0.04</w:t>
            </w:r>
            <w:r w:rsidR="00EE2869">
              <w:rPr>
                <w:rFonts w:ascii="Calibri" w:hAnsi="Calibri" w:cs="Calibri"/>
                <w:color w:val="000000"/>
                <w:sz w:val="22"/>
              </w:rPr>
              <w:t>0</w:t>
            </w:r>
          </w:p>
        </w:tc>
        <w:tc>
          <w:tcPr>
            <w:tcW w:w="1184" w:type="dxa"/>
            <w:tcBorders>
              <w:top w:val="nil"/>
              <w:left w:val="nil"/>
              <w:bottom w:val="single" w:sz="4" w:space="0" w:color="auto"/>
              <w:right w:val="nil"/>
            </w:tcBorders>
            <w:shd w:val="clear" w:color="auto" w:fill="auto"/>
            <w:vAlign w:val="bottom"/>
          </w:tcPr>
          <w:p w:rsidR="00692BE9" w:rsidRDefault="00692BE9">
            <w:pPr>
              <w:jc w:val="right"/>
              <w:rPr>
                <w:rFonts w:ascii="Calibri" w:hAnsi="Calibri" w:cs="Calibri"/>
                <w:color w:val="000000"/>
                <w:sz w:val="22"/>
              </w:rPr>
            </w:pPr>
            <w:r>
              <w:rPr>
                <w:rFonts w:ascii="Calibri" w:hAnsi="Calibri" w:cs="Calibri"/>
                <w:color w:val="000000"/>
                <w:sz w:val="22"/>
              </w:rPr>
              <w:t>0</w:t>
            </w:r>
          </w:p>
        </w:tc>
      </w:tr>
      <w:tr w:rsidR="00692BE9" w:rsidRPr="00692BE9" w:rsidTr="00EE2869">
        <w:trPr>
          <w:trHeight w:val="300"/>
        </w:trPr>
        <w:tc>
          <w:tcPr>
            <w:tcW w:w="960" w:type="dxa"/>
            <w:tcBorders>
              <w:top w:val="single" w:sz="4" w:space="0" w:color="auto"/>
              <w:left w:val="nil"/>
              <w:bottom w:val="nil"/>
              <w:right w:val="nil"/>
            </w:tcBorders>
            <w:shd w:val="clear" w:color="auto" w:fill="auto"/>
            <w:noWrap/>
            <w:vAlign w:val="bottom"/>
          </w:tcPr>
          <w:p w:rsidR="00692BE9" w:rsidRPr="00692BE9" w:rsidRDefault="00692BE9" w:rsidP="00692BE9">
            <w:pPr>
              <w:contextualSpacing w:val="0"/>
              <w:jc w:val="right"/>
              <w:rPr>
                <w:rFonts w:ascii="Calibri" w:eastAsia="Times New Roman" w:hAnsi="Calibri" w:cs="Calibri"/>
                <w:color w:val="000000"/>
                <w:sz w:val="22"/>
              </w:rPr>
            </w:pPr>
            <w:r>
              <w:rPr>
                <w:rFonts w:ascii="Calibri" w:eastAsia="Times New Roman" w:hAnsi="Calibri" w:cs="Calibri"/>
                <w:color w:val="000000"/>
                <w:sz w:val="22"/>
              </w:rPr>
              <w:t>Total</w:t>
            </w:r>
          </w:p>
        </w:tc>
        <w:tc>
          <w:tcPr>
            <w:tcW w:w="736" w:type="dxa"/>
            <w:tcBorders>
              <w:top w:val="single" w:sz="4" w:space="0" w:color="auto"/>
              <w:left w:val="nil"/>
              <w:bottom w:val="nil"/>
              <w:right w:val="nil"/>
            </w:tcBorders>
            <w:shd w:val="clear" w:color="auto" w:fill="auto"/>
          </w:tcPr>
          <w:p w:rsidR="00692BE9" w:rsidRPr="00692BE9" w:rsidRDefault="00692BE9" w:rsidP="00692BE9">
            <w:pPr>
              <w:contextualSpacing w:val="0"/>
              <w:jc w:val="right"/>
              <w:rPr>
                <w:rFonts w:ascii="Calibri" w:eastAsia="Times New Roman" w:hAnsi="Calibri" w:cs="Calibri"/>
                <w:color w:val="000000"/>
                <w:sz w:val="22"/>
              </w:rPr>
            </w:pPr>
          </w:p>
        </w:tc>
        <w:tc>
          <w:tcPr>
            <w:tcW w:w="1184" w:type="dxa"/>
            <w:tcBorders>
              <w:top w:val="single" w:sz="4" w:space="0" w:color="auto"/>
              <w:left w:val="nil"/>
              <w:bottom w:val="nil"/>
              <w:right w:val="nil"/>
            </w:tcBorders>
            <w:shd w:val="clear" w:color="auto" w:fill="auto"/>
            <w:vAlign w:val="bottom"/>
          </w:tcPr>
          <w:p w:rsidR="00692BE9" w:rsidRDefault="00692BE9">
            <w:pPr>
              <w:jc w:val="right"/>
              <w:rPr>
                <w:rFonts w:ascii="Calibri" w:hAnsi="Calibri" w:cs="Calibri"/>
                <w:color w:val="000000"/>
                <w:sz w:val="22"/>
              </w:rPr>
            </w:pPr>
            <w:r>
              <w:rPr>
                <w:rFonts w:ascii="Calibri" w:hAnsi="Calibri" w:cs="Calibri"/>
                <w:color w:val="000000"/>
                <w:sz w:val="22"/>
              </w:rPr>
              <w:t>1.04</w:t>
            </w:r>
            <w:r w:rsidR="00EE2869">
              <w:rPr>
                <w:rFonts w:ascii="Calibri" w:hAnsi="Calibri" w:cs="Calibri"/>
                <w:color w:val="000000"/>
                <w:sz w:val="22"/>
              </w:rPr>
              <w:t>0</w:t>
            </w:r>
          </w:p>
        </w:tc>
        <w:tc>
          <w:tcPr>
            <w:tcW w:w="1184" w:type="dxa"/>
            <w:tcBorders>
              <w:top w:val="single" w:sz="4" w:space="0" w:color="auto"/>
              <w:left w:val="nil"/>
              <w:bottom w:val="nil"/>
              <w:right w:val="nil"/>
            </w:tcBorders>
            <w:shd w:val="clear" w:color="auto" w:fill="auto"/>
            <w:vAlign w:val="bottom"/>
          </w:tcPr>
          <w:p w:rsidR="00692BE9" w:rsidRDefault="00692BE9">
            <w:pPr>
              <w:jc w:val="right"/>
              <w:rPr>
                <w:rFonts w:ascii="Calibri" w:hAnsi="Calibri" w:cs="Calibri"/>
                <w:color w:val="000000"/>
                <w:sz w:val="22"/>
              </w:rPr>
            </w:pPr>
            <w:r>
              <w:rPr>
                <w:rFonts w:ascii="Calibri" w:hAnsi="Calibri" w:cs="Calibri"/>
                <w:color w:val="000000"/>
                <w:sz w:val="22"/>
              </w:rPr>
              <w:t>1.247</w:t>
            </w:r>
          </w:p>
        </w:tc>
      </w:tr>
    </w:tbl>
    <w:p w:rsidR="00692BE9" w:rsidRDefault="00692BE9" w:rsidP="00FA68BF">
      <w:pPr>
        <w:rPr>
          <w:rFonts w:eastAsiaTheme="minorEastAsia"/>
        </w:rPr>
      </w:pPr>
    </w:p>
    <w:p w:rsidR="00AB5285" w:rsidRPr="000A10AA" w:rsidRDefault="00EE2869" w:rsidP="00FA68BF">
      <w:pPr>
        <w:rPr>
          <w:rFonts w:eastAsiaTheme="minorEastAsia"/>
        </w:rPr>
      </w:pPr>
      <w:r>
        <w:rPr>
          <w:rFonts w:eastAsiaTheme="minorEastAsia"/>
        </w:rPr>
        <w:t xml:space="preserve">I also calculated the expectation using the bid price of the put options rather than the asking price.  The resulting expectation was $221.09.  Averaging this with the estimate using call prices gives $224.71.  A method that uses the mid-point of the bid and ask prices might be a good approach to this.  I </w:t>
      </w:r>
      <w:proofErr w:type="gramStart"/>
      <w:r>
        <w:rPr>
          <w:rFonts w:eastAsiaTheme="minorEastAsia"/>
        </w:rPr>
        <w:t>don’t</w:t>
      </w:r>
      <w:proofErr w:type="gramEnd"/>
      <w:r>
        <w:rPr>
          <w:rFonts w:eastAsiaTheme="minorEastAsia"/>
        </w:rPr>
        <w:t xml:space="preserve"> know how to reconcile the differences between call and put options, but using the mid-point might make these differences smaller.</w:t>
      </w:r>
      <w:bookmarkStart w:id="0" w:name="_GoBack"/>
      <w:bookmarkEnd w:id="0"/>
    </w:p>
    <w:sectPr w:rsidR="00AB5285" w:rsidRPr="000A10A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6A0" w:rsidRDefault="001346A0" w:rsidP="000D5E20">
      <w:r>
        <w:separator/>
      </w:r>
    </w:p>
    <w:p w:rsidR="001346A0" w:rsidRDefault="001346A0"/>
  </w:endnote>
  <w:endnote w:type="continuationSeparator" w:id="0">
    <w:p w:rsidR="001346A0" w:rsidRDefault="001346A0" w:rsidP="000D5E20">
      <w:r>
        <w:continuationSeparator/>
      </w:r>
    </w:p>
    <w:p w:rsidR="001346A0" w:rsidRDefault="00134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BE9" w:rsidRDefault="00692BE9">
    <w:pPr>
      <w:pStyle w:val="Footer"/>
    </w:pPr>
  </w:p>
  <w:p w:rsidR="00692BE9" w:rsidRDefault="00692B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BE9" w:rsidRDefault="00692BE9">
    <w:pPr>
      <w:pStyle w:val="Footer"/>
    </w:pPr>
    <w:r>
      <w:tab/>
      <w:t xml:space="preserve">- Page </w:t>
    </w:r>
    <w:r>
      <w:fldChar w:fldCharType="begin"/>
    </w:r>
    <w:r>
      <w:instrText xml:space="preserve"> PAGE   \* MERGEFORMAT </w:instrText>
    </w:r>
    <w:r>
      <w:fldChar w:fldCharType="separate"/>
    </w:r>
    <w:r w:rsidR="00EE2869">
      <w:rPr>
        <w:noProof/>
      </w:rPr>
      <w:t>1</w:t>
    </w:r>
    <w:r>
      <w:fldChar w:fldCharType="end"/>
    </w:r>
    <w:r>
      <w:t xml:space="preserve"> of </w:t>
    </w:r>
    <w:fldSimple w:instr=" NUMPAGES   \* MERGEFORMAT ">
      <w:r w:rsidR="00EE2869">
        <w:rPr>
          <w:noProof/>
        </w:rPr>
        <w:t>6</w:t>
      </w:r>
    </w:fldSimple>
    <w:r>
      <w:t xml:space="preserve"> -</w:t>
    </w:r>
  </w:p>
  <w:p w:rsidR="00692BE9" w:rsidRDefault="00692BE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BE9" w:rsidRDefault="00692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6A0" w:rsidRDefault="001346A0" w:rsidP="000D5E20">
      <w:r>
        <w:separator/>
      </w:r>
    </w:p>
    <w:p w:rsidR="001346A0" w:rsidRDefault="001346A0"/>
  </w:footnote>
  <w:footnote w:type="continuationSeparator" w:id="0">
    <w:p w:rsidR="001346A0" w:rsidRDefault="001346A0" w:rsidP="000D5E20">
      <w:r>
        <w:continuationSeparator/>
      </w:r>
    </w:p>
    <w:p w:rsidR="001346A0" w:rsidRDefault="001346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BE9" w:rsidRDefault="00692BE9">
    <w:pPr>
      <w:pStyle w:val="Header"/>
    </w:pPr>
  </w:p>
  <w:p w:rsidR="00692BE9" w:rsidRDefault="00692B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BE9" w:rsidRPr="000D5E20" w:rsidRDefault="00692BE9">
    <w:pPr>
      <w:pStyle w:val="Header"/>
      <w:rPr>
        <w:u w:val="single"/>
      </w:rPr>
    </w:pPr>
    <w:r>
      <w:rPr>
        <w:u w:val="single"/>
      </w:rPr>
      <w:t>Dan’s Notes</w:t>
    </w:r>
    <w:r>
      <w:rPr>
        <w:u w:val="single"/>
      </w:rPr>
      <w:tab/>
    </w:r>
    <w:r>
      <w:rPr>
        <w:u w:val="single"/>
      </w:rPr>
      <w:tab/>
    </w:r>
  </w:p>
  <w:p w:rsidR="00692BE9" w:rsidRDefault="00692BE9">
    <w:pPr>
      <w:pStyle w:val="Header"/>
    </w:pPr>
    <w:r>
      <w:t>Daniel Rogers</w:t>
    </w:r>
    <w:r>
      <w:tab/>
    </w:r>
    <w:r>
      <w:tab/>
      <w:t>2017-08-15</w:t>
    </w:r>
  </w:p>
  <w:p w:rsidR="00692BE9" w:rsidRPr="000E6FA2" w:rsidRDefault="00692BE9" w:rsidP="000E6FA2">
    <w:pPr>
      <w:pStyle w:val="Header"/>
      <w:spacing w:before="120" w:after="120"/>
      <w:jc w:val="center"/>
      <w:rPr>
        <w:b/>
      </w:rPr>
    </w:pPr>
    <w:r>
      <w:rPr>
        <w:b/>
      </w:rPr>
      <w:t>Inferring Expected Returns from Option Prices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BE9" w:rsidRDefault="00692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8"/>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62595"/>
    <w:rsid w:val="000A10AA"/>
    <w:rsid w:val="000D5E20"/>
    <w:rsid w:val="000E6FA2"/>
    <w:rsid w:val="000E7860"/>
    <w:rsid w:val="001346A0"/>
    <w:rsid w:val="00190F1B"/>
    <w:rsid w:val="001972AB"/>
    <w:rsid w:val="001A3EAE"/>
    <w:rsid w:val="001C0AE4"/>
    <w:rsid w:val="001D76A1"/>
    <w:rsid w:val="003D14F3"/>
    <w:rsid w:val="00406C5F"/>
    <w:rsid w:val="00436DC5"/>
    <w:rsid w:val="00456E34"/>
    <w:rsid w:val="00506C5A"/>
    <w:rsid w:val="005B41E4"/>
    <w:rsid w:val="005F7099"/>
    <w:rsid w:val="00677940"/>
    <w:rsid w:val="00692BE9"/>
    <w:rsid w:val="0072173D"/>
    <w:rsid w:val="007D13D4"/>
    <w:rsid w:val="00813408"/>
    <w:rsid w:val="00843EE6"/>
    <w:rsid w:val="008527D9"/>
    <w:rsid w:val="008774AC"/>
    <w:rsid w:val="009364DC"/>
    <w:rsid w:val="00972F33"/>
    <w:rsid w:val="00A77CBE"/>
    <w:rsid w:val="00A93456"/>
    <w:rsid w:val="00AB5285"/>
    <w:rsid w:val="00B0182C"/>
    <w:rsid w:val="00C23C0F"/>
    <w:rsid w:val="00C957CC"/>
    <w:rsid w:val="00CB3196"/>
    <w:rsid w:val="00D24FD4"/>
    <w:rsid w:val="00D3299A"/>
    <w:rsid w:val="00D444CC"/>
    <w:rsid w:val="00D54E8A"/>
    <w:rsid w:val="00DD2493"/>
    <w:rsid w:val="00EE2869"/>
    <w:rsid w:val="00EE5AA2"/>
    <w:rsid w:val="00EF53EB"/>
    <w:rsid w:val="00F544DE"/>
    <w:rsid w:val="00FA68BF"/>
    <w:rsid w:val="00FC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843EE6"/>
    <w:rPr>
      <w:rFonts w:ascii="Tahoma" w:hAnsi="Tahoma" w:cs="Tahoma"/>
      <w:sz w:val="16"/>
      <w:szCs w:val="16"/>
    </w:rPr>
  </w:style>
  <w:style w:type="character" w:customStyle="1" w:styleId="BalloonTextChar">
    <w:name w:val="Balloon Text Char"/>
    <w:basedOn w:val="DefaultParagraphFont"/>
    <w:link w:val="BalloonText"/>
    <w:uiPriority w:val="99"/>
    <w:semiHidden/>
    <w:rsid w:val="00843EE6"/>
    <w:rPr>
      <w:rFonts w:ascii="Tahoma" w:hAnsi="Tahoma" w:cs="Tahoma"/>
      <w:sz w:val="16"/>
      <w:szCs w:val="16"/>
    </w:rPr>
  </w:style>
  <w:style w:type="table" w:styleId="TableGrid">
    <w:name w:val="Table Grid"/>
    <w:basedOn w:val="TableNormal"/>
    <w:uiPriority w:val="59"/>
    <w:rsid w:val="00D4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C0AE4"/>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C0AE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843EE6"/>
    <w:rPr>
      <w:rFonts w:ascii="Tahoma" w:hAnsi="Tahoma" w:cs="Tahoma"/>
      <w:sz w:val="16"/>
      <w:szCs w:val="16"/>
    </w:rPr>
  </w:style>
  <w:style w:type="character" w:customStyle="1" w:styleId="BalloonTextChar">
    <w:name w:val="Balloon Text Char"/>
    <w:basedOn w:val="DefaultParagraphFont"/>
    <w:link w:val="BalloonText"/>
    <w:uiPriority w:val="99"/>
    <w:semiHidden/>
    <w:rsid w:val="00843EE6"/>
    <w:rPr>
      <w:rFonts w:ascii="Tahoma" w:hAnsi="Tahoma" w:cs="Tahoma"/>
      <w:sz w:val="16"/>
      <w:szCs w:val="16"/>
    </w:rPr>
  </w:style>
  <w:style w:type="table" w:styleId="TableGrid">
    <w:name w:val="Table Grid"/>
    <w:basedOn w:val="TableNormal"/>
    <w:uiPriority w:val="59"/>
    <w:rsid w:val="00D4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C0AE4"/>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C0A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2103">
      <w:bodyDiv w:val="1"/>
      <w:marLeft w:val="0"/>
      <w:marRight w:val="0"/>
      <w:marTop w:val="0"/>
      <w:marBottom w:val="0"/>
      <w:divBdr>
        <w:top w:val="none" w:sz="0" w:space="0" w:color="auto"/>
        <w:left w:val="none" w:sz="0" w:space="0" w:color="auto"/>
        <w:bottom w:val="none" w:sz="0" w:space="0" w:color="auto"/>
        <w:right w:val="none" w:sz="0" w:space="0" w:color="auto"/>
      </w:divBdr>
    </w:div>
    <w:div w:id="410584472">
      <w:bodyDiv w:val="1"/>
      <w:marLeft w:val="0"/>
      <w:marRight w:val="0"/>
      <w:marTop w:val="0"/>
      <w:marBottom w:val="0"/>
      <w:divBdr>
        <w:top w:val="none" w:sz="0" w:space="0" w:color="auto"/>
        <w:left w:val="none" w:sz="0" w:space="0" w:color="auto"/>
        <w:bottom w:val="none" w:sz="0" w:space="0" w:color="auto"/>
        <w:right w:val="none" w:sz="0" w:space="0" w:color="auto"/>
      </w:divBdr>
    </w:div>
    <w:div w:id="581108772">
      <w:bodyDiv w:val="1"/>
      <w:marLeft w:val="0"/>
      <w:marRight w:val="0"/>
      <w:marTop w:val="0"/>
      <w:marBottom w:val="0"/>
      <w:divBdr>
        <w:top w:val="none" w:sz="0" w:space="0" w:color="auto"/>
        <w:left w:val="none" w:sz="0" w:space="0" w:color="auto"/>
        <w:bottom w:val="none" w:sz="0" w:space="0" w:color="auto"/>
        <w:right w:val="none" w:sz="0" w:space="0" w:color="auto"/>
      </w:divBdr>
    </w:div>
    <w:div w:id="1049036077">
      <w:bodyDiv w:val="1"/>
      <w:marLeft w:val="0"/>
      <w:marRight w:val="0"/>
      <w:marTop w:val="0"/>
      <w:marBottom w:val="0"/>
      <w:divBdr>
        <w:top w:val="none" w:sz="0" w:space="0" w:color="auto"/>
        <w:left w:val="none" w:sz="0" w:space="0" w:color="auto"/>
        <w:bottom w:val="none" w:sz="0" w:space="0" w:color="auto"/>
        <w:right w:val="none" w:sz="0" w:space="0" w:color="auto"/>
      </w:divBdr>
    </w:div>
    <w:div w:id="1377588025">
      <w:bodyDiv w:val="1"/>
      <w:marLeft w:val="0"/>
      <w:marRight w:val="0"/>
      <w:marTop w:val="0"/>
      <w:marBottom w:val="0"/>
      <w:divBdr>
        <w:top w:val="none" w:sz="0" w:space="0" w:color="auto"/>
        <w:left w:val="none" w:sz="0" w:space="0" w:color="auto"/>
        <w:bottom w:val="none" w:sz="0" w:space="0" w:color="auto"/>
        <w:right w:val="none" w:sz="0" w:space="0" w:color="auto"/>
      </w:divBdr>
    </w:div>
    <w:div w:id="14917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CB5A7-5F48-45AD-9620-A21CFC6C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8</cp:revision>
  <dcterms:created xsi:type="dcterms:W3CDTF">2017-08-15T04:51:00Z</dcterms:created>
  <dcterms:modified xsi:type="dcterms:W3CDTF">2017-08-15T06:57:00Z</dcterms:modified>
</cp:coreProperties>
</file>