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Default="0017505E" w:rsidP="000E6FA2">
      <w:pPr>
        <w:pStyle w:val="Title"/>
      </w:pPr>
      <w:r>
        <w:t xml:space="preserve">Supply Chain Fundamentals: </w:t>
      </w:r>
      <w:r w:rsidR="00BE38FB">
        <w:t>Forecasting</w:t>
      </w:r>
    </w:p>
    <w:p w:rsidR="0017505E" w:rsidRDefault="0017505E" w:rsidP="0017505E">
      <w:r>
        <w:t>Notes from “Supply Chain &amp; Logistics Fundamentals”</w:t>
      </w:r>
    </w:p>
    <w:p w:rsidR="0017505E" w:rsidRDefault="0017505E" w:rsidP="0017505E">
      <w:r>
        <w:t xml:space="preserve">CTL.SC1X (offered by </w:t>
      </w:r>
      <w:proofErr w:type="spellStart"/>
      <w:r>
        <w:t>MITx</w:t>
      </w:r>
      <w:proofErr w:type="spellEnd"/>
      <w:r>
        <w:t>)</w:t>
      </w:r>
    </w:p>
    <w:p w:rsidR="0017505E" w:rsidRPr="0017505E" w:rsidRDefault="00BE38FB" w:rsidP="0017505E">
      <w:proofErr w:type="gramStart"/>
      <w:r>
        <w:t>weeks</w:t>
      </w:r>
      <w:proofErr w:type="gramEnd"/>
      <w:r>
        <w:t xml:space="preserve"> 2-4</w:t>
      </w:r>
    </w:p>
    <w:p w:rsidR="000D5E20" w:rsidRDefault="000D5E20" w:rsidP="000E6FA2"/>
    <w:sdt>
      <w:sdtPr>
        <w:rPr>
          <w:rFonts w:ascii="Times New Roman" w:eastAsiaTheme="minorHAnsi" w:hAnsi="Times New Roman" w:cstheme="minorBidi"/>
          <w:b w:val="0"/>
          <w:bCs w:val="0"/>
          <w:color w:val="auto"/>
          <w:sz w:val="24"/>
          <w:szCs w:val="22"/>
          <w:lang w:eastAsia="en-US"/>
        </w:rPr>
        <w:id w:val="-308633589"/>
        <w:docPartObj>
          <w:docPartGallery w:val="Table of Contents"/>
          <w:docPartUnique/>
        </w:docPartObj>
      </w:sdtPr>
      <w:sdtEndPr>
        <w:rPr>
          <w:noProof/>
        </w:rPr>
      </w:sdtEndPr>
      <w:sdtContent>
        <w:p w:rsidR="0017505E" w:rsidRPr="0017505E" w:rsidRDefault="0017505E">
          <w:pPr>
            <w:pStyle w:val="TOCHeading"/>
            <w:rPr>
              <w:color w:val="auto"/>
            </w:rPr>
          </w:pPr>
          <w:r w:rsidRPr="0017505E">
            <w:rPr>
              <w:color w:val="auto"/>
            </w:rPr>
            <w:t>Contents</w:t>
          </w:r>
        </w:p>
        <w:p w:rsidR="00306E68" w:rsidRDefault="0017505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5126771" w:history="1">
            <w:r w:rsidR="00306E68" w:rsidRPr="00CC17A7">
              <w:rPr>
                <w:rStyle w:val="Hyperlink"/>
                <w:noProof/>
              </w:rPr>
              <w:t>High-Level Context</w:t>
            </w:r>
            <w:r w:rsidR="00306E68">
              <w:rPr>
                <w:noProof/>
                <w:webHidden/>
              </w:rPr>
              <w:tab/>
            </w:r>
            <w:r w:rsidR="00306E68">
              <w:rPr>
                <w:noProof/>
                <w:webHidden/>
              </w:rPr>
              <w:fldChar w:fldCharType="begin"/>
            </w:r>
            <w:r w:rsidR="00306E68">
              <w:rPr>
                <w:noProof/>
                <w:webHidden/>
              </w:rPr>
              <w:instrText xml:space="preserve"> PAGEREF _Toc445126771 \h </w:instrText>
            </w:r>
            <w:r w:rsidR="00306E68">
              <w:rPr>
                <w:noProof/>
                <w:webHidden/>
              </w:rPr>
            </w:r>
            <w:r w:rsidR="00306E68">
              <w:rPr>
                <w:noProof/>
                <w:webHidden/>
              </w:rPr>
              <w:fldChar w:fldCharType="separate"/>
            </w:r>
            <w:r w:rsidR="00306E68">
              <w:rPr>
                <w:noProof/>
                <w:webHidden/>
              </w:rPr>
              <w:t>2</w:t>
            </w:r>
            <w:r w:rsidR="00306E68">
              <w:rPr>
                <w:noProof/>
                <w:webHidden/>
              </w:rPr>
              <w:fldChar w:fldCharType="end"/>
            </w:r>
          </w:hyperlink>
        </w:p>
        <w:p w:rsidR="00306E68" w:rsidRDefault="00306E68">
          <w:pPr>
            <w:pStyle w:val="TOC1"/>
            <w:tabs>
              <w:tab w:val="right" w:leader="dot" w:pos="9350"/>
            </w:tabs>
            <w:rPr>
              <w:rFonts w:asciiTheme="minorHAnsi" w:eastAsiaTheme="minorEastAsia" w:hAnsiTheme="minorHAnsi"/>
              <w:noProof/>
              <w:sz w:val="22"/>
            </w:rPr>
          </w:pPr>
          <w:hyperlink w:anchor="_Toc445126772" w:history="1">
            <w:r w:rsidRPr="00CC17A7">
              <w:rPr>
                <w:rStyle w:val="Hyperlink"/>
                <w:noProof/>
              </w:rPr>
              <w:t>Fundamental Forecasting Approaches</w:t>
            </w:r>
            <w:r>
              <w:rPr>
                <w:noProof/>
                <w:webHidden/>
              </w:rPr>
              <w:tab/>
            </w:r>
            <w:r>
              <w:rPr>
                <w:noProof/>
                <w:webHidden/>
              </w:rPr>
              <w:fldChar w:fldCharType="begin"/>
            </w:r>
            <w:r>
              <w:rPr>
                <w:noProof/>
                <w:webHidden/>
              </w:rPr>
              <w:instrText xml:space="preserve"> PAGEREF _Toc445126772 \h </w:instrText>
            </w:r>
            <w:r>
              <w:rPr>
                <w:noProof/>
                <w:webHidden/>
              </w:rPr>
            </w:r>
            <w:r>
              <w:rPr>
                <w:noProof/>
                <w:webHidden/>
              </w:rPr>
              <w:fldChar w:fldCharType="separate"/>
            </w:r>
            <w:r>
              <w:rPr>
                <w:noProof/>
                <w:webHidden/>
              </w:rPr>
              <w:t>3</w:t>
            </w:r>
            <w:r>
              <w:rPr>
                <w:noProof/>
                <w:webHidden/>
              </w:rPr>
              <w:fldChar w:fldCharType="end"/>
            </w:r>
          </w:hyperlink>
        </w:p>
        <w:p w:rsidR="00306E68" w:rsidRDefault="00306E68">
          <w:pPr>
            <w:pStyle w:val="TOC1"/>
            <w:tabs>
              <w:tab w:val="right" w:leader="dot" w:pos="9350"/>
            </w:tabs>
            <w:rPr>
              <w:rFonts w:asciiTheme="minorHAnsi" w:eastAsiaTheme="minorEastAsia" w:hAnsiTheme="minorHAnsi"/>
              <w:noProof/>
              <w:sz w:val="22"/>
            </w:rPr>
          </w:pPr>
          <w:hyperlink w:anchor="_Toc445126773" w:history="1">
            <w:r w:rsidRPr="00CC17A7">
              <w:rPr>
                <w:rStyle w:val="Hyperlink"/>
                <w:noProof/>
              </w:rPr>
              <w:t>Forecast Measurements</w:t>
            </w:r>
            <w:r>
              <w:rPr>
                <w:noProof/>
                <w:webHidden/>
              </w:rPr>
              <w:tab/>
            </w:r>
            <w:r>
              <w:rPr>
                <w:noProof/>
                <w:webHidden/>
              </w:rPr>
              <w:fldChar w:fldCharType="begin"/>
            </w:r>
            <w:r>
              <w:rPr>
                <w:noProof/>
                <w:webHidden/>
              </w:rPr>
              <w:instrText xml:space="preserve"> PAGEREF _Toc445126773 \h </w:instrText>
            </w:r>
            <w:r>
              <w:rPr>
                <w:noProof/>
                <w:webHidden/>
              </w:rPr>
            </w:r>
            <w:r>
              <w:rPr>
                <w:noProof/>
                <w:webHidden/>
              </w:rPr>
              <w:fldChar w:fldCharType="separate"/>
            </w:r>
            <w:r>
              <w:rPr>
                <w:noProof/>
                <w:webHidden/>
              </w:rPr>
              <w:t>3</w:t>
            </w:r>
            <w:r>
              <w:rPr>
                <w:noProof/>
                <w:webHidden/>
              </w:rPr>
              <w:fldChar w:fldCharType="end"/>
            </w:r>
          </w:hyperlink>
        </w:p>
        <w:p w:rsidR="00306E68" w:rsidRDefault="00306E68">
          <w:pPr>
            <w:pStyle w:val="TOC1"/>
            <w:tabs>
              <w:tab w:val="right" w:leader="dot" w:pos="9350"/>
            </w:tabs>
            <w:rPr>
              <w:rFonts w:asciiTheme="minorHAnsi" w:eastAsiaTheme="minorEastAsia" w:hAnsiTheme="minorHAnsi"/>
              <w:noProof/>
              <w:sz w:val="22"/>
            </w:rPr>
          </w:pPr>
          <w:hyperlink w:anchor="_Toc445126774" w:history="1">
            <w:r w:rsidRPr="00CC17A7">
              <w:rPr>
                <w:rStyle w:val="Hyperlink"/>
                <w:noProof/>
              </w:rPr>
              <w:t>Forecasting Level Data</w:t>
            </w:r>
            <w:r>
              <w:rPr>
                <w:noProof/>
                <w:webHidden/>
              </w:rPr>
              <w:tab/>
            </w:r>
            <w:r>
              <w:rPr>
                <w:noProof/>
                <w:webHidden/>
              </w:rPr>
              <w:fldChar w:fldCharType="begin"/>
            </w:r>
            <w:r>
              <w:rPr>
                <w:noProof/>
                <w:webHidden/>
              </w:rPr>
              <w:instrText xml:space="preserve"> PAGEREF _Toc445126774 \h </w:instrText>
            </w:r>
            <w:r>
              <w:rPr>
                <w:noProof/>
                <w:webHidden/>
              </w:rPr>
            </w:r>
            <w:r>
              <w:rPr>
                <w:noProof/>
                <w:webHidden/>
              </w:rPr>
              <w:fldChar w:fldCharType="separate"/>
            </w:r>
            <w:r>
              <w:rPr>
                <w:noProof/>
                <w:webHidden/>
              </w:rPr>
              <w:t>5</w:t>
            </w:r>
            <w:r>
              <w:rPr>
                <w:noProof/>
                <w:webHidden/>
              </w:rPr>
              <w:fldChar w:fldCharType="end"/>
            </w:r>
          </w:hyperlink>
        </w:p>
        <w:p w:rsidR="00306E68" w:rsidRDefault="00306E68">
          <w:pPr>
            <w:pStyle w:val="TOC2"/>
            <w:tabs>
              <w:tab w:val="right" w:leader="dot" w:pos="9350"/>
            </w:tabs>
            <w:rPr>
              <w:rFonts w:asciiTheme="minorHAnsi" w:eastAsiaTheme="minorEastAsia" w:hAnsiTheme="minorHAnsi"/>
              <w:noProof/>
              <w:sz w:val="22"/>
            </w:rPr>
          </w:pPr>
          <w:hyperlink w:anchor="_Toc445126775" w:history="1">
            <w:r w:rsidRPr="00CC17A7">
              <w:rPr>
                <w:rStyle w:val="Hyperlink"/>
                <w:noProof/>
              </w:rPr>
              <w:t>Cumulative Forecast &amp; Naïve Forecast</w:t>
            </w:r>
            <w:r>
              <w:rPr>
                <w:noProof/>
                <w:webHidden/>
              </w:rPr>
              <w:tab/>
            </w:r>
            <w:r>
              <w:rPr>
                <w:noProof/>
                <w:webHidden/>
              </w:rPr>
              <w:fldChar w:fldCharType="begin"/>
            </w:r>
            <w:r>
              <w:rPr>
                <w:noProof/>
                <w:webHidden/>
              </w:rPr>
              <w:instrText xml:space="preserve"> PAGEREF _Toc445126775 \h </w:instrText>
            </w:r>
            <w:r>
              <w:rPr>
                <w:noProof/>
                <w:webHidden/>
              </w:rPr>
            </w:r>
            <w:r>
              <w:rPr>
                <w:noProof/>
                <w:webHidden/>
              </w:rPr>
              <w:fldChar w:fldCharType="separate"/>
            </w:r>
            <w:r>
              <w:rPr>
                <w:noProof/>
                <w:webHidden/>
              </w:rPr>
              <w:t>5</w:t>
            </w:r>
            <w:r>
              <w:rPr>
                <w:noProof/>
                <w:webHidden/>
              </w:rPr>
              <w:fldChar w:fldCharType="end"/>
            </w:r>
          </w:hyperlink>
        </w:p>
        <w:p w:rsidR="00306E68" w:rsidRDefault="00306E68">
          <w:pPr>
            <w:pStyle w:val="TOC2"/>
            <w:tabs>
              <w:tab w:val="right" w:leader="dot" w:pos="9350"/>
            </w:tabs>
            <w:rPr>
              <w:rFonts w:asciiTheme="minorHAnsi" w:eastAsiaTheme="minorEastAsia" w:hAnsiTheme="minorHAnsi"/>
              <w:noProof/>
              <w:sz w:val="22"/>
            </w:rPr>
          </w:pPr>
          <w:hyperlink w:anchor="_Toc445126776" w:history="1">
            <w:r w:rsidRPr="00CC17A7">
              <w:rPr>
                <w:rStyle w:val="Hyperlink"/>
                <w:noProof/>
              </w:rPr>
              <w:t>Moving Averages</w:t>
            </w:r>
            <w:r>
              <w:rPr>
                <w:noProof/>
                <w:webHidden/>
              </w:rPr>
              <w:tab/>
            </w:r>
            <w:r>
              <w:rPr>
                <w:noProof/>
                <w:webHidden/>
              </w:rPr>
              <w:fldChar w:fldCharType="begin"/>
            </w:r>
            <w:r>
              <w:rPr>
                <w:noProof/>
                <w:webHidden/>
              </w:rPr>
              <w:instrText xml:space="preserve"> PAGEREF _Toc445126776 \h </w:instrText>
            </w:r>
            <w:r>
              <w:rPr>
                <w:noProof/>
                <w:webHidden/>
              </w:rPr>
            </w:r>
            <w:r>
              <w:rPr>
                <w:noProof/>
                <w:webHidden/>
              </w:rPr>
              <w:fldChar w:fldCharType="separate"/>
            </w:r>
            <w:r>
              <w:rPr>
                <w:noProof/>
                <w:webHidden/>
              </w:rPr>
              <w:t>5</w:t>
            </w:r>
            <w:r>
              <w:rPr>
                <w:noProof/>
                <w:webHidden/>
              </w:rPr>
              <w:fldChar w:fldCharType="end"/>
            </w:r>
          </w:hyperlink>
        </w:p>
        <w:p w:rsidR="00306E68" w:rsidRDefault="00306E68">
          <w:pPr>
            <w:pStyle w:val="TOC2"/>
            <w:tabs>
              <w:tab w:val="right" w:leader="dot" w:pos="9350"/>
            </w:tabs>
            <w:rPr>
              <w:rFonts w:asciiTheme="minorHAnsi" w:eastAsiaTheme="minorEastAsia" w:hAnsiTheme="minorHAnsi"/>
              <w:noProof/>
              <w:sz w:val="22"/>
            </w:rPr>
          </w:pPr>
          <w:hyperlink w:anchor="_Toc445126777" w:history="1">
            <w:r w:rsidRPr="00CC17A7">
              <w:rPr>
                <w:rStyle w:val="Hyperlink"/>
                <w:noProof/>
              </w:rPr>
              <w:t>Simple Exponential Smoothing</w:t>
            </w:r>
            <w:r>
              <w:rPr>
                <w:noProof/>
                <w:webHidden/>
              </w:rPr>
              <w:tab/>
            </w:r>
            <w:r>
              <w:rPr>
                <w:noProof/>
                <w:webHidden/>
              </w:rPr>
              <w:fldChar w:fldCharType="begin"/>
            </w:r>
            <w:r>
              <w:rPr>
                <w:noProof/>
                <w:webHidden/>
              </w:rPr>
              <w:instrText xml:space="preserve"> PAGEREF _Toc445126777 \h </w:instrText>
            </w:r>
            <w:r>
              <w:rPr>
                <w:noProof/>
                <w:webHidden/>
              </w:rPr>
            </w:r>
            <w:r>
              <w:rPr>
                <w:noProof/>
                <w:webHidden/>
              </w:rPr>
              <w:fldChar w:fldCharType="separate"/>
            </w:r>
            <w:r>
              <w:rPr>
                <w:noProof/>
                <w:webHidden/>
              </w:rPr>
              <w:t>6</w:t>
            </w:r>
            <w:r>
              <w:rPr>
                <w:noProof/>
                <w:webHidden/>
              </w:rPr>
              <w:fldChar w:fldCharType="end"/>
            </w:r>
          </w:hyperlink>
        </w:p>
        <w:p w:rsidR="00306E68" w:rsidRDefault="00306E68">
          <w:pPr>
            <w:pStyle w:val="TOC1"/>
            <w:tabs>
              <w:tab w:val="right" w:leader="dot" w:pos="9350"/>
            </w:tabs>
            <w:rPr>
              <w:rFonts w:asciiTheme="minorHAnsi" w:eastAsiaTheme="minorEastAsia" w:hAnsiTheme="minorHAnsi"/>
              <w:noProof/>
              <w:sz w:val="22"/>
            </w:rPr>
          </w:pPr>
          <w:hyperlink w:anchor="_Toc445126778" w:history="1">
            <w:r w:rsidRPr="00CC17A7">
              <w:rPr>
                <w:rStyle w:val="Hyperlink"/>
                <w:noProof/>
              </w:rPr>
              <w:t>Forecasting Data with a Level and Trend</w:t>
            </w:r>
            <w:r>
              <w:rPr>
                <w:noProof/>
                <w:webHidden/>
              </w:rPr>
              <w:tab/>
            </w:r>
            <w:r>
              <w:rPr>
                <w:noProof/>
                <w:webHidden/>
              </w:rPr>
              <w:fldChar w:fldCharType="begin"/>
            </w:r>
            <w:r>
              <w:rPr>
                <w:noProof/>
                <w:webHidden/>
              </w:rPr>
              <w:instrText xml:space="preserve"> PAGEREF _Toc445126778 \h </w:instrText>
            </w:r>
            <w:r>
              <w:rPr>
                <w:noProof/>
                <w:webHidden/>
              </w:rPr>
            </w:r>
            <w:r>
              <w:rPr>
                <w:noProof/>
                <w:webHidden/>
              </w:rPr>
              <w:fldChar w:fldCharType="separate"/>
            </w:r>
            <w:r>
              <w:rPr>
                <w:noProof/>
                <w:webHidden/>
              </w:rPr>
              <w:t>6</w:t>
            </w:r>
            <w:r>
              <w:rPr>
                <w:noProof/>
                <w:webHidden/>
              </w:rPr>
              <w:fldChar w:fldCharType="end"/>
            </w:r>
          </w:hyperlink>
        </w:p>
        <w:p w:rsidR="00306E68" w:rsidRDefault="00306E68">
          <w:pPr>
            <w:pStyle w:val="TOC2"/>
            <w:tabs>
              <w:tab w:val="right" w:leader="dot" w:pos="9350"/>
            </w:tabs>
            <w:rPr>
              <w:rFonts w:asciiTheme="minorHAnsi" w:eastAsiaTheme="minorEastAsia" w:hAnsiTheme="minorHAnsi"/>
              <w:noProof/>
              <w:sz w:val="22"/>
            </w:rPr>
          </w:pPr>
          <w:hyperlink w:anchor="_Toc445126779" w:history="1">
            <w:r w:rsidRPr="00CC17A7">
              <w:rPr>
                <w:rStyle w:val="Hyperlink"/>
                <w:noProof/>
              </w:rPr>
              <w:t>Double Exponential Smoothing (Holt Model)</w:t>
            </w:r>
            <w:r>
              <w:rPr>
                <w:noProof/>
                <w:webHidden/>
              </w:rPr>
              <w:tab/>
            </w:r>
            <w:r>
              <w:rPr>
                <w:noProof/>
                <w:webHidden/>
              </w:rPr>
              <w:fldChar w:fldCharType="begin"/>
            </w:r>
            <w:r>
              <w:rPr>
                <w:noProof/>
                <w:webHidden/>
              </w:rPr>
              <w:instrText xml:space="preserve"> PAGEREF _Toc445126779 \h </w:instrText>
            </w:r>
            <w:r>
              <w:rPr>
                <w:noProof/>
                <w:webHidden/>
              </w:rPr>
            </w:r>
            <w:r>
              <w:rPr>
                <w:noProof/>
                <w:webHidden/>
              </w:rPr>
              <w:fldChar w:fldCharType="separate"/>
            </w:r>
            <w:r>
              <w:rPr>
                <w:noProof/>
                <w:webHidden/>
              </w:rPr>
              <w:t>7</w:t>
            </w:r>
            <w:r>
              <w:rPr>
                <w:noProof/>
                <w:webHidden/>
              </w:rPr>
              <w:fldChar w:fldCharType="end"/>
            </w:r>
          </w:hyperlink>
        </w:p>
        <w:p w:rsidR="00306E68" w:rsidRDefault="00306E68">
          <w:pPr>
            <w:pStyle w:val="TOC2"/>
            <w:tabs>
              <w:tab w:val="right" w:leader="dot" w:pos="9350"/>
            </w:tabs>
            <w:rPr>
              <w:rFonts w:asciiTheme="minorHAnsi" w:eastAsiaTheme="minorEastAsia" w:hAnsiTheme="minorHAnsi"/>
              <w:noProof/>
              <w:sz w:val="22"/>
            </w:rPr>
          </w:pPr>
          <w:hyperlink w:anchor="_Toc445126780" w:history="1">
            <w:r w:rsidRPr="00CC17A7">
              <w:rPr>
                <w:rStyle w:val="Hyperlink"/>
                <w:noProof/>
              </w:rPr>
              <w:t>Damped Trends</w:t>
            </w:r>
            <w:r>
              <w:rPr>
                <w:noProof/>
                <w:webHidden/>
              </w:rPr>
              <w:tab/>
            </w:r>
            <w:r>
              <w:rPr>
                <w:noProof/>
                <w:webHidden/>
              </w:rPr>
              <w:fldChar w:fldCharType="begin"/>
            </w:r>
            <w:r>
              <w:rPr>
                <w:noProof/>
                <w:webHidden/>
              </w:rPr>
              <w:instrText xml:space="preserve"> PAGEREF _Toc445126780 \h </w:instrText>
            </w:r>
            <w:r>
              <w:rPr>
                <w:noProof/>
                <w:webHidden/>
              </w:rPr>
            </w:r>
            <w:r>
              <w:rPr>
                <w:noProof/>
                <w:webHidden/>
              </w:rPr>
              <w:fldChar w:fldCharType="separate"/>
            </w:r>
            <w:r>
              <w:rPr>
                <w:noProof/>
                <w:webHidden/>
              </w:rPr>
              <w:t>7</w:t>
            </w:r>
            <w:r>
              <w:rPr>
                <w:noProof/>
                <w:webHidden/>
              </w:rPr>
              <w:fldChar w:fldCharType="end"/>
            </w:r>
          </w:hyperlink>
        </w:p>
        <w:p w:rsidR="00306E68" w:rsidRDefault="00306E68">
          <w:pPr>
            <w:pStyle w:val="TOC1"/>
            <w:tabs>
              <w:tab w:val="right" w:leader="dot" w:pos="9350"/>
            </w:tabs>
            <w:rPr>
              <w:rFonts w:asciiTheme="minorHAnsi" w:eastAsiaTheme="minorEastAsia" w:hAnsiTheme="minorHAnsi"/>
              <w:noProof/>
              <w:sz w:val="22"/>
            </w:rPr>
          </w:pPr>
          <w:hyperlink w:anchor="_Toc445126781" w:history="1">
            <w:r w:rsidRPr="00CC17A7">
              <w:rPr>
                <w:rStyle w:val="Hyperlink"/>
                <w:noProof/>
              </w:rPr>
              <w:t>Forecasting Data with a Level, Trend, and Seasonal Component</w:t>
            </w:r>
            <w:r>
              <w:rPr>
                <w:noProof/>
                <w:webHidden/>
              </w:rPr>
              <w:tab/>
            </w:r>
            <w:r>
              <w:rPr>
                <w:noProof/>
                <w:webHidden/>
              </w:rPr>
              <w:fldChar w:fldCharType="begin"/>
            </w:r>
            <w:r>
              <w:rPr>
                <w:noProof/>
                <w:webHidden/>
              </w:rPr>
              <w:instrText xml:space="preserve"> PAGEREF _Toc445126781 \h </w:instrText>
            </w:r>
            <w:r>
              <w:rPr>
                <w:noProof/>
                <w:webHidden/>
              </w:rPr>
            </w:r>
            <w:r>
              <w:rPr>
                <w:noProof/>
                <w:webHidden/>
              </w:rPr>
              <w:fldChar w:fldCharType="separate"/>
            </w:r>
            <w:r>
              <w:rPr>
                <w:noProof/>
                <w:webHidden/>
              </w:rPr>
              <w:t>8</w:t>
            </w:r>
            <w:r>
              <w:rPr>
                <w:noProof/>
                <w:webHidden/>
              </w:rPr>
              <w:fldChar w:fldCharType="end"/>
            </w:r>
          </w:hyperlink>
        </w:p>
        <w:p w:rsidR="00306E68" w:rsidRDefault="00306E68">
          <w:pPr>
            <w:pStyle w:val="TOC2"/>
            <w:tabs>
              <w:tab w:val="right" w:leader="dot" w:pos="9350"/>
            </w:tabs>
            <w:rPr>
              <w:rFonts w:asciiTheme="minorHAnsi" w:eastAsiaTheme="minorEastAsia" w:hAnsiTheme="minorHAnsi"/>
              <w:noProof/>
              <w:sz w:val="22"/>
            </w:rPr>
          </w:pPr>
          <w:hyperlink w:anchor="_Toc445126782" w:history="1">
            <w:r w:rsidRPr="00CC17A7">
              <w:rPr>
                <w:rStyle w:val="Hyperlink"/>
                <w:noProof/>
              </w:rPr>
              <w:t>Triple Exponential Smoothing (Holt-Winter Method)</w:t>
            </w:r>
            <w:r>
              <w:rPr>
                <w:noProof/>
                <w:webHidden/>
              </w:rPr>
              <w:tab/>
            </w:r>
            <w:r>
              <w:rPr>
                <w:noProof/>
                <w:webHidden/>
              </w:rPr>
              <w:fldChar w:fldCharType="begin"/>
            </w:r>
            <w:r>
              <w:rPr>
                <w:noProof/>
                <w:webHidden/>
              </w:rPr>
              <w:instrText xml:space="preserve"> PAGEREF _Toc445126782 \h </w:instrText>
            </w:r>
            <w:r>
              <w:rPr>
                <w:noProof/>
                <w:webHidden/>
              </w:rPr>
            </w:r>
            <w:r>
              <w:rPr>
                <w:noProof/>
                <w:webHidden/>
              </w:rPr>
              <w:fldChar w:fldCharType="separate"/>
            </w:r>
            <w:r>
              <w:rPr>
                <w:noProof/>
                <w:webHidden/>
              </w:rPr>
              <w:t>8</w:t>
            </w:r>
            <w:r>
              <w:rPr>
                <w:noProof/>
                <w:webHidden/>
              </w:rPr>
              <w:fldChar w:fldCharType="end"/>
            </w:r>
          </w:hyperlink>
        </w:p>
        <w:p w:rsidR="00306E68" w:rsidRDefault="00306E68">
          <w:pPr>
            <w:pStyle w:val="TOC2"/>
            <w:tabs>
              <w:tab w:val="right" w:leader="dot" w:pos="9350"/>
            </w:tabs>
            <w:rPr>
              <w:rFonts w:asciiTheme="minorHAnsi" w:eastAsiaTheme="minorEastAsia" w:hAnsiTheme="minorHAnsi"/>
              <w:noProof/>
              <w:sz w:val="22"/>
            </w:rPr>
          </w:pPr>
          <w:hyperlink w:anchor="_Toc445126783" w:history="1">
            <w:r w:rsidRPr="00CC17A7">
              <w:rPr>
                <w:rStyle w:val="Hyperlink"/>
                <w:noProof/>
              </w:rPr>
              <w:t>Suggested Smoothing Coefficients</w:t>
            </w:r>
            <w:r>
              <w:rPr>
                <w:noProof/>
                <w:webHidden/>
              </w:rPr>
              <w:tab/>
            </w:r>
            <w:r>
              <w:rPr>
                <w:noProof/>
                <w:webHidden/>
              </w:rPr>
              <w:fldChar w:fldCharType="begin"/>
            </w:r>
            <w:r>
              <w:rPr>
                <w:noProof/>
                <w:webHidden/>
              </w:rPr>
              <w:instrText xml:space="preserve"> PAGEREF _Toc445126783 \h </w:instrText>
            </w:r>
            <w:r>
              <w:rPr>
                <w:noProof/>
                <w:webHidden/>
              </w:rPr>
            </w:r>
            <w:r>
              <w:rPr>
                <w:noProof/>
                <w:webHidden/>
              </w:rPr>
              <w:fldChar w:fldCharType="separate"/>
            </w:r>
            <w:r>
              <w:rPr>
                <w:noProof/>
                <w:webHidden/>
              </w:rPr>
              <w:t>9</w:t>
            </w:r>
            <w:r>
              <w:rPr>
                <w:noProof/>
                <w:webHidden/>
              </w:rPr>
              <w:fldChar w:fldCharType="end"/>
            </w:r>
          </w:hyperlink>
        </w:p>
        <w:p w:rsidR="00306E68" w:rsidRDefault="00306E68">
          <w:pPr>
            <w:pStyle w:val="TOC1"/>
            <w:tabs>
              <w:tab w:val="right" w:leader="dot" w:pos="9350"/>
            </w:tabs>
            <w:rPr>
              <w:rFonts w:asciiTheme="minorHAnsi" w:eastAsiaTheme="minorEastAsia" w:hAnsiTheme="minorHAnsi"/>
              <w:noProof/>
              <w:sz w:val="22"/>
            </w:rPr>
          </w:pPr>
          <w:hyperlink w:anchor="_Toc445126784" w:history="1">
            <w:r w:rsidRPr="00CC17A7">
              <w:rPr>
                <w:rStyle w:val="Hyperlink"/>
                <w:noProof/>
              </w:rPr>
              <w:t>Additional Forecasting Methods</w:t>
            </w:r>
            <w:r>
              <w:rPr>
                <w:noProof/>
                <w:webHidden/>
              </w:rPr>
              <w:tab/>
            </w:r>
            <w:r>
              <w:rPr>
                <w:noProof/>
                <w:webHidden/>
              </w:rPr>
              <w:fldChar w:fldCharType="begin"/>
            </w:r>
            <w:r>
              <w:rPr>
                <w:noProof/>
                <w:webHidden/>
              </w:rPr>
              <w:instrText xml:space="preserve"> PAGEREF _Toc445126784 \h </w:instrText>
            </w:r>
            <w:r>
              <w:rPr>
                <w:noProof/>
                <w:webHidden/>
              </w:rPr>
            </w:r>
            <w:r>
              <w:rPr>
                <w:noProof/>
                <w:webHidden/>
              </w:rPr>
              <w:fldChar w:fldCharType="separate"/>
            </w:r>
            <w:r>
              <w:rPr>
                <w:noProof/>
                <w:webHidden/>
              </w:rPr>
              <w:t>9</w:t>
            </w:r>
            <w:r>
              <w:rPr>
                <w:noProof/>
                <w:webHidden/>
              </w:rPr>
              <w:fldChar w:fldCharType="end"/>
            </w:r>
          </w:hyperlink>
        </w:p>
        <w:p w:rsidR="00306E68" w:rsidRDefault="00306E68">
          <w:pPr>
            <w:pStyle w:val="TOC2"/>
            <w:tabs>
              <w:tab w:val="right" w:leader="dot" w:pos="9350"/>
            </w:tabs>
            <w:rPr>
              <w:rFonts w:asciiTheme="minorHAnsi" w:eastAsiaTheme="minorEastAsia" w:hAnsiTheme="minorHAnsi"/>
              <w:noProof/>
              <w:sz w:val="22"/>
            </w:rPr>
          </w:pPr>
          <w:hyperlink w:anchor="_Toc445126785" w:history="1">
            <w:r w:rsidRPr="00CC17A7">
              <w:rPr>
                <w:rStyle w:val="Hyperlink"/>
                <w:noProof/>
              </w:rPr>
              <w:t>Causal Forecasting</w:t>
            </w:r>
            <w:r>
              <w:rPr>
                <w:noProof/>
                <w:webHidden/>
              </w:rPr>
              <w:tab/>
            </w:r>
            <w:r>
              <w:rPr>
                <w:noProof/>
                <w:webHidden/>
              </w:rPr>
              <w:fldChar w:fldCharType="begin"/>
            </w:r>
            <w:r>
              <w:rPr>
                <w:noProof/>
                <w:webHidden/>
              </w:rPr>
              <w:instrText xml:space="preserve"> PAGEREF _Toc445126785 \h </w:instrText>
            </w:r>
            <w:r>
              <w:rPr>
                <w:noProof/>
                <w:webHidden/>
              </w:rPr>
            </w:r>
            <w:r>
              <w:rPr>
                <w:noProof/>
                <w:webHidden/>
              </w:rPr>
              <w:fldChar w:fldCharType="separate"/>
            </w:r>
            <w:r>
              <w:rPr>
                <w:noProof/>
                <w:webHidden/>
              </w:rPr>
              <w:t>9</w:t>
            </w:r>
            <w:r>
              <w:rPr>
                <w:noProof/>
                <w:webHidden/>
              </w:rPr>
              <w:fldChar w:fldCharType="end"/>
            </w:r>
          </w:hyperlink>
        </w:p>
        <w:p w:rsidR="00306E68" w:rsidRDefault="00306E68">
          <w:pPr>
            <w:pStyle w:val="TOC2"/>
            <w:tabs>
              <w:tab w:val="right" w:leader="dot" w:pos="9350"/>
            </w:tabs>
            <w:rPr>
              <w:rFonts w:asciiTheme="minorHAnsi" w:eastAsiaTheme="minorEastAsia" w:hAnsiTheme="minorHAnsi"/>
              <w:noProof/>
              <w:sz w:val="22"/>
            </w:rPr>
          </w:pPr>
          <w:hyperlink w:anchor="_Toc445126786" w:history="1">
            <w:r w:rsidRPr="00CC17A7">
              <w:rPr>
                <w:rStyle w:val="Hyperlink"/>
                <w:noProof/>
              </w:rPr>
              <w:t>Intermittent Demand</w:t>
            </w:r>
            <w:r>
              <w:rPr>
                <w:noProof/>
                <w:webHidden/>
              </w:rPr>
              <w:tab/>
            </w:r>
            <w:r>
              <w:rPr>
                <w:noProof/>
                <w:webHidden/>
              </w:rPr>
              <w:fldChar w:fldCharType="begin"/>
            </w:r>
            <w:r>
              <w:rPr>
                <w:noProof/>
                <w:webHidden/>
              </w:rPr>
              <w:instrText xml:space="preserve"> PAGEREF _Toc445126786 \h </w:instrText>
            </w:r>
            <w:r>
              <w:rPr>
                <w:noProof/>
                <w:webHidden/>
              </w:rPr>
            </w:r>
            <w:r>
              <w:rPr>
                <w:noProof/>
                <w:webHidden/>
              </w:rPr>
              <w:fldChar w:fldCharType="separate"/>
            </w:r>
            <w:r>
              <w:rPr>
                <w:noProof/>
                <w:webHidden/>
              </w:rPr>
              <w:t>9</w:t>
            </w:r>
            <w:r>
              <w:rPr>
                <w:noProof/>
                <w:webHidden/>
              </w:rPr>
              <w:fldChar w:fldCharType="end"/>
            </w:r>
          </w:hyperlink>
        </w:p>
        <w:p w:rsidR="00306E68" w:rsidRDefault="00306E68">
          <w:pPr>
            <w:pStyle w:val="TOC2"/>
            <w:tabs>
              <w:tab w:val="right" w:leader="dot" w:pos="9350"/>
            </w:tabs>
            <w:rPr>
              <w:rFonts w:asciiTheme="minorHAnsi" w:eastAsiaTheme="minorEastAsia" w:hAnsiTheme="minorHAnsi"/>
              <w:noProof/>
              <w:sz w:val="22"/>
            </w:rPr>
          </w:pPr>
          <w:hyperlink w:anchor="_Toc445126787" w:history="1">
            <w:r w:rsidRPr="00CC17A7">
              <w:rPr>
                <w:rStyle w:val="Hyperlink"/>
                <w:noProof/>
              </w:rPr>
              <w:t>Bass Diffusion Model</w:t>
            </w:r>
            <w:r>
              <w:rPr>
                <w:noProof/>
                <w:webHidden/>
              </w:rPr>
              <w:tab/>
            </w:r>
            <w:r>
              <w:rPr>
                <w:noProof/>
                <w:webHidden/>
              </w:rPr>
              <w:fldChar w:fldCharType="begin"/>
            </w:r>
            <w:r>
              <w:rPr>
                <w:noProof/>
                <w:webHidden/>
              </w:rPr>
              <w:instrText xml:space="preserve"> PAGEREF _Toc445126787 \h </w:instrText>
            </w:r>
            <w:r>
              <w:rPr>
                <w:noProof/>
                <w:webHidden/>
              </w:rPr>
            </w:r>
            <w:r>
              <w:rPr>
                <w:noProof/>
                <w:webHidden/>
              </w:rPr>
              <w:fldChar w:fldCharType="separate"/>
            </w:r>
            <w:r>
              <w:rPr>
                <w:noProof/>
                <w:webHidden/>
              </w:rPr>
              <w:t>9</w:t>
            </w:r>
            <w:r>
              <w:rPr>
                <w:noProof/>
                <w:webHidden/>
              </w:rPr>
              <w:fldChar w:fldCharType="end"/>
            </w:r>
          </w:hyperlink>
        </w:p>
        <w:p w:rsidR="0017505E" w:rsidRDefault="0017505E">
          <w:r>
            <w:rPr>
              <w:b/>
              <w:bCs/>
              <w:noProof/>
            </w:rPr>
            <w:fldChar w:fldCharType="end"/>
          </w:r>
        </w:p>
      </w:sdtContent>
    </w:sdt>
    <w:p w:rsidR="0017505E" w:rsidRDefault="0017505E" w:rsidP="000E6FA2"/>
    <w:p w:rsidR="004B3584" w:rsidRDefault="004B3584">
      <w:pPr>
        <w:spacing w:after="200" w:line="276" w:lineRule="auto"/>
        <w:contextualSpacing w:val="0"/>
        <w:rPr>
          <w:b/>
        </w:rPr>
      </w:pPr>
      <w:r>
        <w:br w:type="page"/>
      </w:r>
    </w:p>
    <w:p w:rsidR="0017505E" w:rsidRPr="0017505E" w:rsidRDefault="00E15781" w:rsidP="0017505E">
      <w:pPr>
        <w:pStyle w:val="Heading1"/>
      </w:pPr>
      <w:bookmarkStart w:id="0" w:name="_Toc445126771"/>
      <w:r>
        <w:lastRenderedPageBreak/>
        <w:t xml:space="preserve">High-Level </w:t>
      </w:r>
      <w:r w:rsidR="00BE38FB">
        <w:t>Context</w:t>
      </w:r>
      <w:bookmarkEnd w:id="0"/>
    </w:p>
    <w:p w:rsidR="0017505E" w:rsidRDefault="0017505E" w:rsidP="0017505E">
      <w:pPr>
        <w:pStyle w:val="Heading1"/>
      </w:pPr>
    </w:p>
    <w:p w:rsidR="00BE38FB" w:rsidRDefault="00E15781" w:rsidP="00BE38FB">
      <w:r>
        <w:t>There are three types of questions typically associated with forecasting:</w:t>
      </w:r>
    </w:p>
    <w:p w:rsidR="00BE38FB" w:rsidRDefault="00BE38FB" w:rsidP="00BE38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E38FB" w:rsidTr="00E9403F">
        <w:tc>
          <w:tcPr>
            <w:tcW w:w="4788" w:type="dxa"/>
            <w:tcBorders>
              <w:bottom w:val="single" w:sz="4" w:space="0" w:color="auto"/>
            </w:tcBorders>
          </w:tcPr>
          <w:p w:rsidR="00BE38FB" w:rsidRDefault="00BE38FB" w:rsidP="00BE38FB">
            <w:r>
              <w:t>Question</w:t>
            </w:r>
          </w:p>
        </w:tc>
        <w:tc>
          <w:tcPr>
            <w:tcW w:w="4788" w:type="dxa"/>
            <w:tcBorders>
              <w:bottom w:val="single" w:sz="4" w:space="0" w:color="auto"/>
            </w:tcBorders>
          </w:tcPr>
          <w:p w:rsidR="00BE38FB" w:rsidRDefault="00BE38FB" w:rsidP="00BE38FB">
            <w:r>
              <w:t>Forecast Types</w:t>
            </w:r>
          </w:p>
        </w:tc>
      </w:tr>
      <w:tr w:rsidR="00BE38FB" w:rsidTr="00E9403F">
        <w:tc>
          <w:tcPr>
            <w:tcW w:w="4788" w:type="dxa"/>
            <w:tcBorders>
              <w:top w:val="single" w:sz="4" w:space="0" w:color="auto"/>
              <w:bottom w:val="single" w:sz="4" w:space="0" w:color="auto"/>
            </w:tcBorders>
          </w:tcPr>
          <w:p w:rsidR="00BE38FB" w:rsidRDefault="00BE38FB" w:rsidP="00BE38FB">
            <w:r>
              <w:t>What should we do to shape and create demand for our product?</w:t>
            </w:r>
          </w:p>
        </w:tc>
        <w:tc>
          <w:tcPr>
            <w:tcW w:w="4788" w:type="dxa"/>
            <w:tcBorders>
              <w:top w:val="single" w:sz="4" w:space="0" w:color="auto"/>
              <w:bottom w:val="single" w:sz="4" w:space="0" w:color="auto"/>
            </w:tcBorders>
          </w:tcPr>
          <w:p w:rsidR="00BE38FB" w:rsidRDefault="00BE38FB" w:rsidP="00BE38FB">
            <w:r>
              <w:t>Demand Planning</w:t>
            </w:r>
          </w:p>
          <w:p w:rsidR="00BE38FB" w:rsidRDefault="00BE38FB" w:rsidP="00BE38FB">
            <w:pPr>
              <w:pStyle w:val="ListParagraph"/>
              <w:numPr>
                <w:ilvl w:val="0"/>
                <w:numId w:val="26"/>
              </w:numPr>
            </w:pPr>
            <w:r>
              <w:t>Product &amp; Packaging</w:t>
            </w:r>
          </w:p>
          <w:p w:rsidR="00BE38FB" w:rsidRDefault="00BE38FB" w:rsidP="00BE38FB">
            <w:pPr>
              <w:pStyle w:val="ListParagraph"/>
              <w:numPr>
                <w:ilvl w:val="0"/>
                <w:numId w:val="26"/>
              </w:numPr>
            </w:pPr>
            <w:r>
              <w:t>Promotions</w:t>
            </w:r>
          </w:p>
          <w:p w:rsidR="00BE38FB" w:rsidRDefault="00BE38FB" w:rsidP="00BE38FB">
            <w:pPr>
              <w:pStyle w:val="ListParagraph"/>
              <w:numPr>
                <w:ilvl w:val="0"/>
                <w:numId w:val="26"/>
              </w:numPr>
            </w:pPr>
            <w:r>
              <w:t>Pricing</w:t>
            </w:r>
          </w:p>
          <w:p w:rsidR="00BE38FB" w:rsidRDefault="00BE38FB" w:rsidP="00BE38FB">
            <w:pPr>
              <w:pStyle w:val="ListParagraph"/>
              <w:numPr>
                <w:ilvl w:val="0"/>
                <w:numId w:val="26"/>
              </w:numPr>
            </w:pPr>
            <w:r>
              <w:t>Place</w:t>
            </w:r>
          </w:p>
        </w:tc>
      </w:tr>
      <w:tr w:rsidR="00BE38FB" w:rsidTr="00E9403F">
        <w:tc>
          <w:tcPr>
            <w:tcW w:w="4788" w:type="dxa"/>
            <w:tcBorders>
              <w:top w:val="single" w:sz="4" w:space="0" w:color="auto"/>
              <w:bottom w:val="single" w:sz="4" w:space="0" w:color="auto"/>
            </w:tcBorders>
          </w:tcPr>
          <w:p w:rsidR="00BE38FB" w:rsidRDefault="00BE38FB" w:rsidP="00BE38FB">
            <w:r>
              <w:t>What should we expect demand to be given the demand plan in place?</w:t>
            </w:r>
          </w:p>
        </w:tc>
        <w:tc>
          <w:tcPr>
            <w:tcW w:w="4788" w:type="dxa"/>
            <w:tcBorders>
              <w:top w:val="single" w:sz="4" w:space="0" w:color="auto"/>
              <w:bottom w:val="single" w:sz="4" w:space="0" w:color="auto"/>
            </w:tcBorders>
          </w:tcPr>
          <w:p w:rsidR="00BE38FB" w:rsidRDefault="00BE38FB" w:rsidP="00BE38FB">
            <w:r>
              <w:t>Demand Forecasting</w:t>
            </w:r>
          </w:p>
          <w:p w:rsidR="00BE38FB" w:rsidRDefault="00BE38FB" w:rsidP="00BE38FB">
            <w:pPr>
              <w:pStyle w:val="ListParagraph"/>
              <w:numPr>
                <w:ilvl w:val="0"/>
                <w:numId w:val="26"/>
              </w:numPr>
            </w:pPr>
            <w:r>
              <w:t>Strategic, Tactical, Operational</w:t>
            </w:r>
          </w:p>
          <w:p w:rsidR="00BE38FB" w:rsidRDefault="00BE38FB" w:rsidP="00BE38FB">
            <w:pPr>
              <w:pStyle w:val="ListParagraph"/>
              <w:numPr>
                <w:ilvl w:val="0"/>
                <w:numId w:val="26"/>
              </w:numPr>
            </w:pPr>
            <w:r>
              <w:t>Considers internal &amp; external factors</w:t>
            </w:r>
          </w:p>
          <w:p w:rsidR="00BE38FB" w:rsidRDefault="00BE38FB" w:rsidP="00BE38FB">
            <w:pPr>
              <w:pStyle w:val="ListParagraph"/>
              <w:numPr>
                <w:ilvl w:val="0"/>
                <w:numId w:val="26"/>
              </w:numPr>
            </w:pPr>
            <w:r>
              <w:t>Baseline, unbiased, &amp; unconstrained</w:t>
            </w:r>
          </w:p>
        </w:tc>
      </w:tr>
      <w:tr w:rsidR="00BE38FB" w:rsidTr="00E9403F">
        <w:tc>
          <w:tcPr>
            <w:tcW w:w="4788" w:type="dxa"/>
            <w:tcBorders>
              <w:top w:val="single" w:sz="4" w:space="0" w:color="auto"/>
            </w:tcBorders>
          </w:tcPr>
          <w:p w:rsidR="00BE38FB" w:rsidRDefault="00BE38FB" w:rsidP="00BE38FB">
            <w:r>
              <w:t>How do we prepare for and act on demand when it materializes?</w:t>
            </w:r>
          </w:p>
        </w:tc>
        <w:tc>
          <w:tcPr>
            <w:tcW w:w="4788" w:type="dxa"/>
            <w:tcBorders>
              <w:top w:val="single" w:sz="4" w:space="0" w:color="auto"/>
            </w:tcBorders>
          </w:tcPr>
          <w:p w:rsidR="00BE38FB" w:rsidRDefault="00BE38FB" w:rsidP="00BE38FB">
            <w:r>
              <w:t>Demand Management</w:t>
            </w:r>
          </w:p>
          <w:p w:rsidR="00BE38FB" w:rsidRDefault="00BE38FB" w:rsidP="00BE38FB">
            <w:pPr>
              <w:pStyle w:val="ListParagraph"/>
              <w:numPr>
                <w:ilvl w:val="0"/>
                <w:numId w:val="26"/>
              </w:numPr>
            </w:pPr>
            <w:r>
              <w:t>Balances demand &amp; supply</w:t>
            </w:r>
          </w:p>
          <w:p w:rsidR="00BE38FB" w:rsidRDefault="00BE38FB" w:rsidP="00BE38FB">
            <w:pPr>
              <w:pStyle w:val="ListParagraph"/>
              <w:numPr>
                <w:ilvl w:val="0"/>
                <w:numId w:val="26"/>
              </w:numPr>
            </w:pPr>
            <w:r>
              <w:t>Sales &amp; operations planning (S&amp;OP)</w:t>
            </w:r>
          </w:p>
          <w:p w:rsidR="00BE38FB" w:rsidRDefault="00BE38FB" w:rsidP="00BE38FB">
            <w:pPr>
              <w:pStyle w:val="ListParagraph"/>
              <w:numPr>
                <w:ilvl w:val="0"/>
                <w:numId w:val="26"/>
              </w:numPr>
            </w:pPr>
            <w:r>
              <w:t>Bridges both sides of a firm</w:t>
            </w:r>
          </w:p>
        </w:tc>
      </w:tr>
    </w:tbl>
    <w:p w:rsidR="00BE38FB" w:rsidRDefault="00BE38FB" w:rsidP="00BE38FB"/>
    <w:p w:rsidR="00BE38FB" w:rsidRDefault="00E15781" w:rsidP="00BE38FB">
      <w:r>
        <w:t>Forecasting can also be done at three different time horizons:</w:t>
      </w:r>
    </w:p>
    <w:p w:rsidR="00E15781" w:rsidRDefault="00E15781" w:rsidP="00BE38FB"/>
    <w:tbl>
      <w:tblPr>
        <w:tblStyle w:val="TableGrid"/>
        <w:tblW w:w="9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08"/>
        <w:gridCol w:w="2437"/>
        <w:gridCol w:w="5220"/>
      </w:tblGrid>
      <w:tr w:rsidR="00E15781" w:rsidRPr="00E15781" w:rsidTr="00E15781">
        <w:tc>
          <w:tcPr>
            <w:tcW w:w="1908" w:type="dxa"/>
            <w:tcBorders>
              <w:bottom w:val="single" w:sz="4" w:space="0" w:color="auto"/>
            </w:tcBorders>
          </w:tcPr>
          <w:p w:rsidR="00E15781" w:rsidRPr="00E15781" w:rsidRDefault="00E15781" w:rsidP="00BE38FB">
            <w:pPr>
              <w:rPr>
                <w:sz w:val="22"/>
              </w:rPr>
            </w:pPr>
            <w:r w:rsidRPr="00E15781">
              <w:rPr>
                <w:sz w:val="22"/>
              </w:rPr>
              <w:t>Level</w:t>
            </w:r>
          </w:p>
        </w:tc>
        <w:tc>
          <w:tcPr>
            <w:tcW w:w="2437" w:type="dxa"/>
            <w:tcBorders>
              <w:bottom w:val="single" w:sz="4" w:space="0" w:color="auto"/>
            </w:tcBorders>
          </w:tcPr>
          <w:p w:rsidR="00E15781" w:rsidRPr="00E15781" w:rsidRDefault="00E15781" w:rsidP="00BE38FB">
            <w:pPr>
              <w:rPr>
                <w:sz w:val="22"/>
              </w:rPr>
            </w:pPr>
            <w:r w:rsidRPr="00E15781">
              <w:rPr>
                <w:sz w:val="22"/>
              </w:rPr>
              <w:t>Horizon</w:t>
            </w:r>
          </w:p>
        </w:tc>
        <w:tc>
          <w:tcPr>
            <w:tcW w:w="5220" w:type="dxa"/>
            <w:tcBorders>
              <w:bottom w:val="single" w:sz="4" w:space="0" w:color="auto"/>
            </w:tcBorders>
          </w:tcPr>
          <w:p w:rsidR="00E15781" w:rsidRPr="00E15781" w:rsidRDefault="00E15781" w:rsidP="00BE38FB">
            <w:pPr>
              <w:rPr>
                <w:sz w:val="22"/>
              </w:rPr>
            </w:pPr>
            <w:r w:rsidRPr="00E15781">
              <w:rPr>
                <w:sz w:val="22"/>
              </w:rPr>
              <w:t>Purposes</w:t>
            </w:r>
          </w:p>
        </w:tc>
      </w:tr>
      <w:tr w:rsidR="00E15781" w:rsidRPr="00E15781" w:rsidTr="00E15781">
        <w:tc>
          <w:tcPr>
            <w:tcW w:w="1908" w:type="dxa"/>
            <w:tcBorders>
              <w:top w:val="single" w:sz="4" w:space="0" w:color="auto"/>
              <w:bottom w:val="single" w:sz="4" w:space="0" w:color="auto"/>
            </w:tcBorders>
          </w:tcPr>
          <w:p w:rsidR="00E15781" w:rsidRPr="00E15781" w:rsidRDefault="00E15781" w:rsidP="00BE38FB">
            <w:pPr>
              <w:rPr>
                <w:sz w:val="22"/>
              </w:rPr>
            </w:pPr>
            <w:r w:rsidRPr="00E15781">
              <w:rPr>
                <w:sz w:val="22"/>
              </w:rPr>
              <w:t>Strategic</w:t>
            </w:r>
          </w:p>
        </w:tc>
        <w:tc>
          <w:tcPr>
            <w:tcW w:w="2437" w:type="dxa"/>
            <w:tcBorders>
              <w:top w:val="single" w:sz="4" w:space="0" w:color="auto"/>
              <w:bottom w:val="single" w:sz="4" w:space="0" w:color="auto"/>
            </w:tcBorders>
          </w:tcPr>
          <w:p w:rsidR="00E15781" w:rsidRPr="00E15781" w:rsidRDefault="00E15781" w:rsidP="00BE38FB">
            <w:pPr>
              <w:rPr>
                <w:sz w:val="22"/>
              </w:rPr>
            </w:pPr>
            <w:r w:rsidRPr="00E15781">
              <w:rPr>
                <w:sz w:val="22"/>
              </w:rPr>
              <w:t>Year/Years</w:t>
            </w:r>
          </w:p>
        </w:tc>
        <w:tc>
          <w:tcPr>
            <w:tcW w:w="5220" w:type="dxa"/>
            <w:tcBorders>
              <w:top w:val="single" w:sz="4" w:space="0" w:color="auto"/>
              <w:bottom w:val="single" w:sz="4" w:space="0" w:color="auto"/>
            </w:tcBorders>
          </w:tcPr>
          <w:p w:rsidR="00E15781" w:rsidRPr="00E15781" w:rsidRDefault="00E15781" w:rsidP="00E15781">
            <w:pPr>
              <w:pStyle w:val="ListParagraph"/>
              <w:numPr>
                <w:ilvl w:val="0"/>
                <w:numId w:val="26"/>
              </w:numPr>
              <w:ind w:left="342"/>
              <w:rPr>
                <w:sz w:val="22"/>
              </w:rPr>
            </w:pPr>
            <w:r w:rsidRPr="00E15781">
              <w:rPr>
                <w:sz w:val="22"/>
              </w:rPr>
              <w:t>Business planning</w:t>
            </w:r>
          </w:p>
          <w:p w:rsidR="00E15781" w:rsidRPr="00E15781" w:rsidRDefault="00E15781" w:rsidP="00E15781">
            <w:pPr>
              <w:pStyle w:val="ListParagraph"/>
              <w:numPr>
                <w:ilvl w:val="0"/>
                <w:numId w:val="26"/>
              </w:numPr>
              <w:ind w:left="342"/>
              <w:rPr>
                <w:sz w:val="22"/>
              </w:rPr>
            </w:pPr>
            <w:r w:rsidRPr="00E15781">
              <w:rPr>
                <w:sz w:val="22"/>
              </w:rPr>
              <w:t>Capacity planning</w:t>
            </w:r>
          </w:p>
          <w:p w:rsidR="00E15781" w:rsidRPr="00E15781" w:rsidRDefault="00E15781" w:rsidP="00E15781">
            <w:pPr>
              <w:pStyle w:val="ListParagraph"/>
              <w:numPr>
                <w:ilvl w:val="0"/>
                <w:numId w:val="26"/>
              </w:numPr>
              <w:ind w:left="342"/>
              <w:rPr>
                <w:sz w:val="22"/>
              </w:rPr>
            </w:pPr>
            <w:r w:rsidRPr="00E15781">
              <w:rPr>
                <w:sz w:val="22"/>
              </w:rPr>
              <w:t>Investment strategies</w:t>
            </w:r>
          </w:p>
        </w:tc>
      </w:tr>
      <w:tr w:rsidR="00E15781" w:rsidRPr="00E15781" w:rsidTr="00E15781">
        <w:tc>
          <w:tcPr>
            <w:tcW w:w="1908" w:type="dxa"/>
            <w:vMerge w:val="restart"/>
            <w:tcBorders>
              <w:top w:val="single" w:sz="4" w:space="0" w:color="auto"/>
            </w:tcBorders>
            <w:vAlign w:val="center"/>
          </w:tcPr>
          <w:p w:rsidR="00E15781" w:rsidRPr="00E15781" w:rsidRDefault="00E15781" w:rsidP="00E15781">
            <w:pPr>
              <w:rPr>
                <w:sz w:val="22"/>
              </w:rPr>
            </w:pPr>
            <w:r w:rsidRPr="00E15781">
              <w:rPr>
                <w:sz w:val="22"/>
              </w:rPr>
              <w:t>Tactical</w:t>
            </w:r>
          </w:p>
          <w:p w:rsidR="00E15781" w:rsidRPr="00E15781" w:rsidRDefault="00E15781" w:rsidP="00E15781">
            <w:pPr>
              <w:rPr>
                <w:sz w:val="22"/>
              </w:rPr>
            </w:pPr>
          </w:p>
        </w:tc>
        <w:tc>
          <w:tcPr>
            <w:tcW w:w="2437" w:type="dxa"/>
            <w:tcBorders>
              <w:top w:val="single" w:sz="4" w:space="0" w:color="auto"/>
            </w:tcBorders>
          </w:tcPr>
          <w:p w:rsidR="00E15781" w:rsidRPr="00E15781" w:rsidRDefault="00E15781" w:rsidP="00BE38FB">
            <w:pPr>
              <w:rPr>
                <w:sz w:val="22"/>
              </w:rPr>
            </w:pPr>
            <w:r w:rsidRPr="00E15781">
              <w:rPr>
                <w:sz w:val="22"/>
              </w:rPr>
              <w:t>Quarterly</w:t>
            </w:r>
          </w:p>
        </w:tc>
        <w:tc>
          <w:tcPr>
            <w:tcW w:w="5220" w:type="dxa"/>
            <w:tcBorders>
              <w:top w:val="single" w:sz="4" w:space="0" w:color="auto"/>
            </w:tcBorders>
          </w:tcPr>
          <w:p w:rsidR="00E15781" w:rsidRPr="00E15781" w:rsidRDefault="00E15781" w:rsidP="00E15781">
            <w:pPr>
              <w:pStyle w:val="ListParagraph"/>
              <w:numPr>
                <w:ilvl w:val="0"/>
                <w:numId w:val="26"/>
              </w:numPr>
              <w:ind w:left="342"/>
              <w:rPr>
                <w:sz w:val="22"/>
              </w:rPr>
            </w:pPr>
            <w:r w:rsidRPr="00E15781">
              <w:rPr>
                <w:sz w:val="22"/>
              </w:rPr>
              <w:t>Brand plans</w:t>
            </w:r>
          </w:p>
          <w:p w:rsidR="00E15781" w:rsidRPr="00E15781" w:rsidRDefault="00E15781" w:rsidP="00E15781">
            <w:pPr>
              <w:pStyle w:val="ListParagraph"/>
              <w:numPr>
                <w:ilvl w:val="0"/>
                <w:numId w:val="26"/>
              </w:numPr>
              <w:ind w:left="342"/>
              <w:rPr>
                <w:sz w:val="22"/>
              </w:rPr>
            </w:pPr>
            <w:r w:rsidRPr="00E15781">
              <w:rPr>
                <w:sz w:val="22"/>
              </w:rPr>
              <w:t>Budgeting</w:t>
            </w:r>
          </w:p>
          <w:p w:rsidR="00E15781" w:rsidRPr="00E15781" w:rsidRDefault="00E15781" w:rsidP="00E15781">
            <w:pPr>
              <w:pStyle w:val="ListParagraph"/>
              <w:numPr>
                <w:ilvl w:val="0"/>
                <w:numId w:val="26"/>
              </w:numPr>
              <w:ind w:left="342"/>
              <w:rPr>
                <w:sz w:val="22"/>
              </w:rPr>
            </w:pPr>
            <w:r w:rsidRPr="00E15781">
              <w:rPr>
                <w:sz w:val="22"/>
              </w:rPr>
              <w:t>Sales Planning</w:t>
            </w:r>
          </w:p>
          <w:p w:rsidR="00E15781" w:rsidRPr="00E15781" w:rsidRDefault="00E15781" w:rsidP="00E15781">
            <w:pPr>
              <w:pStyle w:val="ListParagraph"/>
              <w:numPr>
                <w:ilvl w:val="0"/>
                <w:numId w:val="26"/>
              </w:numPr>
              <w:ind w:left="342"/>
              <w:rPr>
                <w:sz w:val="22"/>
              </w:rPr>
            </w:pPr>
            <w:r w:rsidRPr="00E15781">
              <w:rPr>
                <w:sz w:val="22"/>
              </w:rPr>
              <w:t>Manpower Planning</w:t>
            </w:r>
          </w:p>
        </w:tc>
      </w:tr>
      <w:tr w:rsidR="00E15781" w:rsidRPr="00E15781" w:rsidTr="00E15781">
        <w:tc>
          <w:tcPr>
            <w:tcW w:w="1908" w:type="dxa"/>
            <w:vMerge/>
            <w:tcBorders>
              <w:bottom w:val="single" w:sz="4" w:space="0" w:color="auto"/>
            </w:tcBorders>
          </w:tcPr>
          <w:p w:rsidR="00E15781" w:rsidRPr="00E15781" w:rsidRDefault="00E15781" w:rsidP="00BE38FB">
            <w:pPr>
              <w:rPr>
                <w:sz w:val="22"/>
              </w:rPr>
            </w:pPr>
          </w:p>
        </w:tc>
        <w:tc>
          <w:tcPr>
            <w:tcW w:w="2437" w:type="dxa"/>
            <w:tcBorders>
              <w:bottom w:val="single" w:sz="4" w:space="0" w:color="auto"/>
            </w:tcBorders>
          </w:tcPr>
          <w:p w:rsidR="00E15781" w:rsidRPr="00E15781" w:rsidRDefault="00E15781" w:rsidP="00BE38FB">
            <w:pPr>
              <w:rPr>
                <w:sz w:val="22"/>
              </w:rPr>
            </w:pPr>
            <w:r w:rsidRPr="00E15781">
              <w:rPr>
                <w:sz w:val="22"/>
              </w:rPr>
              <w:t>Months/Weeks</w:t>
            </w:r>
          </w:p>
        </w:tc>
        <w:tc>
          <w:tcPr>
            <w:tcW w:w="5220" w:type="dxa"/>
            <w:tcBorders>
              <w:bottom w:val="single" w:sz="4" w:space="0" w:color="auto"/>
            </w:tcBorders>
          </w:tcPr>
          <w:p w:rsidR="00E15781" w:rsidRPr="00E15781" w:rsidRDefault="00E15781" w:rsidP="00E15781">
            <w:pPr>
              <w:pStyle w:val="ListParagraph"/>
              <w:numPr>
                <w:ilvl w:val="0"/>
                <w:numId w:val="26"/>
              </w:numPr>
              <w:ind w:left="342"/>
              <w:rPr>
                <w:sz w:val="22"/>
              </w:rPr>
            </w:pPr>
            <w:r w:rsidRPr="00E15781">
              <w:rPr>
                <w:sz w:val="22"/>
              </w:rPr>
              <w:t>Short-term capacity planning</w:t>
            </w:r>
          </w:p>
          <w:p w:rsidR="00E15781" w:rsidRPr="00E15781" w:rsidRDefault="00E15781" w:rsidP="00E15781">
            <w:pPr>
              <w:pStyle w:val="ListParagraph"/>
              <w:numPr>
                <w:ilvl w:val="0"/>
                <w:numId w:val="26"/>
              </w:numPr>
              <w:ind w:left="342"/>
              <w:rPr>
                <w:sz w:val="22"/>
              </w:rPr>
            </w:pPr>
            <w:r w:rsidRPr="00E15781">
              <w:rPr>
                <w:sz w:val="22"/>
              </w:rPr>
              <w:t>Master planning</w:t>
            </w:r>
          </w:p>
          <w:p w:rsidR="00E15781" w:rsidRPr="00E15781" w:rsidRDefault="00E15781" w:rsidP="00E15781">
            <w:pPr>
              <w:pStyle w:val="ListParagraph"/>
              <w:numPr>
                <w:ilvl w:val="0"/>
                <w:numId w:val="26"/>
              </w:numPr>
              <w:ind w:left="342"/>
              <w:rPr>
                <w:sz w:val="22"/>
              </w:rPr>
            </w:pPr>
            <w:r w:rsidRPr="00E15781">
              <w:rPr>
                <w:sz w:val="22"/>
              </w:rPr>
              <w:t>Inventory Planning</w:t>
            </w:r>
          </w:p>
        </w:tc>
      </w:tr>
      <w:tr w:rsidR="00E15781" w:rsidRPr="00E15781" w:rsidTr="00E15781">
        <w:tc>
          <w:tcPr>
            <w:tcW w:w="1908" w:type="dxa"/>
            <w:tcBorders>
              <w:top w:val="single" w:sz="4" w:space="0" w:color="auto"/>
            </w:tcBorders>
          </w:tcPr>
          <w:p w:rsidR="00E15781" w:rsidRPr="00E15781" w:rsidRDefault="00E15781" w:rsidP="00BE38FB">
            <w:pPr>
              <w:rPr>
                <w:sz w:val="22"/>
              </w:rPr>
            </w:pPr>
            <w:r w:rsidRPr="00E15781">
              <w:rPr>
                <w:sz w:val="22"/>
              </w:rPr>
              <w:t>Operational</w:t>
            </w:r>
          </w:p>
        </w:tc>
        <w:tc>
          <w:tcPr>
            <w:tcW w:w="2437" w:type="dxa"/>
            <w:tcBorders>
              <w:top w:val="single" w:sz="4" w:space="0" w:color="auto"/>
            </w:tcBorders>
          </w:tcPr>
          <w:p w:rsidR="00E15781" w:rsidRPr="00E15781" w:rsidRDefault="00E15781" w:rsidP="00BE38FB">
            <w:pPr>
              <w:rPr>
                <w:sz w:val="22"/>
              </w:rPr>
            </w:pPr>
            <w:r w:rsidRPr="00E15781">
              <w:rPr>
                <w:sz w:val="22"/>
              </w:rPr>
              <w:t>Days/Hours</w:t>
            </w:r>
          </w:p>
        </w:tc>
        <w:tc>
          <w:tcPr>
            <w:tcW w:w="5220" w:type="dxa"/>
            <w:tcBorders>
              <w:top w:val="single" w:sz="4" w:space="0" w:color="auto"/>
            </w:tcBorders>
          </w:tcPr>
          <w:p w:rsidR="00E15781" w:rsidRPr="00E15781" w:rsidRDefault="00E15781" w:rsidP="00E15781">
            <w:pPr>
              <w:pStyle w:val="ListParagraph"/>
              <w:numPr>
                <w:ilvl w:val="0"/>
                <w:numId w:val="26"/>
              </w:numPr>
              <w:ind w:left="342"/>
              <w:rPr>
                <w:sz w:val="22"/>
              </w:rPr>
            </w:pPr>
            <w:r w:rsidRPr="00E15781">
              <w:rPr>
                <w:sz w:val="22"/>
              </w:rPr>
              <w:t>Transportation planning</w:t>
            </w:r>
          </w:p>
          <w:p w:rsidR="00E15781" w:rsidRPr="00E15781" w:rsidRDefault="00E15781" w:rsidP="00E15781">
            <w:pPr>
              <w:pStyle w:val="ListParagraph"/>
              <w:numPr>
                <w:ilvl w:val="0"/>
                <w:numId w:val="26"/>
              </w:numPr>
              <w:ind w:left="342"/>
              <w:rPr>
                <w:sz w:val="22"/>
              </w:rPr>
            </w:pPr>
            <w:r w:rsidRPr="00E15781">
              <w:rPr>
                <w:sz w:val="22"/>
              </w:rPr>
              <w:t>Production planning</w:t>
            </w:r>
          </w:p>
          <w:p w:rsidR="00E15781" w:rsidRPr="00E15781" w:rsidRDefault="00E15781" w:rsidP="00E15781">
            <w:pPr>
              <w:pStyle w:val="ListParagraph"/>
              <w:numPr>
                <w:ilvl w:val="0"/>
                <w:numId w:val="26"/>
              </w:numPr>
              <w:ind w:left="342"/>
              <w:rPr>
                <w:sz w:val="22"/>
              </w:rPr>
            </w:pPr>
            <w:r w:rsidRPr="00E15781">
              <w:rPr>
                <w:sz w:val="22"/>
              </w:rPr>
              <w:t>Inventory deployment</w:t>
            </w:r>
          </w:p>
        </w:tc>
      </w:tr>
    </w:tbl>
    <w:p w:rsidR="00E15781" w:rsidRPr="00E15781" w:rsidRDefault="00E15781" w:rsidP="00BE38FB">
      <w:pPr>
        <w:rPr>
          <w:sz w:val="22"/>
        </w:rPr>
      </w:pPr>
    </w:p>
    <w:p w:rsidR="00E15781" w:rsidRDefault="00E15781" w:rsidP="00BE38FB">
      <w:r>
        <w:t>Forecasting Truisms:</w:t>
      </w:r>
    </w:p>
    <w:p w:rsidR="00E15781" w:rsidRDefault="00E15781" w:rsidP="00BE38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15781" w:rsidTr="00E15781">
        <w:tc>
          <w:tcPr>
            <w:tcW w:w="4788" w:type="dxa"/>
            <w:tcBorders>
              <w:bottom w:val="single" w:sz="4" w:space="0" w:color="auto"/>
            </w:tcBorders>
          </w:tcPr>
          <w:p w:rsidR="00E15781" w:rsidRDefault="00E15781" w:rsidP="00BE38FB">
            <w:r>
              <w:t>Truism:</w:t>
            </w:r>
          </w:p>
        </w:tc>
        <w:tc>
          <w:tcPr>
            <w:tcW w:w="4788" w:type="dxa"/>
            <w:tcBorders>
              <w:bottom w:val="single" w:sz="4" w:space="0" w:color="auto"/>
            </w:tcBorders>
          </w:tcPr>
          <w:p w:rsidR="00E15781" w:rsidRDefault="00E15781" w:rsidP="00BE38FB">
            <w:r>
              <w:t>Suggestion</w:t>
            </w:r>
          </w:p>
        </w:tc>
      </w:tr>
      <w:tr w:rsidR="00E15781" w:rsidTr="00E15781">
        <w:tc>
          <w:tcPr>
            <w:tcW w:w="4788" w:type="dxa"/>
            <w:tcBorders>
              <w:top w:val="single" w:sz="4" w:space="0" w:color="auto"/>
            </w:tcBorders>
          </w:tcPr>
          <w:p w:rsidR="00E15781" w:rsidRDefault="00E15781" w:rsidP="00BE38FB">
            <w:r>
              <w:t>1. Forecasts are always wrong</w:t>
            </w:r>
          </w:p>
        </w:tc>
        <w:tc>
          <w:tcPr>
            <w:tcW w:w="4788" w:type="dxa"/>
            <w:tcBorders>
              <w:top w:val="single" w:sz="4" w:space="0" w:color="auto"/>
            </w:tcBorders>
          </w:tcPr>
          <w:p w:rsidR="00E15781" w:rsidRDefault="00E15781" w:rsidP="00BE38FB">
            <w:r>
              <w:t>Use range forecasts and track forecast error</w:t>
            </w:r>
          </w:p>
        </w:tc>
      </w:tr>
      <w:tr w:rsidR="00E15781" w:rsidTr="00E15781">
        <w:tc>
          <w:tcPr>
            <w:tcW w:w="4788" w:type="dxa"/>
          </w:tcPr>
          <w:p w:rsidR="00E15781" w:rsidRDefault="00E15781" w:rsidP="00BE38FB">
            <w:r>
              <w:t>2. Aggregated forecasts are more accurate</w:t>
            </w:r>
          </w:p>
        </w:tc>
        <w:tc>
          <w:tcPr>
            <w:tcW w:w="4788" w:type="dxa"/>
          </w:tcPr>
          <w:p w:rsidR="00E15781" w:rsidRDefault="00E15781" w:rsidP="00BE38FB">
            <w:r>
              <w:t>Risk-pooling reduces coefficient of variation</w:t>
            </w:r>
          </w:p>
        </w:tc>
      </w:tr>
      <w:tr w:rsidR="00E15781" w:rsidTr="00E15781">
        <w:tc>
          <w:tcPr>
            <w:tcW w:w="4788" w:type="dxa"/>
          </w:tcPr>
          <w:p w:rsidR="00E15781" w:rsidRDefault="00E15781" w:rsidP="00BE38FB">
            <w:r>
              <w:t>3. Shorter horizon forecasts are more accurate</w:t>
            </w:r>
          </w:p>
        </w:tc>
        <w:tc>
          <w:tcPr>
            <w:tcW w:w="4788" w:type="dxa"/>
          </w:tcPr>
          <w:p w:rsidR="00E15781" w:rsidRDefault="00E15781" w:rsidP="00BE38FB">
            <w:r>
              <w:t>Postpone customization until as late as possible</w:t>
            </w:r>
          </w:p>
        </w:tc>
      </w:tr>
    </w:tbl>
    <w:p w:rsidR="00E15781" w:rsidRDefault="00E15781" w:rsidP="00BE38FB"/>
    <w:p w:rsidR="00E15781" w:rsidRDefault="00E15781" w:rsidP="00BE38FB"/>
    <w:p w:rsidR="00E15781" w:rsidRDefault="00CF149E" w:rsidP="00CF149E">
      <w:pPr>
        <w:pStyle w:val="Heading1"/>
      </w:pPr>
      <w:bookmarkStart w:id="1" w:name="_Toc445126772"/>
      <w:r>
        <w:t>Fundamental Forecasting Approaches</w:t>
      </w:r>
      <w:bookmarkEnd w:id="1"/>
    </w:p>
    <w:p w:rsidR="00CF149E" w:rsidRDefault="00CF149E" w:rsidP="00BE38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F149E" w:rsidTr="00CF149E">
        <w:tc>
          <w:tcPr>
            <w:tcW w:w="4788" w:type="dxa"/>
            <w:tcBorders>
              <w:bottom w:val="single" w:sz="4" w:space="0" w:color="auto"/>
              <w:right w:val="single" w:sz="4" w:space="0" w:color="auto"/>
            </w:tcBorders>
          </w:tcPr>
          <w:p w:rsidR="00CF149E" w:rsidRDefault="00CF149E" w:rsidP="00BE38FB">
            <w:r>
              <w:t>Subjective</w:t>
            </w:r>
          </w:p>
        </w:tc>
        <w:tc>
          <w:tcPr>
            <w:tcW w:w="4788" w:type="dxa"/>
            <w:tcBorders>
              <w:left w:val="single" w:sz="4" w:space="0" w:color="auto"/>
              <w:bottom w:val="single" w:sz="4" w:space="0" w:color="auto"/>
            </w:tcBorders>
          </w:tcPr>
          <w:p w:rsidR="00CF149E" w:rsidRDefault="00CF149E" w:rsidP="00BE38FB">
            <w:r>
              <w:t>Objective</w:t>
            </w:r>
          </w:p>
        </w:tc>
      </w:tr>
      <w:tr w:rsidR="00CF149E" w:rsidTr="00CF149E">
        <w:tc>
          <w:tcPr>
            <w:tcW w:w="4788" w:type="dxa"/>
            <w:tcBorders>
              <w:top w:val="single" w:sz="4" w:space="0" w:color="auto"/>
              <w:right w:val="single" w:sz="4" w:space="0" w:color="auto"/>
            </w:tcBorders>
          </w:tcPr>
          <w:p w:rsidR="00CF149E" w:rsidRDefault="00CF149E" w:rsidP="00BE38FB">
            <w:r>
              <w:t>Judgmental:</w:t>
            </w:r>
          </w:p>
          <w:p w:rsidR="00CF149E" w:rsidRDefault="00CF149E" w:rsidP="00CF149E">
            <w:pPr>
              <w:pStyle w:val="ListParagraph"/>
              <w:numPr>
                <w:ilvl w:val="0"/>
                <w:numId w:val="26"/>
              </w:numPr>
            </w:pPr>
            <w:r>
              <w:t>Sales force survey</w:t>
            </w:r>
          </w:p>
          <w:p w:rsidR="00CF149E" w:rsidRDefault="00CF149E" w:rsidP="00CF149E">
            <w:pPr>
              <w:pStyle w:val="ListParagraph"/>
              <w:numPr>
                <w:ilvl w:val="0"/>
                <w:numId w:val="26"/>
              </w:numPr>
            </w:pPr>
            <w:r>
              <w:t>Jury of experts</w:t>
            </w:r>
          </w:p>
          <w:p w:rsidR="00CF149E" w:rsidRDefault="00CF149E" w:rsidP="00CF149E">
            <w:pPr>
              <w:pStyle w:val="ListParagraph"/>
              <w:numPr>
                <w:ilvl w:val="0"/>
                <w:numId w:val="26"/>
              </w:numPr>
            </w:pPr>
            <w:r>
              <w:t>Delphi techniques</w:t>
            </w:r>
          </w:p>
        </w:tc>
        <w:tc>
          <w:tcPr>
            <w:tcW w:w="4788" w:type="dxa"/>
            <w:tcBorders>
              <w:top w:val="single" w:sz="4" w:space="0" w:color="auto"/>
              <w:left w:val="single" w:sz="4" w:space="0" w:color="auto"/>
            </w:tcBorders>
          </w:tcPr>
          <w:p w:rsidR="00CF149E" w:rsidRDefault="00CF149E" w:rsidP="00BE38FB">
            <w:r>
              <w:t>Causal / Relational</w:t>
            </w:r>
          </w:p>
          <w:p w:rsidR="00CF149E" w:rsidRDefault="00CF149E" w:rsidP="00CF149E">
            <w:pPr>
              <w:pStyle w:val="ListParagraph"/>
              <w:numPr>
                <w:ilvl w:val="0"/>
                <w:numId w:val="26"/>
              </w:numPr>
            </w:pPr>
            <w:r>
              <w:t>Econometric models</w:t>
            </w:r>
          </w:p>
          <w:p w:rsidR="00CF149E" w:rsidRDefault="00CF149E" w:rsidP="00CF149E">
            <w:pPr>
              <w:pStyle w:val="ListParagraph"/>
              <w:numPr>
                <w:ilvl w:val="0"/>
                <w:numId w:val="26"/>
              </w:numPr>
            </w:pPr>
            <w:r>
              <w:t>Leading indicators</w:t>
            </w:r>
          </w:p>
          <w:p w:rsidR="00CF149E" w:rsidRDefault="00CF149E" w:rsidP="00CF149E">
            <w:pPr>
              <w:pStyle w:val="ListParagraph"/>
              <w:numPr>
                <w:ilvl w:val="0"/>
                <w:numId w:val="26"/>
              </w:numPr>
            </w:pPr>
            <w:r>
              <w:t>Input-Output models</w:t>
            </w:r>
          </w:p>
          <w:p w:rsidR="00CF149E" w:rsidRDefault="00CF149E" w:rsidP="00CF149E">
            <w:pPr>
              <w:pStyle w:val="ListParagraph"/>
            </w:pPr>
          </w:p>
        </w:tc>
      </w:tr>
      <w:tr w:rsidR="00CF149E" w:rsidTr="00CF149E">
        <w:tc>
          <w:tcPr>
            <w:tcW w:w="4788" w:type="dxa"/>
            <w:tcBorders>
              <w:right w:val="single" w:sz="4" w:space="0" w:color="auto"/>
            </w:tcBorders>
          </w:tcPr>
          <w:p w:rsidR="00CF149E" w:rsidRDefault="00CF149E" w:rsidP="00BE38FB">
            <w:r>
              <w:t>Experimental:</w:t>
            </w:r>
          </w:p>
          <w:p w:rsidR="00CF149E" w:rsidRDefault="00CF149E" w:rsidP="00CF149E">
            <w:pPr>
              <w:pStyle w:val="ListParagraph"/>
              <w:numPr>
                <w:ilvl w:val="0"/>
                <w:numId w:val="26"/>
              </w:numPr>
            </w:pPr>
            <w:r>
              <w:t>Customer surveys</w:t>
            </w:r>
          </w:p>
          <w:p w:rsidR="00CF149E" w:rsidRDefault="00CF149E" w:rsidP="00CF149E">
            <w:pPr>
              <w:pStyle w:val="ListParagraph"/>
              <w:numPr>
                <w:ilvl w:val="0"/>
                <w:numId w:val="26"/>
              </w:numPr>
            </w:pPr>
            <w:r>
              <w:t>Focus group sessions</w:t>
            </w:r>
          </w:p>
          <w:p w:rsidR="00CF149E" w:rsidRDefault="00CF149E" w:rsidP="00CF149E">
            <w:pPr>
              <w:pStyle w:val="ListParagraph"/>
              <w:numPr>
                <w:ilvl w:val="0"/>
                <w:numId w:val="26"/>
              </w:numPr>
            </w:pPr>
            <w:r>
              <w:t>Test marketing</w:t>
            </w:r>
          </w:p>
        </w:tc>
        <w:tc>
          <w:tcPr>
            <w:tcW w:w="4788" w:type="dxa"/>
            <w:tcBorders>
              <w:left w:val="single" w:sz="4" w:space="0" w:color="auto"/>
            </w:tcBorders>
          </w:tcPr>
          <w:p w:rsidR="00CF149E" w:rsidRDefault="00CF149E" w:rsidP="00BE38FB">
            <w:r>
              <w:t>Time Series</w:t>
            </w:r>
          </w:p>
          <w:p w:rsidR="00CF149E" w:rsidRDefault="00CF149E" w:rsidP="00CF149E">
            <w:pPr>
              <w:pStyle w:val="ListParagraph"/>
              <w:numPr>
                <w:ilvl w:val="0"/>
                <w:numId w:val="26"/>
              </w:numPr>
            </w:pPr>
            <w:r>
              <w:t>“Black Box” approach</w:t>
            </w:r>
          </w:p>
          <w:p w:rsidR="00CF149E" w:rsidRDefault="00CF149E" w:rsidP="00CF149E">
            <w:pPr>
              <w:pStyle w:val="ListParagraph"/>
              <w:numPr>
                <w:ilvl w:val="0"/>
                <w:numId w:val="26"/>
              </w:numPr>
            </w:pPr>
            <w:r>
              <w:t>Past predicts the future</w:t>
            </w:r>
          </w:p>
          <w:p w:rsidR="00CF149E" w:rsidRDefault="00CF149E" w:rsidP="00CF149E">
            <w:pPr>
              <w:pStyle w:val="ListParagraph"/>
              <w:numPr>
                <w:ilvl w:val="0"/>
                <w:numId w:val="26"/>
              </w:numPr>
            </w:pPr>
            <w:r>
              <w:t>Identify patterns</w:t>
            </w:r>
          </w:p>
        </w:tc>
      </w:tr>
    </w:tbl>
    <w:p w:rsidR="00CF149E" w:rsidRDefault="00CF149E" w:rsidP="00BE38FB"/>
    <w:p w:rsidR="00BE38FB" w:rsidRDefault="00CF149E" w:rsidP="00BE38FB">
      <w:r>
        <w:t>Oftentimes, you will need to use a combination of approaches.  The subjective methods are most useful when data is not available (example: new products) or when the environment is changing and we do not expect the past to be a good predictor of the future.  When data is available, the objective methods are used to mine through that data and identify patterns and causal factors.  This class focuses mainly on the mathematics of Time Series forecasting.</w:t>
      </w:r>
    </w:p>
    <w:p w:rsidR="00CF149E" w:rsidRDefault="00CF149E" w:rsidP="00BE38FB"/>
    <w:p w:rsidR="00CF149E" w:rsidRDefault="00CF149E" w:rsidP="00CF149E">
      <w:pPr>
        <w:pStyle w:val="Heading1"/>
      </w:pPr>
      <w:bookmarkStart w:id="2" w:name="_Toc445126773"/>
      <w:r>
        <w:t>Forecast Measurements</w:t>
      </w:r>
      <w:bookmarkEnd w:id="2"/>
    </w:p>
    <w:p w:rsidR="00CF149E" w:rsidRDefault="00CF149E" w:rsidP="00BE38FB"/>
    <w:p w:rsidR="00CF149E" w:rsidRDefault="00CF149E" w:rsidP="00BE38FB">
      <w:r>
        <w:t>Forecast measurements measure two things:</w:t>
      </w:r>
    </w:p>
    <w:p w:rsidR="00CF149E" w:rsidRDefault="00CF149E" w:rsidP="00BE38FB"/>
    <w:p w:rsidR="00CF149E" w:rsidRDefault="00CF149E" w:rsidP="00CF149E">
      <w:pPr>
        <w:pStyle w:val="ListParagraph"/>
        <w:numPr>
          <w:ilvl w:val="0"/>
          <w:numId w:val="28"/>
        </w:numPr>
      </w:pPr>
      <w:r>
        <w:t>Accuracy – how close are the forecasts to the actual values?</w:t>
      </w:r>
    </w:p>
    <w:p w:rsidR="00CF149E" w:rsidRDefault="00CF149E" w:rsidP="00CF149E">
      <w:pPr>
        <w:pStyle w:val="ListParagraph"/>
        <w:numPr>
          <w:ilvl w:val="0"/>
          <w:numId w:val="28"/>
        </w:numPr>
      </w:pPr>
      <w:r>
        <w:t>Bias – are we typically over- or under-forecasting actual values?</w:t>
      </w:r>
    </w:p>
    <w:p w:rsidR="00CF149E" w:rsidRDefault="00CF149E" w:rsidP="00CF149E"/>
    <w:p w:rsidR="00CF149E" w:rsidRDefault="00CF149E" w:rsidP="00CF149E">
      <w:r>
        <w:t>Forecast error is defined as:</w:t>
      </w:r>
    </w:p>
    <w:p w:rsidR="00CF149E" w:rsidRDefault="00CF149E" w:rsidP="00CF149E"/>
    <w:p w:rsidR="00CF149E" w:rsidRPr="00ED53B9" w:rsidRDefault="00CF149E" w:rsidP="00CF149E">
      <w:pPr>
        <w:tabs>
          <w:tab w:val="right" w:pos="9000"/>
        </w:tabs>
        <w:ind w:left="720"/>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oMath>
      <w:r w:rsidRPr="00ED53B9">
        <w:rPr>
          <w:rFonts w:eastAsiaTheme="minorEastAsia"/>
        </w:rPr>
        <w:t xml:space="preserve"> </w:t>
      </w:r>
      <w:r>
        <w:rPr>
          <w:rFonts w:eastAsiaTheme="minorEastAsia"/>
        </w:rPr>
        <w:tab/>
        <w:t>Forecast Error</w:t>
      </w:r>
    </w:p>
    <w:p w:rsidR="00751BE0" w:rsidRDefault="00751BE0" w:rsidP="00751BE0">
      <w:pPr>
        <w:ind w:left="1080"/>
        <w:rPr>
          <w:rFonts w:eastAsiaTheme="minorEastAsia"/>
        </w:rPr>
      </w:pPr>
    </w:p>
    <w:p w:rsidR="00CF149E" w:rsidRDefault="00751BE0" w:rsidP="00751BE0">
      <w:pPr>
        <w:ind w:left="1080"/>
        <w:rPr>
          <w:rFonts w:eastAsiaTheme="minorEastAsia"/>
          <w:i/>
        </w:rPr>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eastAsiaTheme="minorEastAsia"/>
        </w:rPr>
        <w:t xml:space="preserve"> = actual value (at time </w:t>
      </w:r>
      <w:r w:rsidRPr="00751BE0">
        <w:rPr>
          <w:rFonts w:eastAsiaTheme="minorEastAsia"/>
          <w:i/>
        </w:rPr>
        <w:t>t</w:t>
      </w:r>
      <w:r w:rsidRPr="00751BE0">
        <w:rPr>
          <w:rFonts w:eastAsiaTheme="minorEastAsia"/>
        </w:rPr>
        <w:t>)</w:t>
      </w:r>
    </w:p>
    <w:p w:rsidR="00751BE0" w:rsidRDefault="00751BE0" w:rsidP="00751BE0">
      <w:pPr>
        <w:ind w:left="1080"/>
      </w:pP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eastAsiaTheme="minorEastAsia"/>
        </w:rPr>
        <w:t xml:space="preserve"> = forecasted value (at time </w:t>
      </w:r>
      <w:r w:rsidRPr="00751BE0">
        <w:rPr>
          <w:rFonts w:eastAsiaTheme="minorEastAsia"/>
          <w:i/>
        </w:rPr>
        <w:t>t</w:t>
      </w:r>
      <w:r>
        <w:rPr>
          <w:rFonts w:eastAsiaTheme="minorEastAsia"/>
        </w:rPr>
        <w:t>)</w:t>
      </w:r>
    </w:p>
    <w:p w:rsidR="00751BE0" w:rsidRDefault="00751BE0" w:rsidP="00CF149E"/>
    <w:p w:rsidR="00CF149E" w:rsidRDefault="00CF149E" w:rsidP="00CF149E">
      <w:r>
        <w:t>Note that positive error indicates actuals are higher than the forecast and negative error indicates that actuals are lower than the forecast.  The equation above is sometimes calculated in the reverse manner (forecast minus actuals, rather than actuals minus forecast), so it’s important to be clear about which method is being used.  The method used above is more common in academic texts and is used in this course.  It follows naturally when we define a model as:</w:t>
      </w:r>
    </w:p>
    <w:p w:rsidR="00CF149E" w:rsidRDefault="00CF149E" w:rsidP="00CF149E"/>
    <w:p w:rsidR="00CF149E" w:rsidRPr="00CF149E" w:rsidRDefault="00CF149E" w:rsidP="00CF149E">
      <w:pPr>
        <w:ind w:left="72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CF149E" w:rsidRDefault="00CF149E" w:rsidP="00CF149E"/>
    <w:p w:rsidR="00CF149E" w:rsidRDefault="00CF149E" w:rsidP="00CF149E">
      <w:r>
        <w:t xml:space="preserve">That is, the actual values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are represented by some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m:t>
            </m:r>
          </m:sub>
        </m:sSub>
      </m:oMath>
      <w:r>
        <w:rPr>
          <w:rFonts w:eastAsiaTheme="minorEastAsia"/>
        </w:rPr>
        <w:t xml:space="preserve"> plus an error term.  In more advanced techniques, the distribution of error terms and the changes in this distribution over time may also be modeled.</w:t>
      </w:r>
    </w:p>
    <w:p w:rsidR="00751BE0" w:rsidRDefault="00751BE0" w:rsidP="00CF149E"/>
    <w:p w:rsidR="00CF149E" w:rsidRDefault="00CF149E" w:rsidP="00CF149E">
      <w:r>
        <w:t>The follo</w:t>
      </w:r>
      <w:r w:rsidR="00751BE0">
        <w:t>wing measures are commonly used to measure forecasts:</w:t>
      </w:r>
    </w:p>
    <w:p w:rsidR="00CF149E" w:rsidRPr="009E2EC4" w:rsidRDefault="00CF149E" w:rsidP="00CF149E">
      <w:pPr>
        <w:rPr>
          <w:sz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394"/>
        <w:gridCol w:w="2394"/>
        <w:gridCol w:w="2394"/>
        <w:gridCol w:w="2394"/>
      </w:tblGrid>
      <w:tr w:rsidR="00751BE0" w:rsidTr="00D654CC">
        <w:tc>
          <w:tcPr>
            <w:tcW w:w="2394" w:type="dxa"/>
          </w:tcPr>
          <w:p w:rsidR="00751BE0" w:rsidRPr="00751BE0" w:rsidRDefault="00751BE0" w:rsidP="00CF149E">
            <w:pPr>
              <w:rPr>
                <w:sz w:val="22"/>
              </w:rPr>
            </w:pPr>
            <w:r w:rsidRPr="00751BE0">
              <w:rPr>
                <w:sz w:val="22"/>
              </w:rPr>
              <w:t>Mean Deviation</w:t>
            </w:r>
          </w:p>
          <w:p w:rsidR="00751BE0" w:rsidRPr="00751BE0" w:rsidRDefault="00751BE0" w:rsidP="00CF149E">
            <w:pPr>
              <w:rPr>
                <w:sz w:val="22"/>
              </w:rPr>
            </w:pPr>
            <w:r w:rsidRPr="00751BE0">
              <w:rPr>
                <w:sz w:val="22"/>
              </w:rPr>
              <w:t>(MD)</w:t>
            </w:r>
          </w:p>
        </w:tc>
        <w:tc>
          <w:tcPr>
            <w:tcW w:w="2394" w:type="dxa"/>
          </w:tcPr>
          <w:p w:rsidR="00751BE0" w:rsidRPr="00751BE0" w:rsidRDefault="00751BE0" w:rsidP="00751BE0">
            <m:oMathPara>
              <m:oMathParaPr>
                <m:jc m:val="left"/>
              </m:oMathParaPr>
              <m:oMath>
                <m:r>
                  <w:rPr>
                    <w:rFonts w:ascii="Cambria Math" w:hAnsi="Cambria Math"/>
                  </w:rPr>
                  <m:t>MD=</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t</m:t>
                        </m:r>
                      </m:sub>
                    </m:sSub>
                  </m:e>
                </m:nary>
              </m:oMath>
            </m:oMathPara>
          </w:p>
        </w:tc>
        <w:tc>
          <w:tcPr>
            <w:tcW w:w="2394" w:type="dxa"/>
          </w:tcPr>
          <w:p w:rsidR="00751BE0" w:rsidRPr="00751BE0" w:rsidRDefault="00751BE0" w:rsidP="00CF149E">
            <w:pPr>
              <w:rPr>
                <w:sz w:val="22"/>
              </w:rPr>
            </w:pPr>
            <w:r w:rsidRPr="00751BE0">
              <w:rPr>
                <w:sz w:val="22"/>
              </w:rPr>
              <w:t>Mean Absolute Deviation</w:t>
            </w:r>
          </w:p>
          <w:p w:rsidR="00751BE0" w:rsidRPr="00751BE0" w:rsidRDefault="00751BE0" w:rsidP="00CF149E">
            <w:pPr>
              <w:rPr>
                <w:sz w:val="22"/>
              </w:rPr>
            </w:pPr>
            <w:r w:rsidRPr="00751BE0">
              <w:rPr>
                <w:sz w:val="22"/>
              </w:rPr>
              <w:t>(MAD)</w:t>
            </w:r>
          </w:p>
        </w:tc>
        <w:tc>
          <w:tcPr>
            <w:tcW w:w="2394" w:type="dxa"/>
          </w:tcPr>
          <w:p w:rsidR="00751BE0" w:rsidRPr="00751BE0" w:rsidRDefault="00751BE0" w:rsidP="00CF149E">
            <m:oMathPara>
              <m:oMathParaPr>
                <m:jc m:val="left"/>
              </m:oMathParaPr>
              <m:oMath>
                <m:r>
                  <w:rPr>
                    <w:rFonts w:ascii="Cambria Math" w:hAnsi="Cambria Math"/>
                  </w:rPr>
                  <m:t>MAD=</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d>
                  </m:e>
                </m:nary>
              </m:oMath>
            </m:oMathPara>
          </w:p>
        </w:tc>
      </w:tr>
      <w:tr w:rsidR="00751BE0" w:rsidTr="00D654CC">
        <w:tc>
          <w:tcPr>
            <w:tcW w:w="2394" w:type="dxa"/>
          </w:tcPr>
          <w:p w:rsidR="00751BE0" w:rsidRPr="00751BE0" w:rsidRDefault="00751BE0" w:rsidP="00CF149E">
            <w:pPr>
              <w:rPr>
                <w:sz w:val="22"/>
              </w:rPr>
            </w:pPr>
            <w:r w:rsidRPr="00751BE0">
              <w:rPr>
                <w:sz w:val="22"/>
              </w:rPr>
              <w:t>Mean Squared Error (MSE)</w:t>
            </w:r>
          </w:p>
        </w:tc>
        <w:tc>
          <w:tcPr>
            <w:tcW w:w="2394" w:type="dxa"/>
          </w:tcPr>
          <w:p w:rsidR="00751BE0" w:rsidRPr="00751BE0" w:rsidRDefault="00751BE0" w:rsidP="00CF149E">
            <m:oMathPara>
              <m:oMathParaPr>
                <m:jc m:val="left"/>
              </m:oMathParaP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t</m:t>
                            </m:r>
                          </m:sub>
                        </m:sSub>
                      </m:e>
                      <m:sup>
                        <m:r>
                          <w:rPr>
                            <w:rFonts w:ascii="Cambria Math" w:hAnsi="Cambria Math"/>
                          </w:rPr>
                          <m:t>2</m:t>
                        </m:r>
                      </m:sup>
                    </m:sSup>
                  </m:e>
                </m:nary>
              </m:oMath>
            </m:oMathPara>
          </w:p>
        </w:tc>
        <w:tc>
          <w:tcPr>
            <w:tcW w:w="2394" w:type="dxa"/>
          </w:tcPr>
          <w:p w:rsidR="00751BE0" w:rsidRPr="00751BE0" w:rsidRDefault="00751BE0" w:rsidP="00CF149E">
            <w:pPr>
              <w:rPr>
                <w:sz w:val="22"/>
              </w:rPr>
            </w:pPr>
            <w:r w:rsidRPr="00751BE0">
              <w:rPr>
                <w:sz w:val="22"/>
              </w:rPr>
              <w:t>Root Mean Squared Error (RMSE)</w:t>
            </w:r>
          </w:p>
        </w:tc>
        <w:tc>
          <w:tcPr>
            <w:tcW w:w="2394" w:type="dxa"/>
          </w:tcPr>
          <w:p w:rsidR="00751BE0" w:rsidRPr="00751BE0" w:rsidRDefault="00751BE0" w:rsidP="00CF149E">
            <m:oMathPara>
              <m:oMathParaPr>
                <m:jc m:val="left"/>
              </m:oMathParaPr>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t</m:t>
                                </m:r>
                              </m:sub>
                            </m:sSub>
                          </m:e>
                          <m:sup>
                            <m:r>
                              <w:rPr>
                                <w:rFonts w:ascii="Cambria Math" w:hAnsi="Cambria Math"/>
                              </w:rPr>
                              <m:t>2</m:t>
                            </m:r>
                          </m:sup>
                        </m:sSup>
                      </m:e>
                    </m:nary>
                  </m:e>
                </m:rad>
              </m:oMath>
            </m:oMathPara>
          </w:p>
        </w:tc>
      </w:tr>
      <w:tr w:rsidR="00751BE0" w:rsidTr="00D654CC">
        <w:tc>
          <w:tcPr>
            <w:tcW w:w="2394" w:type="dxa"/>
          </w:tcPr>
          <w:p w:rsidR="00751BE0" w:rsidRPr="00751BE0" w:rsidRDefault="00751BE0" w:rsidP="00CF149E">
            <w:pPr>
              <w:rPr>
                <w:sz w:val="22"/>
              </w:rPr>
            </w:pPr>
            <w:r w:rsidRPr="00751BE0">
              <w:rPr>
                <w:sz w:val="22"/>
              </w:rPr>
              <w:t>Mean Percent Error</w:t>
            </w:r>
          </w:p>
          <w:p w:rsidR="00751BE0" w:rsidRPr="00751BE0" w:rsidRDefault="00751BE0" w:rsidP="00CF149E">
            <w:pPr>
              <w:rPr>
                <w:sz w:val="22"/>
              </w:rPr>
            </w:pPr>
            <w:r w:rsidRPr="00751BE0">
              <w:rPr>
                <w:sz w:val="22"/>
              </w:rPr>
              <w:t>(MPE)</w:t>
            </w:r>
          </w:p>
        </w:tc>
        <w:tc>
          <w:tcPr>
            <w:tcW w:w="2394" w:type="dxa"/>
          </w:tcPr>
          <w:p w:rsidR="00751BE0" w:rsidRPr="00751BE0" w:rsidRDefault="00751BE0" w:rsidP="00751BE0">
            <m:oMathPara>
              <m:oMathParaPr>
                <m:jc m:val="left"/>
              </m:oMathParaPr>
              <m:oMath>
                <m:r>
                  <w:rPr>
                    <w:rFonts w:ascii="Cambria Math" w:hAnsi="Cambria Math"/>
                  </w:rPr>
                  <m:t>MPE=</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m:t>
                            </m:r>
                          </m:sub>
                        </m:sSub>
                      </m:den>
                    </m:f>
                  </m:e>
                </m:nary>
              </m:oMath>
            </m:oMathPara>
          </w:p>
        </w:tc>
        <w:tc>
          <w:tcPr>
            <w:tcW w:w="2394" w:type="dxa"/>
          </w:tcPr>
          <w:p w:rsidR="00751BE0" w:rsidRPr="00751BE0" w:rsidRDefault="00751BE0" w:rsidP="00CF149E">
            <w:pPr>
              <w:rPr>
                <w:sz w:val="22"/>
              </w:rPr>
            </w:pPr>
            <w:r w:rsidRPr="00751BE0">
              <w:rPr>
                <w:sz w:val="22"/>
              </w:rPr>
              <w:t>Mean Absolute Percent Error (MAPE)</w:t>
            </w:r>
          </w:p>
        </w:tc>
        <w:tc>
          <w:tcPr>
            <w:tcW w:w="2394" w:type="dxa"/>
          </w:tcPr>
          <w:p w:rsidR="00751BE0" w:rsidRPr="00751BE0" w:rsidRDefault="00751BE0" w:rsidP="00CF149E">
            <m:oMathPara>
              <m:oMathParaPr>
                <m:jc m:val="left"/>
              </m:oMathParaPr>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d>
                      </m:num>
                      <m:den>
                        <m:sSub>
                          <m:sSubPr>
                            <m:ctrlPr>
                              <w:rPr>
                                <w:rFonts w:ascii="Cambria Math" w:hAnsi="Cambria Math"/>
                                <w:i/>
                              </w:rPr>
                            </m:ctrlPr>
                          </m:sSubPr>
                          <m:e>
                            <m:r>
                              <w:rPr>
                                <w:rFonts w:ascii="Cambria Math" w:hAnsi="Cambria Math"/>
                              </w:rPr>
                              <m:t>A</m:t>
                            </m:r>
                          </m:e>
                          <m:sub>
                            <m:r>
                              <w:rPr>
                                <w:rFonts w:ascii="Cambria Math" w:hAnsi="Cambria Math"/>
                              </w:rPr>
                              <m:t>t</m:t>
                            </m:r>
                          </m:sub>
                        </m:sSub>
                      </m:den>
                    </m:f>
                  </m:e>
                </m:nary>
              </m:oMath>
            </m:oMathPara>
          </w:p>
        </w:tc>
      </w:tr>
    </w:tbl>
    <w:p w:rsidR="00D654CC" w:rsidRPr="009E2EC4" w:rsidRDefault="00D654CC" w:rsidP="00D654CC">
      <w:pPr>
        <w:rPr>
          <w:sz w:val="12"/>
        </w:rPr>
      </w:pPr>
    </w:p>
    <w:p w:rsidR="00D654CC" w:rsidRPr="00751BE0" w:rsidRDefault="00D654CC" w:rsidP="00D654CC">
      <w:r>
        <w:t xml:space="preserve">The equations above have errors subscripted by </w:t>
      </w:r>
      <w:r w:rsidRPr="00751BE0">
        <w:rPr>
          <w:i/>
        </w:rPr>
        <w:t>t</w:t>
      </w:r>
      <w:r>
        <w:t xml:space="preserve">, which implies that we are measuring forecasts for one item at different points in time.  We can also measure forecasts at one point in time across multiple items using these measures.  In that case it would make more sense to subscript by </w:t>
      </w:r>
      <w:r w:rsidRPr="00751BE0">
        <w:rPr>
          <w:i/>
        </w:rPr>
        <w:t>n</w:t>
      </w:r>
      <w:r>
        <w:t xml:space="preserve"> to indicate each unique item.  Also note:</w:t>
      </w:r>
    </w:p>
    <w:p w:rsidR="00751BE0" w:rsidRPr="00D654CC" w:rsidRDefault="00751BE0" w:rsidP="00CF149E">
      <w:pPr>
        <w:rPr>
          <w:sz w:val="12"/>
        </w:rPr>
      </w:pPr>
    </w:p>
    <w:p w:rsidR="00751BE0" w:rsidRDefault="00D654CC" w:rsidP="00751BE0">
      <w:pPr>
        <w:pStyle w:val="ListParagraph"/>
        <w:numPr>
          <w:ilvl w:val="0"/>
          <w:numId w:val="26"/>
        </w:numPr>
      </w:pPr>
      <w:r>
        <w:t xml:space="preserve">MD and MAD </w:t>
      </w:r>
      <w:r w:rsidR="00751BE0">
        <w:t xml:space="preserve">are measured in units.  </w:t>
      </w:r>
      <w:r>
        <w:t xml:space="preserve">MD measures bias, and MAD measures forecast accuracy.  </w:t>
      </w:r>
      <w:r w:rsidR="00751BE0">
        <w:t>The</w:t>
      </w:r>
      <w:r>
        <w:t>se metrics</w:t>
      </w:r>
      <w:r w:rsidR="00751BE0">
        <w:t xml:space="preserve"> may be useful for one item, but they are difficult to interpret when comparing multiple items at different sales levels.</w:t>
      </w:r>
    </w:p>
    <w:p w:rsidR="00D654CC" w:rsidRDefault="00751BE0" w:rsidP="00751BE0">
      <w:pPr>
        <w:pStyle w:val="ListParagraph"/>
        <w:numPr>
          <w:ilvl w:val="0"/>
          <w:numId w:val="26"/>
        </w:numPr>
      </w:pPr>
      <w:r>
        <w:t>MSE and RMSE</w:t>
      </w:r>
      <w:r w:rsidR="00D654CC">
        <w:t xml:space="preserve"> both measure accuracy.  RMSE is more commonly used as its dimension is units.  These are similar to the variance and the standard deviation (respectively) of the forecast errors.  The only different is that instead of being centered on the mean error they are centered at zero.</w:t>
      </w:r>
    </w:p>
    <w:p w:rsidR="00751BE0" w:rsidRDefault="00D654CC" w:rsidP="00751BE0">
      <w:pPr>
        <w:pStyle w:val="ListParagraph"/>
        <w:numPr>
          <w:ilvl w:val="0"/>
          <w:numId w:val="26"/>
        </w:numPr>
      </w:pPr>
      <w:r>
        <w:t>MPE and MAPE convert errors into percentages.  Like MD and MAD they measure bias and accuracy (respectively), but in a way that allows easier comparisons across items with different sales levels.</w:t>
      </w:r>
      <w:r w:rsidR="00751BE0">
        <w:t xml:space="preserve"> </w:t>
      </w:r>
    </w:p>
    <w:p w:rsidR="00D654CC" w:rsidRPr="009E2EC4" w:rsidRDefault="00D654CC" w:rsidP="00D654CC">
      <w:pPr>
        <w:rPr>
          <w:sz w:val="12"/>
        </w:rPr>
      </w:pPr>
    </w:p>
    <w:p w:rsidR="00D654CC" w:rsidRDefault="00D654CC" w:rsidP="00D654CC">
      <w:r>
        <w:t>There are three other measures I find useful which were not discussed in class: MAD/MEAN, WMPE, and WMAPE (or WAPE).  MAD/MEAN just takes the MAD score and divides by the mean.  This may be useful for single items and produces results similar to the</w:t>
      </w:r>
      <w:r w:rsidR="00306E68">
        <w:t xml:space="preserve"> MAPE (but more stable since we use the same denominator</w:t>
      </w:r>
      <w:r>
        <w:t xml:space="preserve"> across all points</w:t>
      </w:r>
      <w:r w:rsidR="00306E68">
        <w:t xml:space="preserve"> in time)</w:t>
      </w:r>
      <w:bookmarkStart w:id="3" w:name="_GoBack"/>
      <w:bookmarkEnd w:id="3"/>
      <w:r>
        <w:t>.</w:t>
      </w:r>
      <w:r w:rsidR="009E2EC4">
        <w:t xml:space="preserve">  WMPE and WMAPE weight the percent errors by sales so that fast-moving items are more important.  They also simplify very nicely so that we need only calculate the sum (or the average) of errors, absolute errors, and sales.</w:t>
      </w:r>
    </w:p>
    <w:p w:rsidR="00D654CC" w:rsidRDefault="00D654CC" w:rsidP="00D654C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905"/>
        <w:gridCol w:w="6660"/>
      </w:tblGrid>
      <w:tr w:rsidR="00D654CC" w:rsidRPr="00751BE0" w:rsidTr="00D654CC">
        <w:tc>
          <w:tcPr>
            <w:tcW w:w="2905" w:type="dxa"/>
          </w:tcPr>
          <w:p w:rsidR="00D654CC" w:rsidRPr="00751BE0" w:rsidRDefault="00D654CC" w:rsidP="005C4BEF">
            <w:pPr>
              <w:rPr>
                <w:sz w:val="22"/>
              </w:rPr>
            </w:pPr>
            <w:r>
              <w:rPr>
                <w:sz w:val="22"/>
              </w:rPr>
              <w:t xml:space="preserve">Weighted </w:t>
            </w:r>
            <w:r w:rsidRPr="00751BE0">
              <w:rPr>
                <w:sz w:val="22"/>
              </w:rPr>
              <w:t>Mean Percent Error</w:t>
            </w:r>
          </w:p>
          <w:p w:rsidR="00D654CC" w:rsidRPr="00751BE0" w:rsidRDefault="00D654CC" w:rsidP="005C4BEF">
            <w:pPr>
              <w:rPr>
                <w:sz w:val="22"/>
              </w:rPr>
            </w:pPr>
            <w:r w:rsidRPr="00751BE0">
              <w:rPr>
                <w:sz w:val="22"/>
              </w:rPr>
              <w:t>(</w:t>
            </w:r>
            <w:r>
              <w:rPr>
                <w:sz w:val="22"/>
              </w:rPr>
              <w:t>W</w:t>
            </w:r>
            <w:r w:rsidRPr="00751BE0">
              <w:rPr>
                <w:sz w:val="22"/>
              </w:rPr>
              <w:t>MPE)</w:t>
            </w:r>
          </w:p>
        </w:tc>
        <w:tc>
          <w:tcPr>
            <w:tcW w:w="6660" w:type="dxa"/>
          </w:tcPr>
          <w:p w:rsidR="00D654CC" w:rsidRPr="00751BE0" w:rsidRDefault="009E2EC4" w:rsidP="009E2EC4">
            <m:oMathPara>
              <m:oMathParaPr>
                <m:jc m:val="left"/>
              </m:oMathParaPr>
              <m:oMath>
                <m:r>
                  <w:rPr>
                    <w:rFonts w:ascii="Cambria Math" w:hAnsi="Cambria Math"/>
                  </w:rPr>
                  <m:t>W</m:t>
                </m:r>
                <m:r>
                  <w:rPr>
                    <w:rFonts w:ascii="Cambria Math" w:hAnsi="Cambria Math"/>
                  </w:rPr>
                  <m:t>MPE=</m:t>
                </m:r>
                <m:f>
                  <m:fPr>
                    <m:ctrlPr>
                      <w:rPr>
                        <w:rFonts w:ascii="Cambria Math" w:hAnsi="Cambria Math"/>
                        <w:i/>
                      </w:rPr>
                    </m:ctrlPr>
                  </m:fPr>
                  <m:num>
                    <m:r>
                      <w:rPr>
                        <w:rFonts w:ascii="Cambria Math" w:hAnsi="Cambria Math"/>
                      </w:rPr>
                      <m:t>1</m:t>
                    </m:r>
                  </m:num>
                  <m:den>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n</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e>
                </m:nary>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e</m:t>
                            </m:r>
                          </m:e>
                          <m:sub>
                            <m:r>
                              <w:rPr>
                                <w:rFonts w:ascii="Cambria Math" w:hAnsi="Cambria Math"/>
                              </w:rPr>
                              <m:t>n</m:t>
                            </m:r>
                          </m:sub>
                        </m:sSub>
                      </m:e>
                    </m:nary>
                  </m:num>
                  <m:den>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den>
                </m:f>
                <m:r>
                  <w:rPr>
                    <w:rFonts w:ascii="Cambria Math" w:hAnsi="Cambria Math"/>
                  </w:rPr>
                  <m:t>=</m:t>
                </m:r>
                <m:f>
                  <m:fPr>
                    <m:ctrlPr>
                      <w:rPr>
                        <w:rFonts w:ascii="Cambria Math" w:hAnsi="Cambria Math"/>
                      </w:rPr>
                    </m:ctrlPr>
                  </m:fPr>
                  <m:num>
                    <m:r>
                      <m:rPr>
                        <m:sty m:val="p"/>
                      </m:rPr>
                      <w:rPr>
                        <w:rFonts w:ascii="Cambria Math" w:hAnsi="Cambria Math"/>
                      </w:rPr>
                      <m:t>Sum of</m:t>
                    </m:r>
                    <m:r>
                      <m:rPr>
                        <m:sty m:val="p"/>
                      </m:rPr>
                      <w:rPr>
                        <w:rFonts w:ascii="Cambria Math" w:hAnsi="Cambria Math"/>
                      </w:rPr>
                      <m:t xml:space="preserve"> Error</m:t>
                    </m:r>
                  </m:num>
                  <m:den>
                    <m:r>
                      <m:rPr>
                        <m:sty m:val="p"/>
                      </m:rPr>
                      <w:rPr>
                        <w:rFonts w:ascii="Cambria Math" w:hAnsi="Cambria Math"/>
                      </w:rPr>
                      <m:t>Sum of</m:t>
                    </m:r>
                    <m:r>
                      <m:rPr>
                        <m:sty m:val="p"/>
                      </m:rPr>
                      <w:rPr>
                        <w:rFonts w:ascii="Cambria Math" w:hAnsi="Cambria Math"/>
                      </w:rPr>
                      <m:t xml:space="preserve"> Sales</m:t>
                    </m:r>
                  </m:den>
                </m:f>
              </m:oMath>
            </m:oMathPara>
          </w:p>
        </w:tc>
      </w:tr>
      <w:tr w:rsidR="00D654CC" w:rsidRPr="00751BE0" w:rsidTr="00D654CC">
        <w:tc>
          <w:tcPr>
            <w:tcW w:w="2905" w:type="dxa"/>
          </w:tcPr>
          <w:p w:rsidR="00D654CC" w:rsidRDefault="00D654CC" w:rsidP="00D654CC">
            <w:pPr>
              <w:rPr>
                <w:sz w:val="22"/>
              </w:rPr>
            </w:pPr>
            <w:r>
              <w:rPr>
                <w:sz w:val="22"/>
              </w:rPr>
              <w:t xml:space="preserve">Weighted </w:t>
            </w:r>
            <w:r w:rsidRPr="00751BE0">
              <w:rPr>
                <w:sz w:val="22"/>
              </w:rPr>
              <w:t>Mean</w:t>
            </w:r>
            <w:r>
              <w:rPr>
                <w:sz w:val="22"/>
              </w:rPr>
              <w:t xml:space="preserve"> Absolute</w:t>
            </w:r>
            <w:r w:rsidRPr="00751BE0">
              <w:rPr>
                <w:sz w:val="22"/>
              </w:rPr>
              <w:t xml:space="preserve"> Percent Error</w:t>
            </w:r>
          </w:p>
          <w:p w:rsidR="00D654CC" w:rsidRPr="00751BE0" w:rsidRDefault="00D654CC" w:rsidP="00D654CC">
            <w:pPr>
              <w:rPr>
                <w:sz w:val="22"/>
              </w:rPr>
            </w:pPr>
            <w:r w:rsidRPr="00751BE0">
              <w:rPr>
                <w:sz w:val="22"/>
              </w:rPr>
              <w:t>(</w:t>
            </w:r>
            <w:r>
              <w:rPr>
                <w:sz w:val="22"/>
              </w:rPr>
              <w:t>WMAPE or WAPE</w:t>
            </w:r>
            <w:r w:rsidRPr="00751BE0">
              <w:rPr>
                <w:sz w:val="22"/>
              </w:rPr>
              <w:t>)</w:t>
            </w:r>
          </w:p>
        </w:tc>
        <w:tc>
          <w:tcPr>
            <w:tcW w:w="6660" w:type="dxa"/>
          </w:tcPr>
          <w:p w:rsidR="00D654CC" w:rsidRPr="00751BE0" w:rsidRDefault="00D654CC" w:rsidP="009E2EC4">
            <m:oMathPara>
              <m:oMathParaPr>
                <m:jc m:val="left"/>
              </m:oMathParaPr>
              <m:oMath>
                <m:r>
                  <w:rPr>
                    <w:rFonts w:ascii="Cambria Math" w:eastAsiaTheme="minorEastAsia" w:hAnsi="Cambria Math"/>
                  </w:rPr>
                  <m:t>WMA</m:t>
                </m:r>
                <m:r>
                  <w:rPr>
                    <w:rFonts w:ascii="Cambria Math" w:hAnsi="Cambria Math"/>
                  </w:rPr>
                  <m:t>PE=</m:t>
                </m:r>
                <m:f>
                  <m:fPr>
                    <m:ctrlPr>
                      <w:rPr>
                        <w:rFonts w:ascii="Cambria Math" w:hAnsi="Cambria Math"/>
                        <w:i/>
                      </w:rPr>
                    </m:ctrlPr>
                  </m:fPr>
                  <m:num>
                    <m:r>
                      <w:rPr>
                        <w:rFonts w:ascii="Cambria Math" w:hAnsi="Cambria Math"/>
                      </w:rPr>
                      <m:t>1</m:t>
                    </m:r>
                  </m:num>
                  <m:den>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e>
                </m:nary>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e>
                    </m:nary>
                  </m:num>
                  <m:den>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den>
                </m:f>
                <m:r>
                  <w:rPr>
                    <w:rFonts w:ascii="Cambria Math" w:hAnsi="Cambria Math"/>
                  </w:rPr>
                  <m:t>=</m:t>
                </m:r>
                <m:f>
                  <m:fPr>
                    <m:ctrlPr>
                      <w:rPr>
                        <w:rFonts w:ascii="Cambria Math" w:hAnsi="Cambria Math"/>
                      </w:rPr>
                    </m:ctrlPr>
                  </m:fPr>
                  <m:num>
                    <m:r>
                      <m:rPr>
                        <m:sty m:val="p"/>
                      </m:rPr>
                      <w:rPr>
                        <w:rFonts w:ascii="Cambria Math" w:hAnsi="Cambria Math"/>
                      </w:rPr>
                      <m:t>Sum of</m:t>
                    </m:r>
                    <m:r>
                      <m:rPr>
                        <m:sty m:val="p"/>
                      </m:rPr>
                      <w:rPr>
                        <w:rFonts w:ascii="Cambria Math" w:hAnsi="Cambria Math"/>
                      </w:rPr>
                      <m:t xml:space="preserve"> </m:t>
                    </m:r>
                    <m:r>
                      <m:rPr>
                        <m:sty m:val="p"/>
                      </m:rPr>
                      <w:rPr>
                        <w:rFonts w:ascii="Cambria Math" w:hAnsi="Cambria Math"/>
                      </w:rPr>
                      <m:t xml:space="preserve">Abs. </m:t>
                    </m:r>
                    <m:r>
                      <m:rPr>
                        <m:sty m:val="p"/>
                      </m:rPr>
                      <w:rPr>
                        <w:rFonts w:ascii="Cambria Math" w:hAnsi="Cambria Math"/>
                      </w:rPr>
                      <m:t>Error</m:t>
                    </m:r>
                  </m:num>
                  <m:den>
                    <m:r>
                      <m:rPr>
                        <m:sty m:val="p"/>
                      </m:rPr>
                      <w:rPr>
                        <w:rFonts w:ascii="Cambria Math" w:hAnsi="Cambria Math"/>
                      </w:rPr>
                      <m:t>Sum of</m:t>
                    </m:r>
                    <m:r>
                      <m:rPr>
                        <m:sty m:val="p"/>
                      </m:rPr>
                      <w:rPr>
                        <w:rFonts w:ascii="Cambria Math" w:hAnsi="Cambria Math"/>
                      </w:rPr>
                      <m:t xml:space="preserve"> Sales</m:t>
                    </m:r>
                  </m:den>
                </m:f>
              </m:oMath>
            </m:oMathPara>
          </w:p>
        </w:tc>
      </w:tr>
    </w:tbl>
    <w:p w:rsidR="00D654CC" w:rsidRDefault="005C4BEF" w:rsidP="005C4BEF">
      <w:pPr>
        <w:pStyle w:val="Heading1"/>
      </w:pPr>
      <w:r>
        <w:br w:type="page"/>
      </w:r>
      <w:bookmarkStart w:id="4" w:name="_Toc445126774"/>
      <w:r w:rsidR="00496386">
        <w:lastRenderedPageBreak/>
        <w:t>Forecasting Level Data</w:t>
      </w:r>
      <w:bookmarkEnd w:id="4"/>
    </w:p>
    <w:p w:rsidR="005C4BEF" w:rsidRDefault="005C4BEF" w:rsidP="00D654CC"/>
    <w:p w:rsidR="00F527F7" w:rsidRDefault="00F527F7" w:rsidP="00F527F7">
      <w:pPr>
        <w:pStyle w:val="Heading2"/>
      </w:pPr>
      <w:bookmarkStart w:id="5" w:name="_Toc445126775"/>
      <w:r>
        <w:t>Cumulative Forecast &amp; Naïve Forecast</w:t>
      </w:r>
      <w:bookmarkEnd w:id="5"/>
    </w:p>
    <w:p w:rsidR="00F527F7" w:rsidRDefault="00F527F7" w:rsidP="00D654CC"/>
    <w:p w:rsidR="00F527F7" w:rsidRDefault="005C4BEF" w:rsidP="00D654CC">
      <w:r>
        <w:t xml:space="preserve">If we assume that a forecast is level (that it has no trend or seasonal components), all that we need to do to produce a good forecast is determine that level.  </w:t>
      </w:r>
      <w:r w:rsidR="00F527F7">
        <w:t>All of these models take the form:</w:t>
      </w:r>
    </w:p>
    <w:p w:rsidR="00F527F7" w:rsidRDefault="00F527F7" w:rsidP="00F527F7"/>
    <w:p w:rsidR="00F527F7" w:rsidRPr="00F527F7" w:rsidRDefault="00F527F7" w:rsidP="00F527F7">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F527F7" w:rsidRPr="005C4BEF" w:rsidRDefault="00F527F7" w:rsidP="00F527F7">
      <w:pPr>
        <w:ind w:left="720"/>
        <w:rPr>
          <w:rFonts w:eastAsiaTheme="minorEastAsia"/>
        </w:rPr>
      </w:pPr>
    </w:p>
    <w:p w:rsidR="00F527F7" w:rsidRDefault="00F527F7" w:rsidP="00F527F7">
      <w:pPr>
        <w:rPr>
          <w:rFonts w:eastAsiaTheme="minorEastAsia"/>
        </w:rPr>
      </w:pPr>
      <w:proofErr w:type="gramStart"/>
      <w:r>
        <w:rPr>
          <w:rFonts w:eastAsiaTheme="minorEastAsia"/>
        </w:rPr>
        <w:t>where</w:t>
      </w:r>
      <w:proofErr w:type="gramEnd"/>
      <w:r>
        <w:rPr>
          <w:rFonts w:eastAsiaTheme="minorEastAsia"/>
        </w:rPr>
        <w:t xml:space="preserve"> </w:t>
      </w:r>
      <w:r w:rsidRPr="00F527F7">
        <w:rPr>
          <w:rFonts w:eastAsiaTheme="minorEastAsia"/>
          <w:i/>
        </w:rPr>
        <w:t>a</w:t>
      </w:r>
      <w:r>
        <w:rPr>
          <w:rFonts w:eastAsiaTheme="minorEastAsia"/>
        </w:rPr>
        <w:t xml:space="preserve"> indicates the level of the forecast and:</w:t>
      </w:r>
    </w:p>
    <w:p w:rsidR="00F527F7" w:rsidRDefault="00F527F7" w:rsidP="00F527F7">
      <w:pPr>
        <w:ind w:left="360"/>
        <w:rPr>
          <w:rFonts w:eastAsiaTheme="minorEastAsia"/>
        </w:rPr>
      </w:pPr>
    </w:p>
    <w:p w:rsidR="00F527F7" w:rsidRPr="005C4BEF" w:rsidRDefault="00F527F7" w:rsidP="00F527F7">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m:rPr>
              <m:scr m:val="script"/>
            </m:rPr>
            <w:rPr>
              <w:rFonts w:ascii="Cambria Math" w:eastAsiaTheme="minorEastAsia" w:hAnsi="Cambria Math"/>
            </w:rPr>
            <m:t xml:space="preserve"> ~ N(</m:t>
          </m:r>
          <m:r>
            <w:rPr>
              <w:rFonts w:ascii="Cambria Math" w:eastAsiaTheme="minorEastAsia" w:hAnsi="Cambria Math"/>
            </w:rPr>
            <m:t>μ=0,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m:oMathPara>
    </w:p>
    <w:p w:rsidR="00F527F7" w:rsidRDefault="00F527F7" w:rsidP="00D654CC"/>
    <w:p w:rsidR="005C4BEF" w:rsidRDefault="005C4BEF" w:rsidP="00D654CC">
      <w:r>
        <w:t>The two simplest ways to do this are the Cumulative Forecast (simply average all of the data), and the Naïve Forecast (just predict the last value).</w:t>
      </w:r>
    </w:p>
    <w:p w:rsidR="005C4BEF" w:rsidRDefault="005C4BEF" w:rsidP="00D654CC"/>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960"/>
      </w:tblGrid>
      <w:tr w:rsidR="005C4BEF" w:rsidTr="00F527F7">
        <w:tc>
          <w:tcPr>
            <w:tcW w:w="4140" w:type="dxa"/>
            <w:tcBorders>
              <w:bottom w:val="single" w:sz="4" w:space="0" w:color="auto"/>
            </w:tcBorders>
          </w:tcPr>
          <w:p w:rsidR="005C4BEF" w:rsidRDefault="005C4BEF" w:rsidP="00D654CC">
            <w:r>
              <w:t>Cumulative Forecast</w:t>
            </w:r>
          </w:p>
        </w:tc>
        <w:tc>
          <w:tcPr>
            <w:tcW w:w="3960" w:type="dxa"/>
            <w:tcBorders>
              <w:bottom w:val="single" w:sz="4" w:space="0" w:color="auto"/>
            </w:tcBorders>
          </w:tcPr>
          <w:p w:rsidR="005C4BEF" w:rsidRDefault="005C4BEF" w:rsidP="00D654CC">
            <w:r>
              <w:t>Naïve Forecast</w:t>
            </w:r>
          </w:p>
        </w:tc>
      </w:tr>
      <w:tr w:rsidR="005C4BEF" w:rsidTr="00F527F7">
        <w:tc>
          <w:tcPr>
            <w:tcW w:w="4140" w:type="dxa"/>
            <w:tcBorders>
              <w:top w:val="single" w:sz="4" w:space="0" w:color="auto"/>
            </w:tcBorders>
          </w:tcPr>
          <w:p w:rsidR="005C4BEF" w:rsidRDefault="00F527F7" w:rsidP="005C4BEF">
            <w:pPr>
              <w:spacing w:after="120"/>
              <w:contextualSpacing w:val="0"/>
              <w:rPr>
                <w:rFonts w:eastAsiaTheme="minorEastAsia"/>
              </w:rPr>
            </w:pPr>
            <w:r>
              <w:rPr>
                <w:rFonts w:eastAsiaTheme="minorEastAsia"/>
              </w:rPr>
              <w:t xml:space="preserve">Average all observations (from 1 to </w:t>
            </w:r>
            <w:r w:rsidRPr="00F527F7">
              <w:rPr>
                <w:rFonts w:eastAsiaTheme="minorEastAsia"/>
                <w:i/>
              </w:rPr>
              <w:t>t</w:t>
            </w:r>
            <w:r>
              <w:rPr>
                <w:rFonts w:eastAsiaTheme="minorEastAsia"/>
              </w:rPr>
              <w:t>):</w:t>
            </w:r>
          </w:p>
          <w:p w:rsidR="005C4BEF" w:rsidRPr="005C4BEF" w:rsidRDefault="005C4BEF" w:rsidP="005C4BEF">
            <w:pPr>
              <w:spacing w:after="120"/>
              <w:ind w:left="720"/>
              <w:contextualSpacing w:val="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3960" w:type="dxa"/>
            <w:tcBorders>
              <w:top w:val="single" w:sz="4" w:space="0" w:color="auto"/>
            </w:tcBorders>
          </w:tcPr>
          <w:p w:rsidR="00F527F7" w:rsidRDefault="00F527F7" w:rsidP="005C4BEF">
            <w:pPr>
              <w:spacing w:after="120"/>
              <w:contextualSpacing w:val="0"/>
              <w:rPr>
                <w:rFonts w:eastAsiaTheme="minorEastAsia"/>
              </w:rPr>
            </w:pPr>
            <w:r>
              <w:rPr>
                <w:rFonts w:eastAsiaTheme="minorEastAsia"/>
              </w:rPr>
              <w:t>Use the last observation as the next forecast:</w:t>
            </w:r>
          </w:p>
          <w:p w:rsidR="005C4BEF" w:rsidRPr="00F527F7" w:rsidRDefault="005C4BEF" w:rsidP="00F527F7">
            <w:pPr>
              <w:ind w:left="612"/>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m:oMathPara>
          </w:p>
        </w:tc>
      </w:tr>
    </w:tbl>
    <w:p w:rsidR="005C4BEF" w:rsidRDefault="005C4BEF" w:rsidP="00D654CC"/>
    <w:p w:rsidR="005C4BEF" w:rsidRDefault="005C4BEF" w:rsidP="00D654CC">
      <w:r>
        <w:t xml:space="preserve">The Cumulative Forecast uses all data points and is suitable if the level never changes.  The Naïve Forecast is more robust if the level changes, as it will change immediately with it.  However, the Naïve forecast will also be more volatile or “jumpy” whereas the cumulative forecast will be </w:t>
      </w:r>
      <w:proofErr w:type="gramStart"/>
      <w:r>
        <w:t>more steady</w:t>
      </w:r>
      <w:proofErr w:type="gramEnd"/>
      <w:r>
        <w:t xml:space="preserve"> over time.</w:t>
      </w:r>
    </w:p>
    <w:p w:rsidR="00F527F7" w:rsidRDefault="00F527F7" w:rsidP="00D654CC"/>
    <w:p w:rsidR="00F527F7" w:rsidRDefault="00F527F7" w:rsidP="00F527F7">
      <w:pPr>
        <w:pStyle w:val="Heading2"/>
      </w:pPr>
      <w:bookmarkStart w:id="6" w:name="_Toc445126776"/>
      <w:r>
        <w:t>Moving Averages</w:t>
      </w:r>
      <w:bookmarkEnd w:id="6"/>
    </w:p>
    <w:p w:rsidR="00F527F7" w:rsidRDefault="00F527F7" w:rsidP="00D654CC"/>
    <w:p w:rsidR="00F527F7" w:rsidRDefault="00F527F7" w:rsidP="00D654CC">
      <w:r>
        <w:t xml:space="preserve">Moving averages combine the good properties of the cumulative and naïve forecasts.  They average data so that they are </w:t>
      </w:r>
      <w:proofErr w:type="gramStart"/>
      <w:r>
        <w:t>more steady</w:t>
      </w:r>
      <w:proofErr w:type="gramEnd"/>
      <w:r>
        <w:t xml:space="preserve"> and less volatile over time.  They also can respond to level changes (although it may take a few observations before they completely adjust).  The simplest way to do this is to use a moving average:</w:t>
      </w:r>
    </w:p>
    <w:p w:rsidR="00F527F7" w:rsidRDefault="00F527F7" w:rsidP="00D654CC"/>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F527F7" w:rsidTr="00F527F7">
        <w:tc>
          <w:tcPr>
            <w:tcW w:w="8100" w:type="dxa"/>
            <w:tcBorders>
              <w:bottom w:val="single" w:sz="4" w:space="0" w:color="auto"/>
            </w:tcBorders>
          </w:tcPr>
          <w:p w:rsidR="00F527F7" w:rsidRDefault="00F527F7" w:rsidP="00F70B10">
            <w:r>
              <w:t>Moving Average</w:t>
            </w:r>
          </w:p>
        </w:tc>
      </w:tr>
      <w:tr w:rsidR="00F527F7" w:rsidRPr="005C4BEF" w:rsidTr="00F527F7">
        <w:tc>
          <w:tcPr>
            <w:tcW w:w="8100" w:type="dxa"/>
            <w:tcBorders>
              <w:top w:val="single" w:sz="4" w:space="0" w:color="auto"/>
            </w:tcBorders>
          </w:tcPr>
          <w:p w:rsidR="00F527F7" w:rsidRDefault="00F527F7" w:rsidP="00F70B10">
            <w:pPr>
              <w:spacing w:after="120"/>
              <w:contextualSpacing w:val="0"/>
              <w:rPr>
                <w:rFonts w:eastAsiaTheme="minorEastAsia"/>
              </w:rPr>
            </w:pPr>
            <w:r>
              <w:rPr>
                <w:rFonts w:eastAsiaTheme="minorEastAsia"/>
              </w:rPr>
              <w:t xml:space="preserve">Take the average of the last </w:t>
            </w:r>
            <w:r w:rsidRPr="00F527F7">
              <w:rPr>
                <w:rFonts w:eastAsiaTheme="minorEastAsia"/>
                <w:i/>
              </w:rPr>
              <w:t>N</w:t>
            </w:r>
            <w:r>
              <w:rPr>
                <w:rFonts w:eastAsiaTheme="minorEastAsia"/>
              </w:rPr>
              <w:t xml:space="preserve"> observations</w:t>
            </w:r>
          </w:p>
          <w:p w:rsidR="00F527F7" w:rsidRPr="005C4BEF" w:rsidRDefault="00F527F7" w:rsidP="00F527F7">
            <w:pPr>
              <w:spacing w:after="120"/>
              <w:ind w:left="720"/>
              <w:contextualSpacing w:val="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i=t+1-N</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r>
    </w:tbl>
    <w:p w:rsidR="00473844" w:rsidRDefault="00F527F7" w:rsidP="00D654CC">
      <w:r w:rsidRPr="00496386">
        <w:rPr>
          <w:i/>
        </w:rPr>
        <w:t>N</w:t>
      </w:r>
      <w:r>
        <w:t xml:space="preserve"> can be set as needed.  Note that if </w:t>
      </w:r>
      <m:oMath>
        <m:r>
          <w:rPr>
            <w:rFonts w:ascii="Cambria Math" w:hAnsi="Cambria Math"/>
          </w:rPr>
          <m:t xml:space="preserve">N=1 </m:t>
        </m:r>
      </m:oMath>
      <w:r>
        <w:t xml:space="preserve">this produces the naïve forecast and if </w:t>
      </w:r>
      <m:oMath>
        <m:r>
          <w:rPr>
            <w:rFonts w:ascii="Cambria Math" w:hAnsi="Cambria Math"/>
          </w:rPr>
          <m:t>N=t</m:t>
        </m:r>
      </m:oMath>
      <w:r>
        <w:t xml:space="preserve"> this produces the cumulative forecast.</w:t>
      </w:r>
    </w:p>
    <w:p w:rsidR="00473844" w:rsidRDefault="00473844" w:rsidP="00473844">
      <w:r>
        <w:br w:type="page"/>
      </w:r>
    </w:p>
    <w:p w:rsidR="00F527F7" w:rsidRPr="00473844" w:rsidRDefault="00473844" w:rsidP="00496386">
      <w:pPr>
        <w:pStyle w:val="Heading2"/>
      </w:pPr>
      <w:bookmarkStart w:id="7" w:name="_Toc445126777"/>
      <w:r w:rsidRPr="00473844">
        <w:lastRenderedPageBreak/>
        <w:t>Simple Exponential Smoothing</w:t>
      </w:r>
      <w:bookmarkEnd w:id="7"/>
    </w:p>
    <w:p w:rsidR="00473844" w:rsidRDefault="00473844" w:rsidP="00D654CC"/>
    <w:p w:rsidR="00473844" w:rsidRDefault="00473844" w:rsidP="00D654CC">
      <w:r>
        <w:t>An alternate approach is to use exponential smoothing.  This differs from a moving average in that a moving average places equal value on each observation.  The exponential smoothing uses weights that place less value on older values.  This implies that older data is less relevant to today’s forecast – which typically makes sense.  The interesting thing about exponential smoothing is that it never really throws away old data though.  It just weights it less heavily than more recent data.</w:t>
      </w:r>
    </w:p>
    <w:p w:rsidR="00473844" w:rsidRDefault="00473844" w:rsidP="00D654CC"/>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473844" w:rsidTr="00F70B10">
        <w:tc>
          <w:tcPr>
            <w:tcW w:w="8100" w:type="dxa"/>
            <w:tcBorders>
              <w:bottom w:val="single" w:sz="4" w:space="0" w:color="auto"/>
            </w:tcBorders>
          </w:tcPr>
          <w:p w:rsidR="00473844" w:rsidRDefault="00473844" w:rsidP="00F70B10">
            <w:r>
              <w:t>Simple Exponential Smoothing</w:t>
            </w:r>
          </w:p>
        </w:tc>
      </w:tr>
      <w:tr w:rsidR="00473844" w:rsidRPr="005C4BEF" w:rsidTr="00F70B10">
        <w:tc>
          <w:tcPr>
            <w:tcW w:w="8100" w:type="dxa"/>
            <w:tcBorders>
              <w:top w:val="single" w:sz="4" w:space="0" w:color="auto"/>
            </w:tcBorders>
          </w:tcPr>
          <w:p w:rsidR="00473844" w:rsidRDefault="00473844" w:rsidP="00473844">
            <w:pPr>
              <w:spacing w:before="120" w:after="120"/>
              <w:contextualSpacing w:val="0"/>
              <w:rPr>
                <w:rFonts w:eastAsiaTheme="minorEastAsia"/>
              </w:rPr>
            </w:pPr>
            <w:r>
              <w:rPr>
                <w:rFonts w:eastAsiaTheme="minorEastAsia"/>
              </w:rPr>
              <w:t xml:space="preserve">Take a weighted average of the last observation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and the previous estimate of the level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t-1</m:t>
                  </m:r>
                </m:sub>
              </m:sSub>
            </m:oMath>
            <w:r>
              <w:rPr>
                <w:rFonts w:eastAsiaTheme="minorEastAsia"/>
              </w:rPr>
              <w:t xml:space="preserve"> using weights </w:t>
            </w:r>
            <m:oMath>
              <m:r>
                <w:rPr>
                  <w:rFonts w:ascii="Cambria Math" w:hAnsi="Cambria Math"/>
                </w:rPr>
                <m:t>α</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(1-</m:t>
              </m:r>
              <m:r>
                <w:rPr>
                  <w:rFonts w:ascii="Cambria Math" w:hAnsi="Cambria Math"/>
                </w:rPr>
                <m:t xml:space="preserve"> α</m:t>
              </m:r>
              <m:r>
                <w:rPr>
                  <w:rFonts w:ascii="Cambria Math" w:eastAsiaTheme="minorEastAsia" w:hAnsi="Cambria Math"/>
                </w:rPr>
                <m:t>)</m:t>
              </m:r>
            </m:oMath>
            <w:r>
              <w:rPr>
                <w:rFonts w:eastAsiaTheme="minorEastAsia"/>
              </w:rPr>
              <w:t xml:space="preserve">.  </w:t>
            </w:r>
            <m:oMath>
              <m:r>
                <w:rPr>
                  <w:rFonts w:ascii="Cambria Math" w:hAnsi="Cambria Math"/>
                </w:rPr>
                <m:t>α</m:t>
              </m:r>
            </m:oMath>
            <w:r>
              <w:rPr>
                <w:rFonts w:eastAsiaTheme="minorEastAsia"/>
              </w:rPr>
              <w:t xml:space="preserve"> </w:t>
            </w:r>
            <w:proofErr w:type="gramStart"/>
            <w:r>
              <w:rPr>
                <w:rFonts w:eastAsiaTheme="minorEastAsia"/>
              </w:rPr>
              <w:t>is</w:t>
            </w:r>
            <w:proofErr w:type="gramEnd"/>
            <w:r>
              <w:rPr>
                <w:rFonts w:eastAsiaTheme="minorEastAsia"/>
              </w:rPr>
              <w:t xml:space="preserve"> the blending coefficient and determines how quickly new data is incorporated into the model.</w:t>
            </w:r>
          </w:p>
          <w:p w:rsidR="00473844" w:rsidRPr="00473844" w:rsidRDefault="00473844" w:rsidP="00473844">
            <w:pPr>
              <w:spacing w:before="120" w:after="120"/>
              <w:contextualSpacing w:val="0"/>
              <w:rPr>
                <w:rFonts w:eastAsiaTheme="minorEastAsia"/>
                <w:sz w:val="12"/>
              </w:rPr>
            </w:pPr>
          </w:p>
          <w:p w:rsidR="00F70B10" w:rsidRPr="00F70B10" w:rsidRDefault="00F70B10" w:rsidP="00473844">
            <w:pPr>
              <w:spacing w:before="120" w:after="120"/>
              <w:ind w:left="720"/>
              <w:contextualSpacing w:val="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oMath>
            </m:oMathPara>
          </w:p>
          <w:p w:rsidR="00473844" w:rsidRPr="00473844" w:rsidRDefault="00473844" w:rsidP="00473844">
            <w:pPr>
              <w:spacing w:before="120" w:after="120"/>
              <w:ind w:left="720"/>
              <w:contextualSpacing w:val="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+(1-α)</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t-1</m:t>
                    </m:r>
                  </m:sub>
                </m:sSub>
              </m:oMath>
            </m:oMathPara>
          </w:p>
          <w:p w:rsidR="00473844" w:rsidRPr="00473844" w:rsidRDefault="00473844" w:rsidP="00473844">
            <w:pPr>
              <w:spacing w:before="120" w:after="120"/>
              <w:ind w:left="720"/>
              <w:contextualSpacing w:val="0"/>
              <w:rPr>
                <w:rFonts w:eastAsiaTheme="minorEastAsia"/>
              </w:rPr>
            </w:pPr>
            <m:oMath>
              <m:r>
                <w:rPr>
                  <w:rFonts w:ascii="Cambria Math" w:eastAsiaTheme="minorEastAsia" w:hAnsi="Cambria Math"/>
                </w:rPr>
                <m:t>0</m:t>
              </m:r>
              <m:r>
                <w:rPr>
                  <w:rFonts w:ascii="Cambria Math" w:eastAsiaTheme="minorEastAsia" w:hAnsi="Cambria Math"/>
                </w:rPr>
                <m:t>≤</m:t>
              </m:r>
              <m:r>
                <w:rPr>
                  <w:rFonts w:ascii="Cambria Math" w:hAnsi="Cambria Math"/>
                </w:rPr>
                <m:t>α</m:t>
              </m:r>
              <m:r>
                <w:rPr>
                  <w:rFonts w:ascii="Cambria Math" w:hAnsi="Cambria Math"/>
                </w:rPr>
                <m:t>≤1</m:t>
              </m:r>
            </m:oMath>
            <w:r>
              <w:rPr>
                <w:rFonts w:eastAsiaTheme="minorEastAsia"/>
              </w:rPr>
              <w:t xml:space="preserve">  Smoothing coefficient.  (In practice, use: </w:t>
            </w:r>
            <m:oMath>
              <m:r>
                <w:rPr>
                  <w:rFonts w:ascii="Cambria Math" w:eastAsiaTheme="minorEastAsia" w:hAnsi="Cambria Math"/>
                </w:rPr>
                <m:t>0</m:t>
              </m:r>
              <m:r>
                <w:rPr>
                  <w:rFonts w:ascii="Cambria Math" w:eastAsiaTheme="minorEastAsia" w:hAnsi="Cambria Math"/>
                </w:rPr>
                <m:t>.1≤</m:t>
              </m:r>
              <m:r>
                <w:rPr>
                  <w:rFonts w:ascii="Cambria Math" w:hAnsi="Cambria Math"/>
                </w:rPr>
                <m:t>α</m:t>
              </m:r>
              <m:r>
                <w:rPr>
                  <w:rFonts w:ascii="Cambria Math" w:hAnsi="Cambria Math"/>
                </w:rPr>
                <m:t>≤0.3</m:t>
              </m:r>
            </m:oMath>
            <w:r>
              <w:rPr>
                <w:rFonts w:eastAsiaTheme="minorEastAsia"/>
              </w:rPr>
              <w:t>)</w:t>
            </w:r>
          </w:p>
        </w:tc>
      </w:tr>
    </w:tbl>
    <w:p w:rsidR="00473844" w:rsidRDefault="00473844" w:rsidP="00D654CC"/>
    <w:p w:rsidR="00473844" w:rsidRDefault="006E6028" w:rsidP="00D654CC">
      <w:r>
        <w:t>This model can be initialized with a single value:</w:t>
      </w:r>
    </w:p>
    <w:p w:rsidR="00473844" w:rsidRDefault="00473844" w:rsidP="00D654CC"/>
    <w:p w:rsidR="00473844" w:rsidRPr="006E6028" w:rsidRDefault="00473844" w:rsidP="006E6028">
      <w:pPr>
        <w:ind w:left="72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6E6028" w:rsidRPr="006E6028" w:rsidRDefault="006E6028" w:rsidP="006E6028">
      <w:pPr>
        <w:rPr>
          <w:rFonts w:eastAsiaTheme="minorEastAsia"/>
        </w:rPr>
      </w:pPr>
    </w:p>
    <w:p w:rsidR="006E6028" w:rsidRDefault="006E6028" w:rsidP="006E6028">
      <w:pPr>
        <w:rPr>
          <w:rFonts w:eastAsiaTheme="minorEastAsia"/>
        </w:rPr>
      </w:pPr>
      <w:r>
        <w:rPr>
          <w:rFonts w:eastAsiaTheme="minorEastAsia"/>
        </w:rPr>
        <w:t>Alternate methods may also be used.  For example, we could use the simple average of the first few values if we want a more stable starting point.  Over time, the initial value will become less and less relevant as new data is added.</w:t>
      </w:r>
    </w:p>
    <w:p w:rsidR="006E6028" w:rsidRDefault="006E6028" w:rsidP="006E6028">
      <w:pPr>
        <w:rPr>
          <w:rFonts w:eastAsiaTheme="minorEastAsia"/>
        </w:rPr>
      </w:pPr>
    </w:p>
    <w:p w:rsidR="006E6028" w:rsidRDefault="006E6028" w:rsidP="006E6028">
      <w:pPr>
        <w:rPr>
          <w:rFonts w:eastAsiaTheme="minorEastAsia"/>
        </w:rPr>
      </w:pPr>
      <w:r>
        <w:rPr>
          <w:rFonts w:eastAsiaTheme="minorEastAsia"/>
        </w:rPr>
        <w:t>This method is called exponential smoothing because it is equivalent to taking a weighted average of all available data using exponentially decaying weights (after sufficient data is available):</w:t>
      </w:r>
    </w:p>
    <w:p w:rsidR="006E6028" w:rsidRDefault="006E6028" w:rsidP="006E6028">
      <w:pPr>
        <w:rPr>
          <w:rFonts w:eastAsiaTheme="minorEastAsia"/>
        </w:rPr>
      </w:pPr>
    </w:p>
    <w:p w:rsidR="006E6028" w:rsidRPr="006E6028" w:rsidRDefault="006E6028" w:rsidP="006E6028">
      <w:pPr>
        <w:ind w:left="72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α</m:t>
              </m:r>
            </m:e>
          </m:nary>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i</m:t>
              </m:r>
            </m:sup>
          </m:sSup>
        </m:oMath>
      </m:oMathPara>
    </w:p>
    <w:p w:rsidR="006E6028" w:rsidRPr="006E6028" w:rsidRDefault="006E6028" w:rsidP="006E6028">
      <w:pPr>
        <w:rPr>
          <w:rFonts w:eastAsiaTheme="minorEastAsia"/>
        </w:rPr>
      </w:pPr>
    </w:p>
    <w:p w:rsidR="00496386" w:rsidRDefault="00496386" w:rsidP="00496386">
      <w:pPr>
        <w:pStyle w:val="Heading1"/>
      </w:pPr>
      <w:bookmarkStart w:id="8" w:name="_Toc445126778"/>
      <w:r>
        <w:t>Forecasting Data with a Level and Trend</w:t>
      </w:r>
      <w:bookmarkEnd w:id="8"/>
    </w:p>
    <w:p w:rsidR="00496386" w:rsidRDefault="00496386" w:rsidP="006E6028">
      <w:pPr>
        <w:rPr>
          <w:rFonts w:eastAsiaTheme="minorEastAsia"/>
        </w:rPr>
      </w:pPr>
    </w:p>
    <w:p w:rsidR="00F70B10" w:rsidRDefault="00F70B10" w:rsidP="006E6028">
      <w:pPr>
        <w:rPr>
          <w:rFonts w:eastAsiaTheme="minorEastAsia"/>
        </w:rPr>
      </w:pPr>
      <w:r>
        <w:rPr>
          <w:rFonts w:eastAsiaTheme="minorEastAsia"/>
        </w:rPr>
        <w:t>If a time series has both level and trend, we assume it has the form:</w:t>
      </w:r>
    </w:p>
    <w:p w:rsidR="00F70B10" w:rsidRDefault="00F70B10" w:rsidP="00F70B10"/>
    <w:p w:rsidR="00F70B10" w:rsidRPr="00F527F7" w:rsidRDefault="00F70B10" w:rsidP="00F70B10">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a+bt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F70B10" w:rsidRPr="0062048A" w:rsidRDefault="00F70B10" w:rsidP="00F70B10">
      <w:pPr>
        <w:ind w:left="720"/>
        <w:rPr>
          <w:rFonts w:eastAsiaTheme="minorEastAsia"/>
          <w:sz w:val="12"/>
        </w:rPr>
      </w:pPr>
    </w:p>
    <w:p w:rsidR="00F70B10" w:rsidRDefault="00F70B10" w:rsidP="0062048A">
      <w:pPr>
        <w:ind w:left="1080"/>
        <w:rPr>
          <w:rFonts w:eastAsiaTheme="minorEastAsia"/>
        </w:rPr>
      </w:pPr>
      <w:r w:rsidRPr="00496386">
        <w:rPr>
          <w:rFonts w:eastAsiaTheme="minorEastAsia"/>
          <w:i/>
        </w:rPr>
        <w:t>a</w:t>
      </w:r>
      <w:r>
        <w:rPr>
          <w:rFonts w:eastAsiaTheme="minorEastAsia"/>
        </w:rPr>
        <w:t xml:space="preserve"> = level</w:t>
      </w:r>
      <w:r w:rsidR="0062048A">
        <w:rPr>
          <w:rFonts w:eastAsiaTheme="minorEastAsia"/>
        </w:rPr>
        <w:t>, b = trend</w:t>
      </w:r>
    </w:p>
    <w:p w:rsidR="00F70B10" w:rsidRPr="00F70B10" w:rsidRDefault="00F70B10" w:rsidP="00F70B10">
      <w:pPr>
        <w:ind w:left="1080"/>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m:rPr>
              <m:scr m:val="script"/>
            </m:rPr>
            <w:rPr>
              <w:rFonts w:ascii="Cambria Math" w:eastAsiaTheme="minorEastAsia" w:hAnsi="Cambria Math"/>
            </w:rPr>
            <m:t xml:space="preserve"> ~ N(</m:t>
          </m:r>
          <m:r>
            <w:rPr>
              <w:rFonts w:ascii="Cambria Math" w:eastAsiaTheme="minorEastAsia" w:hAnsi="Cambria Math"/>
            </w:rPr>
            <m:t>μ=0,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m:oMathPara>
    </w:p>
    <w:p w:rsidR="00F70B10" w:rsidRDefault="00F70B10" w:rsidP="006E6028">
      <w:pPr>
        <w:rPr>
          <w:rFonts w:eastAsiaTheme="minorEastAsia"/>
        </w:rPr>
      </w:pPr>
    </w:p>
    <w:p w:rsidR="00F70B10" w:rsidRDefault="00F70B10" w:rsidP="006E6028">
      <w:pPr>
        <w:rPr>
          <w:rFonts w:eastAsiaTheme="minorEastAsia"/>
        </w:rPr>
      </w:pPr>
      <w:r>
        <w:rPr>
          <w:rFonts w:eastAsiaTheme="minorEastAsia"/>
        </w:rPr>
        <w:lastRenderedPageBreak/>
        <w:t xml:space="preserve">We could build a model simply by applying a linear regression to our data over time, but if the </w:t>
      </w:r>
      <w:proofErr w:type="gramStart"/>
      <w:r>
        <w:rPr>
          <w:rFonts w:eastAsiaTheme="minorEastAsia"/>
        </w:rPr>
        <w:t>level of trend change</w:t>
      </w:r>
      <w:proofErr w:type="gramEnd"/>
      <w:r>
        <w:rPr>
          <w:rFonts w:eastAsiaTheme="minorEastAsia"/>
        </w:rPr>
        <w:t xml:space="preserve"> over time this would not work.  Again, this is where exponential smoothing can be used to build a model where both level and trend can adjust over time.</w:t>
      </w:r>
    </w:p>
    <w:p w:rsidR="00F70B10" w:rsidRDefault="00F70B10" w:rsidP="006E6028">
      <w:pPr>
        <w:rPr>
          <w:rFonts w:eastAsiaTheme="minorEastAsia"/>
        </w:rPr>
      </w:pPr>
    </w:p>
    <w:p w:rsidR="006E6028" w:rsidRDefault="00496386" w:rsidP="00496386">
      <w:pPr>
        <w:pStyle w:val="Heading2"/>
      </w:pPr>
      <w:bookmarkStart w:id="9" w:name="_Toc445126779"/>
      <w:r>
        <w:t>Double Exponential Smoothing (Holt Model)</w:t>
      </w:r>
      <w:bookmarkEnd w:id="9"/>
    </w:p>
    <w:p w:rsidR="00496386" w:rsidRDefault="00496386" w:rsidP="006E6028">
      <w:pPr>
        <w:rPr>
          <w:rFonts w:eastAsiaTheme="minorEastAsia"/>
        </w:rPr>
      </w:pPr>
    </w:p>
    <w:p w:rsidR="00F70B10" w:rsidRDefault="00F70B10" w:rsidP="006E6028">
      <w:pPr>
        <w:rPr>
          <w:rFonts w:eastAsiaTheme="minorEastAsia"/>
        </w:rPr>
      </w:pPr>
      <w:r>
        <w:rPr>
          <w:rFonts w:eastAsiaTheme="minorEastAsia"/>
        </w:rPr>
        <w:t>Double exponential smoothing uses an estimate of the current level and trend to produce a forecast of the form:</w:t>
      </w:r>
    </w:p>
    <w:p w:rsidR="00F70B10" w:rsidRDefault="00F70B10" w:rsidP="006E6028">
      <w:pPr>
        <w:rPr>
          <w:rFonts w:eastAsiaTheme="minorEastAsia"/>
        </w:rPr>
      </w:pPr>
    </w:p>
    <w:p w:rsidR="00F70B10" w:rsidRPr="00F70B10" w:rsidRDefault="00F70B10" w:rsidP="00F70B10">
      <w:pPr>
        <w:ind w:left="720"/>
        <w:rPr>
          <w:rFonts w:eastAsiaTheme="minorEastAsia"/>
        </w:rPr>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t,t+τ</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+τ</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m:t>
              </m:r>
            </m:sub>
          </m:sSub>
        </m:oMath>
      </m:oMathPara>
    </w:p>
    <w:p w:rsidR="00F70B10" w:rsidRDefault="00F70B10" w:rsidP="00F70B10">
      <w:pPr>
        <w:rPr>
          <w:rFonts w:eastAsiaTheme="minorEastAsia"/>
        </w:rPr>
      </w:pPr>
    </w:p>
    <w:p w:rsidR="00F70B10" w:rsidRDefault="00F70B10" w:rsidP="00F70B10">
      <w:r>
        <w:t>The method for updating both level and trend is given below:</w:t>
      </w:r>
    </w:p>
    <w:p w:rsidR="00F70B10" w:rsidRDefault="00F70B10" w:rsidP="00F70B10">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5670"/>
      </w:tblGrid>
      <w:tr w:rsidR="00F70B10" w:rsidTr="00F70B10">
        <w:tc>
          <w:tcPr>
            <w:tcW w:w="3888" w:type="dxa"/>
            <w:tcBorders>
              <w:bottom w:val="single" w:sz="4" w:space="0" w:color="auto"/>
            </w:tcBorders>
          </w:tcPr>
          <w:p w:rsidR="00F70B10" w:rsidRDefault="00F70B10" w:rsidP="00F70B10">
            <w:pPr>
              <w:spacing w:after="120"/>
              <w:contextualSpacing w:val="0"/>
            </w:pPr>
            <w:r>
              <w:t>Updating Equation</w:t>
            </w:r>
          </w:p>
        </w:tc>
        <w:tc>
          <w:tcPr>
            <w:tcW w:w="5670" w:type="dxa"/>
            <w:tcBorders>
              <w:bottom w:val="single" w:sz="4" w:space="0" w:color="auto"/>
            </w:tcBorders>
          </w:tcPr>
          <w:p w:rsidR="00F70B10" w:rsidRDefault="00F70B10" w:rsidP="00F70B10">
            <w:pPr>
              <w:spacing w:after="120"/>
              <w:contextualSpacing w:val="0"/>
            </w:pPr>
            <w:r>
              <w:t>Interpretation</w:t>
            </w:r>
          </w:p>
        </w:tc>
      </w:tr>
      <w:tr w:rsidR="00F70B10" w:rsidTr="00F70B10">
        <w:tc>
          <w:tcPr>
            <w:tcW w:w="3888" w:type="dxa"/>
            <w:tcBorders>
              <w:top w:val="single" w:sz="4" w:space="0" w:color="auto"/>
            </w:tcBorders>
          </w:tcPr>
          <w:p w:rsidR="00F70B10" w:rsidRPr="00726495" w:rsidRDefault="00F70B10" w:rsidP="00F70B10">
            <w:pPr>
              <w:spacing w:after="120"/>
              <w:contextualSpacing w:val="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r>
                  <w:rPr>
                    <w:rFonts w:ascii="Cambria Math" w:eastAsiaTheme="minorEastAsia" w:hAnsi="Cambria Math"/>
                  </w:rPr>
                  <m:t>α</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eastAsiaTheme="minorEastAsia" w:hAnsi="Cambria Math"/>
                  </w:rPr>
                  <m:t>+(1-α)</m:t>
                </m:r>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t-1</m:t>
                        </m:r>
                      </m:sub>
                    </m:sSub>
                  </m:e>
                </m:d>
              </m:oMath>
            </m:oMathPara>
          </w:p>
        </w:tc>
        <w:tc>
          <w:tcPr>
            <w:tcW w:w="5670" w:type="dxa"/>
            <w:tcBorders>
              <w:top w:val="single" w:sz="4" w:space="0" w:color="auto"/>
            </w:tcBorders>
          </w:tcPr>
          <w:p w:rsidR="00F70B10" w:rsidRPr="0062048A" w:rsidRDefault="00F70B10" w:rsidP="00F70B10">
            <w:pPr>
              <w:rPr>
                <w:sz w:val="22"/>
              </w:rPr>
            </w:pPr>
            <w:r w:rsidRPr="0062048A">
              <w:rPr>
                <w:sz w:val="22"/>
              </w:rPr>
              <w:t>The new level is an average of:</w:t>
            </w:r>
          </w:p>
          <w:p w:rsidR="00F70B10" w:rsidRPr="0062048A" w:rsidRDefault="00F70B10" w:rsidP="00F70B10">
            <w:pPr>
              <w:pStyle w:val="ListParagraph"/>
              <w:numPr>
                <w:ilvl w:val="0"/>
                <w:numId w:val="29"/>
              </w:numPr>
              <w:ind w:left="432"/>
              <w:rPr>
                <w:sz w:val="22"/>
              </w:rPr>
            </w:pPr>
            <w:r w:rsidRPr="0062048A">
              <w:rPr>
                <w:sz w:val="22"/>
              </w:rPr>
              <w:t>The last observation</w:t>
            </w:r>
          </w:p>
          <w:p w:rsidR="00F70B10" w:rsidRPr="0062048A" w:rsidRDefault="00F70B10" w:rsidP="00F70B10">
            <w:pPr>
              <w:pStyle w:val="ListParagraph"/>
              <w:numPr>
                <w:ilvl w:val="0"/>
                <w:numId w:val="29"/>
              </w:numPr>
              <w:ind w:left="432"/>
              <w:rPr>
                <w:sz w:val="22"/>
              </w:rPr>
            </w:pPr>
            <w:r w:rsidRPr="0062048A">
              <w:rPr>
                <w:sz w:val="22"/>
              </w:rPr>
              <w:t>The expected level, taking into account the trend</w:t>
            </w:r>
          </w:p>
          <w:p w:rsidR="00F70B10" w:rsidRPr="00726495" w:rsidRDefault="00F70B10" w:rsidP="00F70B10">
            <w:pPr>
              <w:rPr>
                <w:sz w:val="12"/>
              </w:rPr>
            </w:pPr>
          </w:p>
        </w:tc>
      </w:tr>
      <w:tr w:rsidR="00F70B10" w:rsidTr="00F70B10">
        <w:tc>
          <w:tcPr>
            <w:tcW w:w="3888" w:type="dxa"/>
          </w:tcPr>
          <w:p w:rsidR="00F70B10" w:rsidRPr="00726495" w:rsidRDefault="00F70B10" w:rsidP="00F70B10">
            <w:pPr>
              <w:spacing w:after="120"/>
              <w:contextualSpacing w:val="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r>
                  <w:rPr>
                    <w:rFonts w:ascii="Cambria Math" w:eastAsiaTheme="minorEastAsia" w:hAnsi="Cambria Math"/>
                  </w:rPr>
                  <m:t>β</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t-1</m:t>
                        </m:r>
                      </m:sub>
                    </m:sSub>
                  </m:e>
                </m:d>
                <m:r>
                  <w:rPr>
                    <w:rFonts w:ascii="Cambria Math" w:eastAsiaTheme="minorEastAsia" w:hAnsi="Cambria Math"/>
                  </w:rPr>
                  <m:t>+(1-β)</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t-1</m:t>
                    </m:r>
                  </m:sub>
                </m:sSub>
              </m:oMath>
            </m:oMathPara>
          </w:p>
        </w:tc>
        <w:tc>
          <w:tcPr>
            <w:tcW w:w="5670" w:type="dxa"/>
          </w:tcPr>
          <w:p w:rsidR="00F70B10" w:rsidRPr="0062048A" w:rsidRDefault="00F70B10" w:rsidP="00F70B10">
            <w:pPr>
              <w:rPr>
                <w:sz w:val="22"/>
              </w:rPr>
            </w:pPr>
            <w:r w:rsidRPr="0062048A">
              <w:rPr>
                <w:sz w:val="22"/>
              </w:rPr>
              <w:t>The new trend is an average of:</w:t>
            </w:r>
          </w:p>
          <w:p w:rsidR="00F70B10" w:rsidRPr="0062048A" w:rsidRDefault="00F70B10" w:rsidP="00F70B10">
            <w:pPr>
              <w:pStyle w:val="ListParagraph"/>
              <w:numPr>
                <w:ilvl w:val="0"/>
                <w:numId w:val="30"/>
              </w:numPr>
              <w:ind w:left="432"/>
              <w:rPr>
                <w:sz w:val="22"/>
              </w:rPr>
            </w:pPr>
            <w:r w:rsidRPr="0062048A">
              <w:rPr>
                <w:sz w:val="22"/>
              </w:rPr>
              <w:t>The difference between the current and last level</w:t>
            </w:r>
          </w:p>
          <w:p w:rsidR="00F70B10" w:rsidRPr="0062048A" w:rsidRDefault="00F70B10" w:rsidP="00F70B10">
            <w:pPr>
              <w:pStyle w:val="ListParagraph"/>
              <w:numPr>
                <w:ilvl w:val="0"/>
                <w:numId w:val="30"/>
              </w:numPr>
              <w:ind w:left="432"/>
              <w:rPr>
                <w:sz w:val="22"/>
              </w:rPr>
            </w:pPr>
            <w:r w:rsidRPr="0062048A">
              <w:rPr>
                <w:sz w:val="22"/>
              </w:rPr>
              <w:t>The old trend</w:t>
            </w:r>
          </w:p>
          <w:p w:rsidR="00F70B10" w:rsidRPr="00726495" w:rsidRDefault="00F70B10" w:rsidP="00F70B10">
            <w:pPr>
              <w:ind w:left="360"/>
              <w:rPr>
                <w:sz w:val="12"/>
              </w:rPr>
            </w:pPr>
          </w:p>
        </w:tc>
      </w:tr>
    </w:tbl>
    <w:p w:rsidR="00F70B10" w:rsidRPr="00F70B10" w:rsidRDefault="00F70B10" w:rsidP="00F70B10">
      <w:pPr>
        <w:rPr>
          <w:sz w:val="12"/>
        </w:rPr>
      </w:pPr>
    </w:p>
    <w:p w:rsidR="00F70B10" w:rsidRDefault="00F70B10" w:rsidP="00F70B10">
      <w:r>
        <w:t>Note that these equations should be applied in order.  The new estimate of the level is used in the updating equation for the level.</w:t>
      </w:r>
    </w:p>
    <w:p w:rsidR="00F70B10" w:rsidRDefault="00F70B10" w:rsidP="00F70B10"/>
    <w:p w:rsidR="00F70B10" w:rsidRDefault="00F70B10" w:rsidP="00F70B10">
      <w:pPr>
        <w:pStyle w:val="Heading2"/>
      </w:pPr>
      <w:bookmarkStart w:id="10" w:name="_Toc445126780"/>
      <w:r>
        <w:t>Damped Trends</w:t>
      </w:r>
      <w:bookmarkEnd w:id="10"/>
    </w:p>
    <w:p w:rsidR="00F70B10" w:rsidRDefault="00F70B10" w:rsidP="00F70B10">
      <w:pPr>
        <w:contextualSpacing w:val="0"/>
      </w:pPr>
    </w:p>
    <w:p w:rsidR="00726495" w:rsidRDefault="0062048A" w:rsidP="00F70B10">
      <w:pPr>
        <w:contextualSpacing w:val="0"/>
      </w:pPr>
      <w:r>
        <w:t>Trend models should be used with caution because they will produce trends that continue indefinitely.  If sales are increasing this year, they will continue to increase forever.  Or if sales are decreasing, we may lower the forecast until we are forecasting negative quantities.  A damped trend model overcomes this by forecasting:</w:t>
      </w:r>
    </w:p>
    <w:p w:rsidR="0062048A" w:rsidRPr="0062048A" w:rsidRDefault="0062048A" w:rsidP="00F70B10">
      <w:pPr>
        <w:contextualSpacing w:val="0"/>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2048A" w:rsidTr="0062048A">
        <w:tc>
          <w:tcPr>
            <w:tcW w:w="4788" w:type="dxa"/>
          </w:tcPr>
          <w:p w:rsidR="0062048A" w:rsidRPr="0062048A" w:rsidRDefault="0062048A" w:rsidP="0062048A">
            <w:pPr>
              <w:ind w:left="720"/>
              <w:contextualSpacing w:val="0"/>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t,t+τ</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τ</m:t>
                    </m:r>
                  </m:sup>
                  <m:e>
                    <m:sSup>
                      <m:sSupPr>
                        <m:ctrlPr>
                          <w:rPr>
                            <w:rFonts w:ascii="Cambria Math" w:hAnsi="Cambria Math"/>
                            <w:i/>
                          </w:rPr>
                        </m:ctrlPr>
                      </m:sSupPr>
                      <m:e>
                        <m:r>
                          <w:rPr>
                            <w:rFonts w:ascii="Cambria Math" w:hAnsi="Cambria Math"/>
                          </w:rPr>
                          <m:t>ϕ</m:t>
                        </m:r>
                      </m:e>
                      <m:sup>
                        <m:r>
                          <w:rPr>
                            <w:rFonts w:ascii="Cambria Math" w:hAnsi="Cambria Math"/>
                          </w:rPr>
                          <m:t>i</m:t>
                        </m:r>
                      </m:sup>
                    </m:sSup>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b</m:t>
                            </m:r>
                          </m:e>
                        </m:acc>
                      </m:e>
                      <m:sub>
                        <m:r>
                          <w:rPr>
                            <w:rFonts w:ascii="Cambria Math" w:hAnsi="Cambria Math"/>
                          </w:rPr>
                          <m:t>t</m:t>
                        </m:r>
                      </m:sub>
                    </m:sSub>
                  </m:e>
                </m:nary>
              </m:oMath>
            </m:oMathPara>
          </w:p>
        </w:tc>
        <w:tc>
          <w:tcPr>
            <w:tcW w:w="4788" w:type="dxa"/>
            <w:vAlign w:val="center"/>
          </w:tcPr>
          <w:p w:rsidR="0062048A" w:rsidRPr="0062048A" w:rsidRDefault="0062048A" w:rsidP="0062048A">
            <w:pPr>
              <w:contextualSpacing w:val="0"/>
            </w:pPr>
            <m:oMathPara>
              <m:oMathParaPr>
                <m:jc m:val="left"/>
              </m:oMathParaPr>
              <m:oMath>
                <m:r>
                  <w:rPr>
                    <w:rFonts w:ascii="Cambria Math" w:hAnsi="Cambria Math"/>
                  </w:rPr>
                  <m:t>0≤</m:t>
                </m:r>
                <m:r>
                  <w:rPr>
                    <w:rFonts w:ascii="Cambria Math" w:hAnsi="Cambria Math"/>
                  </w:rPr>
                  <m:t>ϕ</m:t>
                </m:r>
                <m:r>
                  <w:rPr>
                    <w:rFonts w:ascii="Cambria Math" w:hAnsi="Cambria Math"/>
                  </w:rPr>
                  <m:t>≤</m:t>
                </m:r>
                <m:r>
                  <w:rPr>
                    <w:rFonts w:ascii="Cambria Math" w:hAnsi="Cambria Math"/>
                  </w:rPr>
                  <m:t>1</m:t>
                </m:r>
              </m:oMath>
            </m:oMathPara>
          </w:p>
        </w:tc>
      </w:tr>
    </w:tbl>
    <w:p w:rsidR="0062048A" w:rsidRDefault="0062048A" w:rsidP="00F70B10">
      <w:pPr>
        <w:contextualSpacing w:val="0"/>
      </w:pPr>
    </w:p>
    <w:p w:rsidR="0062048A" w:rsidRPr="0062048A" w:rsidRDefault="0062048A" w:rsidP="00F70B10">
      <w:pPr>
        <w:contextualSpacing w:val="0"/>
      </w:pPr>
      <w:proofErr w:type="gramStart"/>
      <w:r>
        <w:t xml:space="preserve">If </w:t>
      </w:r>
      <m:oMath>
        <m:r>
          <w:rPr>
            <w:rFonts w:ascii="Cambria Math" w:hAnsi="Cambria Math"/>
          </w:rPr>
          <m:t>ϕ</m:t>
        </m:r>
        <m:r>
          <w:rPr>
            <w:rFonts w:ascii="Cambria Math" w:hAnsi="Cambria Math"/>
          </w:rPr>
          <m:t>=1</m:t>
        </m:r>
      </m:oMath>
      <w:r>
        <w:rPr>
          <w:rFonts w:eastAsiaTheme="minorEastAsia"/>
        </w:rPr>
        <w:t xml:space="preserve"> this is a regular trend model.</w:t>
      </w:r>
      <w:proofErr w:type="gramEnd"/>
      <w:r>
        <w:rPr>
          <w:rFonts w:eastAsiaTheme="minorEastAsia"/>
        </w:rPr>
        <w:t xml:space="preserve">  With values less than 1, the trend will be scaled down as we forecast further out, eventually removing the trend altogether.</w:t>
      </w:r>
    </w:p>
    <w:p w:rsidR="0062048A" w:rsidRDefault="0062048A" w:rsidP="0062048A">
      <w:pPr>
        <w:spacing w:after="200" w:line="276" w:lineRule="auto"/>
        <w:contextualSpacing w:val="0"/>
      </w:pPr>
      <w:r>
        <w:t xml:space="preserve">The damped trend changes the updating equations to: </w:t>
      </w:r>
    </w:p>
    <w:tbl>
      <w:tblPr>
        <w:tblStyle w:val="TableGrid"/>
        <w:tblW w:w="9558"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8"/>
      </w:tblGrid>
      <w:tr w:rsidR="0062048A" w:rsidRPr="00726495" w:rsidTr="0062048A">
        <w:tc>
          <w:tcPr>
            <w:tcW w:w="3888" w:type="dxa"/>
          </w:tcPr>
          <w:p w:rsidR="0062048A" w:rsidRPr="00726495" w:rsidRDefault="0062048A" w:rsidP="00C265CA">
            <w:pPr>
              <w:spacing w:after="120"/>
              <w:contextualSpacing w:val="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r>
                  <w:rPr>
                    <w:rFonts w:ascii="Cambria Math" w:eastAsiaTheme="minorEastAsia" w:hAnsi="Cambria Math"/>
                  </w:rPr>
                  <m:t>α</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eastAsiaTheme="minorEastAsia" w:hAnsi="Cambria Math"/>
                  </w:rPr>
                  <m:t>+(1-α)</m:t>
                </m:r>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t-1</m:t>
                        </m:r>
                      </m:sub>
                    </m:sSub>
                    <m:r>
                      <w:rPr>
                        <w:rFonts w:ascii="Cambria Math" w:hAnsi="Cambria Math"/>
                      </w:rPr>
                      <m:t>+ϕ</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t-1</m:t>
                        </m:r>
                      </m:sub>
                    </m:sSub>
                  </m:e>
                </m:d>
              </m:oMath>
            </m:oMathPara>
          </w:p>
        </w:tc>
      </w:tr>
      <w:tr w:rsidR="0062048A" w:rsidRPr="00726495" w:rsidTr="00C265CA">
        <w:tc>
          <w:tcPr>
            <w:tcW w:w="3888" w:type="dxa"/>
          </w:tcPr>
          <w:p w:rsidR="0062048A" w:rsidRPr="00726495" w:rsidRDefault="0062048A" w:rsidP="00C265CA">
            <w:pPr>
              <w:spacing w:after="120"/>
              <w:contextualSpacing w:val="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r>
                  <w:rPr>
                    <w:rFonts w:ascii="Cambria Math" w:eastAsiaTheme="minorEastAsia" w:hAnsi="Cambria Math"/>
                  </w:rPr>
                  <m:t>β</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t-1</m:t>
                        </m:r>
                      </m:sub>
                    </m:sSub>
                  </m:e>
                </m:d>
                <m:r>
                  <w:rPr>
                    <w:rFonts w:ascii="Cambria Math" w:eastAsiaTheme="minorEastAsia" w:hAnsi="Cambria Math"/>
                  </w:rPr>
                  <m:t>+(1-β)</m:t>
                </m:r>
                <m:r>
                  <w:rPr>
                    <w:rFonts w:ascii="Cambria Math" w:hAnsi="Cambria Math"/>
                  </w:rPr>
                  <m:t>ϕ</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t-1</m:t>
                    </m:r>
                  </m:sub>
                </m:sSub>
              </m:oMath>
            </m:oMathPara>
          </w:p>
        </w:tc>
      </w:tr>
    </w:tbl>
    <w:p w:rsidR="00496386" w:rsidRDefault="0062048A" w:rsidP="0062048A">
      <w:pPr>
        <w:pStyle w:val="Heading1"/>
      </w:pPr>
      <w:r>
        <w:t xml:space="preserve"> </w:t>
      </w:r>
      <w:r>
        <w:br w:type="page"/>
      </w:r>
      <w:bookmarkStart w:id="11" w:name="_Toc445126781"/>
      <w:r w:rsidR="00496386">
        <w:lastRenderedPageBreak/>
        <w:t>Forecasting Data with a Level, Trend, and Seasonal Component</w:t>
      </w:r>
      <w:bookmarkEnd w:id="11"/>
    </w:p>
    <w:p w:rsidR="00496386" w:rsidRDefault="00496386" w:rsidP="006E6028">
      <w:pPr>
        <w:rPr>
          <w:rFonts w:eastAsiaTheme="minorEastAsia"/>
        </w:rPr>
      </w:pPr>
    </w:p>
    <w:p w:rsidR="00496386" w:rsidRDefault="00496386" w:rsidP="00496386">
      <w:pPr>
        <w:pStyle w:val="Heading2"/>
      </w:pPr>
      <w:bookmarkStart w:id="12" w:name="_Toc445126782"/>
      <w:r>
        <w:t>Triple Exponential Smoothing (Holt-Winter Method)</w:t>
      </w:r>
      <w:bookmarkEnd w:id="12"/>
    </w:p>
    <w:p w:rsidR="00496386" w:rsidRDefault="00496386" w:rsidP="006E6028">
      <w:pPr>
        <w:rPr>
          <w:rFonts w:eastAsiaTheme="minorEastAsia"/>
        </w:rPr>
      </w:pPr>
    </w:p>
    <w:p w:rsidR="00496386" w:rsidRDefault="00496386" w:rsidP="006E6028">
      <w:pPr>
        <w:rPr>
          <w:rFonts w:eastAsiaTheme="minorEastAsia"/>
        </w:rPr>
      </w:pPr>
      <w:r>
        <w:rPr>
          <w:rFonts w:eastAsiaTheme="minorEastAsia"/>
        </w:rPr>
        <w:t>If the data has a level, trend, and seasonal component we need a forecast that takes all of these into account:</w:t>
      </w:r>
    </w:p>
    <w:p w:rsidR="00496386" w:rsidRDefault="00496386" w:rsidP="00496386"/>
    <w:p w:rsidR="00496386" w:rsidRPr="00F527F7" w:rsidRDefault="00496386" w:rsidP="00496386">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a+bt</m:t>
              </m:r>
            </m:e>
          </m:d>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496386" w:rsidRDefault="00496386" w:rsidP="00496386">
      <w:pPr>
        <w:ind w:left="720"/>
        <w:rPr>
          <w:rFonts w:eastAsiaTheme="minorEastAsia"/>
        </w:rPr>
      </w:pPr>
    </w:p>
    <w:p w:rsidR="00496386" w:rsidRDefault="00496386" w:rsidP="00496386">
      <w:pPr>
        <w:ind w:left="1080"/>
        <w:rPr>
          <w:rFonts w:eastAsiaTheme="minorEastAsia"/>
        </w:rPr>
      </w:pPr>
      <w:r w:rsidRPr="00496386">
        <w:rPr>
          <w:rFonts w:eastAsiaTheme="minorEastAsia"/>
          <w:i/>
        </w:rPr>
        <w:t>a</w:t>
      </w:r>
      <w:r>
        <w:rPr>
          <w:rFonts w:eastAsiaTheme="minorEastAsia"/>
        </w:rPr>
        <w:t xml:space="preserve"> = level</w:t>
      </w:r>
    </w:p>
    <w:p w:rsidR="00496386" w:rsidRDefault="00496386" w:rsidP="00496386">
      <w:pPr>
        <w:ind w:left="1080"/>
        <w:rPr>
          <w:rFonts w:eastAsiaTheme="minorEastAsia"/>
        </w:rPr>
      </w:pPr>
      <w:r w:rsidRPr="00496386">
        <w:rPr>
          <w:rFonts w:eastAsiaTheme="minorEastAsia"/>
          <w:i/>
        </w:rPr>
        <w:t>b</w:t>
      </w:r>
      <w:r>
        <w:rPr>
          <w:rFonts w:eastAsiaTheme="minorEastAsia"/>
        </w:rPr>
        <w:t xml:space="preserve"> = trend</w:t>
      </w:r>
    </w:p>
    <w:p w:rsidR="00496386" w:rsidRDefault="00496386" w:rsidP="00496386">
      <w:pPr>
        <w:ind w:left="1080"/>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eastAsiaTheme="minorEastAsia"/>
        </w:rPr>
        <w:t xml:space="preserve"> = seasonal coefficient at time </w:t>
      </w:r>
      <w:r w:rsidRPr="00496386">
        <w:rPr>
          <w:rFonts w:eastAsiaTheme="minorEastAsia"/>
          <w:i/>
        </w:rPr>
        <w:t>t</w:t>
      </w:r>
    </w:p>
    <w:p w:rsidR="00496386" w:rsidRDefault="00496386" w:rsidP="00496386">
      <w:pPr>
        <w:rPr>
          <w:rFonts w:eastAsiaTheme="minorEastAsia"/>
        </w:rPr>
      </w:pPr>
    </w:p>
    <w:p w:rsidR="00726495" w:rsidRDefault="00726495" w:rsidP="00496386">
      <w:pPr>
        <w:rPr>
          <w:rFonts w:eastAsiaTheme="minorEastAsia"/>
        </w:rPr>
      </w:pPr>
      <w:r>
        <w:rPr>
          <w:rFonts w:eastAsiaTheme="minorEastAsia"/>
        </w:rPr>
        <w:t xml:space="preserve">NOTE: This represents a multiplicative seasonal model (since we are multiplying our estimates underlying estimates </w:t>
      </w:r>
      <w:proofErr w:type="gramStart"/>
      <w:r>
        <w:rPr>
          <w:rFonts w:eastAsiaTheme="minorEastAsia"/>
        </w:rP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eastAsiaTheme="minorEastAsia"/>
        </w:rPr>
        <w:t xml:space="preserve">.  We may also use an additive model where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eastAsiaTheme="minorEastAsia"/>
        </w:rPr>
        <w:t xml:space="preserve"> is added to the underlying estimate, but this is less common.</w:t>
      </w:r>
    </w:p>
    <w:p w:rsidR="00726495" w:rsidRDefault="00726495" w:rsidP="00496386">
      <w:pPr>
        <w:rPr>
          <w:rFonts w:eastAsiaTheme="minorEastAsia"/>
        </w:rPr>
      </w:pPr>
    </w:p>
    <w:p w:rsidR="00496386" w:rsidRDefault="00496386" w:rsidP="00496386">
      <w:pPr>
        <w:rPr>
          <w:rFonts w:eastAsiaTheme="minorEastAsia"/>
        </w:rPr>
      </w:pPr>
      <w:r>
        <w:rPr>
          <w:rFonts w:eastAsiaTheme="minorEastAsia"/>
        </w:rPr>
        <w:t>Errors are again assumed to be normally distributed:</w:t>
      </w:r>
    </w:p>
    <w:p w:rsidR="00496386" w:rsidRDefault="00496386" w:rsidP="00496386">
      <w:pPr>
        <w:ind w:left="360"/>
        <w:rPr>
          <w:rFonts w:eastAsiaTheme="minorEastAsia"/>
        </w:rPr>
      </w:pPr>
    </w:p>
    <w:p w:rsidR="00496386" w:rsidRPr="005C4BEF" w:rsidRDefault="00496386" w:rsidP="00496386">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m:rPr>
              <m:scr m:val="script"/>
            </m:rPr>
            <w:rPr>
              <w:rFonts w:ascii="Cambria Math" w:eastAsiaTheme="minorEastAsia" w:hAnsi="Cambria Math"/>
            </w:rPr>
            <m:t xml:space="preserve"> ~ N(</m:t>
          </m:r>
          <m:r>
            <w:rPr>
              <w:rFonts w:ascii="Cambria Math" w:eastAsiaTheme="minorEastAsia" w:hAnsi="Cambria Math"/>
            </w:rPr>
            <m:t>μ=0,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m:oMathPara>
    </w:p>
    <w:p w:rsidR="00496386" w:rsidRDefault="00496386" w:rsidP="00496386"/>
    <w:p w:rsidR="00496386" w:rsidRDefault="00496386" w:rsidP="00496386">
      <w:r>
        <w:t xml:space="preserve">As we might expect, the updating method for </w:t>
      </w:r>
      <w:proofErr w:type="gramStart"/>
      <w:r>
        <w:t>both level</w:t>
      </w:r>
      <w:proofErr w:type="gramEnd"/>
      <w:r>
        <w:t>, trend, and seasonal coefficients uses exponential smoothing:</w:t>
      </w:r>
    </w:p>
    <w:p w:rsidR="00496386" w:rsidRDefault="00496386" w:rsidP="0049638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130"/>
      </w:tblGrid>
      <w:tr w:rsidR="00726495" w:rsidTr="00726495">
        <w:tc>
          <w:tcPr>
            <w:tcW w:w="4428" w:type="dxa"/>
            <w:tcBorders>
              <w:bottom w:val="single" w:sz="4" w:space="0" w:color="auto"/>
            </w:tcBorders>
          </w:tcPr>
          <w:p w:rsidR="00726495" w:rsidRDefault="00726495" w:rsidP="00726495">
            <w:pPr>
              <w:spacing w:after="120"/>
              <w:contextualSpacing w:val="0"/>
            </w:pPr>
            <w:r>
              <w:t>Updating Equation</w:t>
            </w:r>
          </w:p>
        </w:tc>
        <w:tc>
          <w:tcPr>
            <w:tcW w:w="5130" w:type="dxa"/>
            <w:tcBorders>
              <w:bottom w:val="single" w:sz="4" w:space="0" w:color="auto"/>
            </w:tcBorders>
          </w:tcPr>
          <w:p w:rsidR="00726495" w:rsidRDefault="00726495" w:rsidP="00726495">
            <w:pPr>
              <w:spacing w:after="120"/>
              <w:contextualSpacing w:val="0"/>
            </w:pPr>
            <w:r>
              <w:t>Interpretation</w:t>
            </w:r>
          </w:p>
        </w:tc>
      </w:tr>
      <w:tr w:rsidR="00726495" w:rsidTr="00726495">
        <w:tc>
          <w:tcPr>
            <w:tcW w:w="4428" w:type="dxa"/>
            <w:tcBorders>
              <w:top w:val="single" w:sz="4" w:space="0" w:color="auto"/>
            </w:tcBorders>
          </w:tcPr>
          <w:p w:rsidR="00726495" w:rsidRPr="00726495" w:rsidRDefault="00726495" w:rsidP="00726495">
            <w:pPr>
              <w:spacing w:after="120"/>
              <w:contextualSpacing w:val="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r>
                  <w:rPr>
                    <w:rFonts w:ascii="Cambria Math" w:eastAsiaTheme="minorEastAsia" w:hAnsi="Cambria Math"/>
                  </w:rPr>
                  <m:t>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t-P</m:t>
                            </m:r>
                          </m:sub>
                        </m:sSub>
                      </m:den>
                    </m:f>
                  </m:e>
                </m:d>
                <m:r>
                  <w:rPr>
                    <w:rFonts w:ascii="Cambria Math" w:eastAsiaTheme="minorEastAsia" w:hAnsi="Cambria Math"/>
                  </w:rPr>
                  <m:t>+(1-α)</m:t>
                </m:r>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t-1</m:t>
                        </m:r>
                      </m:sub>
                    </m:sSub>
                  </m:e>
                </m:d>
              </m:oMath>
            </m:oMathPara>
          </w:p>
        </w:tc>
        <w:tc>
          <w:tcPr>
            <w:tcW w:w="5130" w:type="dxa"/>
            <w:tcBorders>
              <w:top w:val="single" w:sz="4" w:space="0" w:color="auto"/>
            </w:tcBorders>
          </w:tcPr>
          <w:p w:rsidR="00726495" w:rsidRDefault="00726495" w:rsidP="00496386">
            <w:r>
              <w:t>The new level is an average of:</w:t>
            </w:r>
          </w:p>
          <w:p w:rsidR="00726495" w:rsidRDefault="00726495" w:rsidP="00726495">
            <w:pPr>
              <w:pStyle w:val="ListParagraph"/>
              <w:numPr>
                <w:ilvl w:val="0"/>
                <w:numId w:val="29"/>
              </w:numPr>
            </w:pPr>
            <w:r>
              <w:t>The last observation (de-</w:t>
            </w:r>
            <w:proofErr w:type="spellStart"/>
            <w:r>
              <w:t>seasonalized</w:t>
            </w:r>
            <w:proofErr w:type="spellEnd"/>
            <w:r>
              <w:t>)</w:t>
            </w:r>
          </w:p>
          <w:p w:rsidR="00726495" w:rsidRDefault="00726495" w:rsidP="00726495">
            <w:pPr>
              <w:pStyle w:val="ListParagraph"/>
              <w:numPr>
                <w:ilvl w:val="0"/>
                <w:numId w:val="29"/>
              </w:numPr>
            </w:pPr>
            <w:r>
              <w:t>The expected level, taking into account the trend</w:t>
            </w:r>
          </w:p>
          <w:p w:rsidR="00726495" w:rsidRPr="00726495" w:rsidRDefault="00726495" w:rsidP="00726495">
            <w:pPr>
              <w:rPr>
                <w:sz w:val="12"/>
              </w:rPr>
            </w:pPr>
          </w:p>
        </w:tc>
      </w:tr>
      <w:tr w:rsidR="00726495" w:rsidTr="00726495">
        <w:tc>
          <w:tcPr>
            <w:tcW w:w="4428" w:type="dxa"/>
          </w:tcPr>
          <w:p w:rsidR="00726495" w:rsidRPr="00726495" w:rsidRDefault="00726495" w:rsidP="00726495">
            <w:pPr>
              <w:spacing w:after="120"/>
              <w:contextualSpacing w:val="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r>
                  <w:rPr>
                    <w:rFonts w:ascii="Cambria Math" w:eastAsiaTheme="minorEastAsia" w:hAnsi="Cambria Math"/>
                  </w:rPr>
                  <m:t>β</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t-1</m:t>
                        </m:r>
                      </m:sub>
                    </m:sSub>
                  </m:e>
                </m:d>
                <m:r>
                  <w:rPr>
                    <w:rFonts w:ascii="Cambria Math" w:eastAsiaTheme="minorEastAsia" w:hAnsi="Cambria Math"/>
                  </w:rPr>
                  <m:t>+(1-β)</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t-1</m:t>
                    </m:r>
                  </m:sub>
                </m:sSub>
              </m:oMath>
            </m:oMathPara>
          </w:p>
        </w:tc>
        <w:tc>
          <w:tcPr>
            <w:tcW w:w="5130" w:type="dxa"/>
          </w:tcPr>
          <w:p w:rsidR="00726495" w:rsidRDefault="00726495" w:rsidP="00496386">
            <w:r>
              <w:t>The new trend is an average of:</w:t>
            </w:r>
          </w:p>
          <w:p w:rsidR="00726495" w:rsidRDefault="00726495" w:rsidP="00726495">
            <w:pPr>
              <w:pStyle w:val="ListParagraph"/>
              <w:numPr>
                <w:ilvl w:val="0"/>
                <w:numId w:val="30"/>
              </w:numPr>
            </w:pPr>
            <w:r>
              <w:t>The difference between the current level and the new level</w:t>
            </w:r>
          </w:p>
          <w:p w:rsidR="00726495" w:rsidRDefault="00726495" w:rsidP="00726495">
            <w:pPr>
              <w:pStyle w:val="ListParagraph"/>
              <w:numPr>
                <w:ilvl w:val="0"/>
                <w:numId w:val="30"/>
              </w:numPr>
            </w:pPr>
            <w:r>
              <w:t>The old trend</w:t>
            </w:r>
          </w:p>
          <w:p w:rsidR="00726495" w:rsidRPr="00726495" w:rsidRDefault="00726495" w:rsidP="00726495">
            <w:pPr>
              <w:ind w:left="360"/>
              <w:rPr>
                <w:sz w:val="12"/>
              </w:rPr>
            </w:pPr>
          </w:p>
        </w:tc>
      </w:tr>
      <w:tr w:rsidR="00726495" w:rsidTr="00726495">
        <w:tc>
          <w:tcPr>
            <w:tcW w:w="4428" w:type="dxa"/>
          </w:tcPr>
          <w:p w:rsidR="00726495" w:rsidRPr="00726495" w:rsidRDefault="00726495" w:rsidP="00726495">
            <w:pPr>
              <w:spacing w:after="120"/>
              <w:contextualSpacing w:val="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t</m:t>
                    </m:r>
                  </m:sub>
                </m:sSub>
                <m:r>
                  <w:rPr>
                    <w:rFonts w:ascii="Cambria Math" w:hAnsi="Cambria Math"/>
                  </w:rPr>
                  <m:t>=</m:t>
                </m:r>
                <m:r>
                  <w:rPr>
                    <w:rFonts w:ascii="Cambria Math" w:eastAsiaTheme="minorEastAsia" w:hAnsi="Cambria Math"/>
                  </w:rPr>
                  <m:t>γ</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den>
                    </m:f>
                  </m:e>
                </m:d>
                <m:r>
                  <w:rPr>
                    <w:rFonts w:ascii="Cambria Math" w:eastAsiaTheme="minorEastAsia" w:hAnsi="Cambria Math"/>
                  </w:rPr>
                  <m:t>+(1-γ)</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t-P</m:t>
                    </m:r>
                  </m:sub>
                </m:sSub>
              </m:oMath>
            </m:oMathPara>
          </w:p>
          <w:p w:rsidR="00726495" w:rsidRPr="00726495" w:rsidRDefault="00726495" w:rsidP="00726495">
            <w:pPr>
              <w:spacing w:after="120"/>
              <w:ind w:left="360"/>
              <w:contextualSpacing w:val="0"/>
            </w:pPr>
            <w:r w:rsidRPr="00726495">
              <w:rPr>
                <w:rFonts w:eastAsiaTheme="minorEastAsia"/>
                <w:sz w:val="20"/>
              </w:rPr>
              <w:t>(</w:t>
            </w:r>
            <w:r w:rsidRPr="00726495">
              <w:rPr>
                <w:rFonts w:eastAsiaTheme="minorEastAsia"/>
                <w:i/>
                <w:sz w:val="20"/>
              </w:rPr>
              <w:t>P</w:t>
            </w:r>
            <w:r w:rsidRPr="00726495">
              <w:rPr>
                <w:rFonts w:eastAsiaTheme="minorEastAsia"/>
                <w:sz w:val="20"/>
              </w:rPr>
              <w:t xml:space="preserve"> is the period of the seasonal cycle)</w:t>
            </w:r>
          </w:p>
        </w:tc>
        <w:tc>
          <w:tcPr>
            <w:tcW w:w="5130" w:type="dxa"/>
          </w:tcPr>
          <w:p w:rsidR="00726495" w:rsidRDefault="00726495" w:rsidP="00496386">
            <w:r>
              <w:t>The new seasonal coefficient is an average of:</w:t>
            </w:r>
          </w:p>
          <w:p w:rsidR="00726495" w:rsidRDefault="00726495" w:rsidP="00726495">
            <w:pPr>
              <w:pStyle w:val="ListParagraph"/>
              <w:numPr>
                <w:ilvl w:val="0"/>
                <w:numId w:val="31"/>
              </w:numPr>
            </w:pPr>
            <w:r>
              <w:t>The coefficient we would estimate based on the last observation</w:t>
            </w:r>
          </w:p>
          <w:p w:rsidR="00726495" w:rsidRDefault="00726495" w:rsidP="00726495">
            <w:pPr>
              <w:pStyle w:val="ListParagraph"/>
              <w:numPr>
                <w:ilvl w:val="0"/>
                <w:numId w:val="31"/>
              </w:numPr>
            </w:pPr>
            <w:r>
              <w:t>The last coefficient</w:t>
            </w:r>
          </w:p>
        </w:tc>
      </w:tr>
    </w:tbl>
    <w:p w:rsidR="00726495" w:rsidRDefault="00726495" w:rsidP="00496386"/>
    <w:p w:rsidR="00726495" w:rsidRDefault="00726495" w:rsidP="00496386">
      <w:r>
        <w:t>Note that these equations should be applied in order.  The new estimate of the level is used in the updating equation for both the level and the trend.  Also, these equations can be modified to use a damped trend if we desire.</w:t>
      </w:r>
    </w:p>
    <w:p w:rsidR="00DD7B48" w:rsidRDefault="00DD7B48" w:rsidP="00496386"/>
    <w:p w:rsidR="00DD7B48" w:rsidRDefault="00DD7B48">
      <w:pPr>
        <w:spacing w:after="200" w:line="276" w:lineRule="auto"/>
        <w:contextualSpacing w:val="0"/>
        <w:rPr>
          <w:i/>
        </w:rPr>
      </w:pPr>
      <w:r>
        <w:br w:type="page"/>
      </w:r>
    </w:p>
    <w:p w:rsidR="00DD7B48" w:rsidRDefault="00DD7B48" w:rsidP="00DD7B48">
      <w:pPr>
        <w:pStyle w:val="Heading2"/>
      </w:pPr>
      <w:bookmarkStart w:id="13" w:name="_Toc445126783"/>
      <w:r>
        <w:lastRenderedPageBreak/>
        <w:t>Suggested Smoothing Coefficients</w:t>
      </w:r>
      <w:bookmarkEnd w:id="13"/>
    </w:p>
    <w:p w:rsidR="00726495" w:rsidRDefault="00726495" w:rsidP="00496386"/>
    <w:p w:rsidR="00496386" w:rsidRDefault="00DD7B48" w:rsidP="00DD7B48">
      <w:pPr>
        <w:spacing w:after="120"/>
        <w:contextualSpacing w:val="0"/>
        <w:rPr>
          <w:rFonts w:eastAsiaTheme="minorEastAsia"/>
        </w:rPr>
      </w:pPr>
      <w:r>
        <w:rPr>
          <w:rFonts w:eastAsiaTheme="minorEastAsia"/>
        </w:rPr>
        <w:t>While the smoothing coefficients are allowed to range from 0 to 1, they are typically restricted to the following ranges:</w:t>
      </w:r>
    </w:p>
    <w:p w:rsidR="00DD7B48" w:rsidRDefault="00DD7B48" w:rsidP="00DD7B48">
      <w:pPr>
        <w:ind w:left="720"/>
        <w:contextualSpacing w:val="0"/>
        <w:rPr>
          <w:rFonts w:eastAsiaTheme="minorEastAsia"/>
        </w:rPr>
      </w:pPr>
      <w:r>
        <w:rPr>
          <w:rFonts w:eastAsiaTheme="minorEastAsia"/>
        </w:rPr>
        <w:t>Stationary Models</w:t>
      </w:r>
    </w:p>
    <w:tbl>
      <w:tblPr>
        <w:tblStyle w:val="TableGrid"/>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340"/>
        <w:gridCol w:w="2250"/>
      </w:tblGrid>
      <w:tr w:rsidR="00DD7B48" w:rsidTr="00DD7B48">
        <w:tc>
          <w:tcPr>
            <w:tcW w:w="2448" w:type="dxa"/>
          </w:tcPr>
          <w:p w:rsidR="00DD7B48" w:rsidRDefault="00DD7B48" w:rsidP="00DD7B48">
            <w:pPr>
              <w:contextualSpacing w:val="0"/>
              <w:rPr>
                <w:rFonts w:eastAsiaTheme="minorEastAsia"/>
              </w:rPr>
            </w:pPr>
            <w:r>
              <w:rPr>
                <w:rFonts w:eastAsiaTheme="minorEastAsia"/>
              </w:rPr>
              <w:t>Level (</w:t>
            </w:r>
            <w:r>
              <w:rPr>
                <w:rFonts w:eastAsiaTheme="minorEastAsia" w:cs="Times New Roman"/>
              </w:rPr>
              <w:t>α</w:t>
            </w:r>
            <w:r>
              <w:rPr>
                <w:rFonts w:eastAsiaTheme="minorEastAsia"/>
              </w:rPr>
              <w:t>)</w:t>
            </w:r>
          </w:p>
        </w:tc>
        <w:tc>
          <w:tcPr>
            <w:tcW w:w="2340" w:type="dxa"/>
          </w:tcPr>
          <w:p w:rsidR="00DD7B48" w:rsidRDefault="00DD7B48" w:rsidP="00DD7B48">
            <w:pPr>
              <w:contextualSpacing w:val="0"/>
              <w:rPr>
                <w:rFonts w:eastAsiaTheme="minorEastAsia"/>
              </w:rPr>
            </w:pPr>
            <w:r>
              <w:rPr>
                <w:rFonts w:eastAsiaTheme="minorEastAsia"/>
              </w:rPr>
              <w:t>0.01 to 0.30</w:t>
            </w:r>
          </w:p>
        </w:tc>
        <w:tc>
          <w:tcPr>
            <w:tcW w:w="2250" w:type="dxa"/>
          </w:tcPr>
          <w:p w:rsidR="00DD7B48" w:rsidRDefault="00DD7B48" w:rsidP="00DD7B48">
            <w:pPr>
              <w:contextualSpacing w:val="0"/>
              <w:rPr>
                <w:rFonts w:eastAsiaTheme="minorEastAsia"/>
              </w:rPr>
            </w:pPr>
            <w:r>
              <w:rPr>
                <w:rFonts w:eastAsiaTheme="minorEastAsia"/>
              </w:rPr>
              <w:t>(0.1 reasonable)</w:t>
            </w:r>
          </w:p>
        </w:tc>
      </w:tr>
    </w:tbl>
    <w:p w:rsidR="00DD7B48" w:rsidRDefault="00DD7B48" w:rsidP="00DD7B48">
      <w:pPr>
        <w:ind w:left="720"/>
        <w:contextualSpacing w:val="0"/>
        <w:rPr>
          <w:rFonts w:eastAsiaTheme="minorEastAsia"/>
        </w:rPr>
      </w:pPr>
    </w:p>
    <w:p w:rsidR="00DD7B48" w:rsidRDefault="00DD7B48" w:rsidP="00DD7B48">
      <w:pPr>
        <w:ind w:left="720"/>
        <w:contextualSpacing w:val="0"/>
        <w:rPr>
          <w:rFonts w:eastAsiaTheme="minorEastAsia"/>
        </w:rPr>
      </w:pPr>
      <w:r>
        <w:rPr>
          <w:rFonts w:eastAsiaTheme="minorEastAsia"/>
        </w:rPr>
        <w:t>Level / Trend Models: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316"/>
        <w:gridCol w:w="2316"/>
      </w:tblGrid>
      <w:tr w:rsidR="00DD7B48" w:rsidTr="00DD7B48">
        <w:tc>
          <w:tcPr>
            <w:tcW w:w="2448" w:type="dxa"/>
            <w:tcBorders>
              <w:top w:val="single" w:sz="4" w:space="0" w:color="auto"/>
            </w:tcBorders>
          </w:tcPr>
          <w:p w:rsidR="00DD7B48" w:rsidRDefault="00DD7B48" w:rsidP="00DD7B48">
            <w:pPr>
              <w:contextualSpacing w:val="0"/>
              <w:rPr>
                <w:rFonts w:eastAsiaTheme="minorEastAsia"/>
              </w:rPr>
            </w:pPr>
            <w:r>
              <w:rPr>
                <w:rFonts w:eastAsiaTheme="minorEastAsia"/>
              </w:rPr>
              <w:t>Level (</w:t>
            </w:r>
            <w:r>
              <w:rPr>
                <w:rFonts w:eastAsiaTheme="minorEastAsia" w:cs="Times New Roman"/>
              </w:rPr>
              <w:t>α</w:t>
            </w:r>
            <w:r>
              <w:rPr>
                <w:rFonts w:eastAsiaTheme="minorEastAsia"/>
              </w:rPr>
              <w:t>)</w:t>
            </w:r>
          </w:p>
        </w:tc>
        <w:tc>
          <w:tcPr>
            <w:tcW w:w="2316" w:type="dxa"/>
            <w:tcBorders>
              <w:top w:val="single" w:sz="4" w:space="0" w:color="auto"/>
            </w:tcBorders>
          </w:tcPr>
          <w:p w:rsidR="00DD7B48" w:rsidRDefault="00DD7B48" w:rsidP="00DD7B48">
            <w:pPr>
              <w:contextualSpacing w:val="0"/>
              <w:rPr>
                <w:rFonts w:eastAsiaTheme="minorEastAsia"/>
              </w:rPr>
            </w:pPr>
            <w:r>
              <w:rPr>
                <w:rFonts w:eastAsiaTheme="minorEastAsia"/>
              </w:rPr>
              <w:t>0.0</w:t>
            </w:r>
            <w:r>
              <w:rPr>
                <w:rFonts w:eastAsiaTheme="minorEastAsia"/>
              </w:rPr>
              <w:t>2</w:t>
            </w:r>
            <w:r>
              <w:rPr>
                <w:rFonts w:eastAsiaTheme="minorEastAsia"/>
              </w:rPr>
              <w:t xml:space="preserve"> to 0.</w:t>
            </w:r>
            <w:r>
              <w:rPr>
                <w:rFonts w:eastAsiaTheme="minorEastAsia"/>
              </w:rPr>
              <w:t>51</w:t>
            </w:r>
          </w:p>
        </w:tc>
        <w:tc>
          <w:tcPr>
            <w:tcW w:w="2316" w:type="dxa"/>
            <w:tcBorders>
              <w:top w:val="single" w:sz="4" w:space="0" w:color="auto"/>
            </w:tcBorders>
          </w:tcPr>
          <w:p w:rsidR="00DD7B48" w:rsidRDefault="00DD7B48" w:rsidP="00DD7B48">
            <w:pPr>
              <w:contextualSpacing w:val="0"/>
              <w:rPr>
                <w:rFonts w:eastAsiaTheme="minorEastAsia"/>
              </w:rPr>
            </w:pPr>
            <w:r>
              <w:rPr>
                <w:rFonts w:eastAsiaTheme="minorEastAsia"/>
              </w:rPr>
              <w:t>(0.19 reasonable)</w:t>
            </w:r>
          </w:p>
        </w:tc>
      </w:tr>
      <w:tr w:rsidR="00DD7B48" w:rsidTr="00DD7B48">
        <w:tc>
          <w:tcPr>
            <w:tcW w:w="2448" w:type="dxa"/>
          </w:tcPr>
          <w:p w:rsidR="00DD7B48" w:rsidRDefault="00DD7B48" w:rsidP="00DD7B48">
            <w:pPr>
              <w:contextualSpacing w:val="0"/>
              <w:rPr>
                <w:rFonts w:eastAsiaTheme="minorEastAsia"/>
              </w:rPr>
            </w:pPr>
            <w:r>
              <w:rPr>
                <w:rFonts w:eastAsiaTheme="minorEastAsia"/>
              </w:rPr>
              <w:t>Trend (</w:t>
            </w:r>
            <w:r>
              <w:rPr>
                <w:rFonts w:eastAsiaTheme="minorEastAsia" w:cs="Times New Roman"/>
              </w:rPr>
              <w:t>β</w:t>
            </w:r>
            <w:r>
              <w:rPr>
                <w:rFonts w:eastAsiaTheme="minorEastAsia"/>
              </w:rPr>
              <w:t>)</w:t>
            </w:r>
          </w:p>
        </w:tc>
        <w:tc>
          <w:tcPr>
            <w:tcW w:w="2316" w:type="dxa"/>
          </w:tcPr>
          <w:p w:rsidR="00DD7B48" w:rsidRDefault="00DD7B48" w:rsidP="00DD7B48">
            <w:pPr>
              <w:contextualSpacing w:val="0"/>
              <w:rPr>
                <w:rFonts w:eastAsiaTheme="minorEastAsia"/>
              </w:rPr>
            </w:pPr>
            <w:r>
              <w:rPr>
                <w:rFonts w:eastAsiaTheme="minorEastAsia"/>
              </w:rPr>
              <w:t>0.005 to 0.176</w:t>
            </w:r>
          </w:p>
        </w:tc>
        <w:tc>
          <w:tcPr>
            <w:tcW w:w="2316" w:type="dxa"/>
          </w:tcPr>
          <w:p w:rsidR="00DD7B48" w:rsidRDefault="00DD7B48" w:rsidP="00DD7B48">
            <w:pPr>
              <w:contextualSpacing w:val="0"/>
              <w:rPr>
                <w:rFonts w:eastAsiaTheme="minorEastAsia"/>
              </w:rPr>
            </w:pPr>
            <w:r>
              <w:rPr>
                <w:rFonts w:eastAsiaTheme="minorEastAsia"/>
              </w:rPr>
              <w:t>(0.053 reasonable)</w:t>
            </w:r>
          </w:p>
        </w:tc>
      </w:tr>
      <w:tr w:rsidR="00DD7B48" w:rsidTr="00DD7B48">
        <w:tc>
          <w:tcPr>
            <w:tcW w:w="2448" w:type="dxa"/>
          </w:tcPr>
          <w:p w:rsidR="00DD7B48" w:rsidRDefault="00DD7B48" w:rsidP="00DD7B48">
            <w:pPr>
              <w:contextualSpacing w:val="0"/>
              <w:rPr>
                <w:rFonts w:eastAsiaTheme="minorEastAsia"/>
              </w:rPr>
            </w:pPr>
            <w:r>
              <w:rPr>
                <w:rFonts w:eastAsiaTheme="minorEastAsia"/>
              </w:rPr>
              <w:t>Seasonality (</w:t>
            </w:r>
            <w:r>
              <w:rPr>
                <w:rFonts w:eastAsiaTheme="minorEastAsia" w:cs="Times New Roman"/>
              </w:rPr>
              <w:t>γ</w:t>
            </w:r>
            <w:r>
              <w:rPr>
                <w:rFonts w:eastAsiaTheme="minorEastAsia"/>
              </w:rPr>
              <w:t>)</w:t>
            </w:r>
          </w:p>
        </w:tc>
        <w:tc>
          <w:tcPr>
            <w:tcW w:w="2316" w:type="dxa"/>
          </w:tcPr>
          <w:p w:rsidR="00DD7B48" w:rsidRDefault="00DD7B48" w:rsidP="00DD7B48">
            <w:pPr>
              <w:contextualSpacing w:val="0"/>
              <w:rPr>
                <w:rFonts w:eastAsiaTheme="minorEastAsia"/>
              </w:rPr>
            </w:pPr>
            <w:r>
              <w:rPr>
                <w:rFonts w:eastAsiaTheme="minorEastAsia"/>
              </w:rPr>
              <w:t>0.05 to 0.50</w:t>
            </w:r>
          </w:p>
        </w:tc>
        <w:tc>
          <w:tcPr>
            <w:tcW w:w="2316" w:type="dxa"/>
          </w:tcPr>
          <w:p w:rsidR="00DD7B48" w:rsidRDefault="00DD7B48" w:rsidP="00DD7B48">
            <w:pPr>
              <w:contextualSpacing w:val="0"/>
              <w:rPr>
                <w:rFonts w:eastAsiaTheme="minorEastAsia"/>
              </w:rPr>
            </w:pPr>
            <w:r>
              <w:rPr>
                <w:rFonts w:eastAsiaTheme="minorEastAsia"/>
              </w:rPr>
              <w:t>(0.10 reasonable)</w:t>
            </w:r>
          </w:p>
        </w:tc>
      </w:tr>
    </w:tbl>
    <w:p w:rsidR="00DD7B48" w:rsidRPr="00496386" w:rsidRDefault="00DD7B48" w:rsidP="00DD7B48">
      <w:pPr>
        <w:contextualSpacing w:val="0"/>
        <w:rPr>
          <w:rFonts w:eastAsiaTheme="minorEastAsia"/>
        </w:rPr>
      </w:pPr>
    </w:p>
    <w:p w:rsidR="00496386" w:rsidRPr="00726495" w:rsidRDefault="00496386" w:rsidP="00726495">
      <w:pPr>
        <w:spacing w:after="120"/>
        <w:ind w:left="720"/>
        <w:contextualSpacing w:val="0"/>
        <w:rPr>
          <w:rFonts w:eastAsiaTheme="minorEastAsia"/>
        </w:rPr>
      </w:pPr>
    </w:p>
    <w:p w:rsidR="00496386" w:rsidRPr="00726495" w:rsidRDefault="00496386" w:rsidP="00726495">
      <w:pPr>
        <w:pStyle w:val="Heading1"/>
        <w:rPr>
          <w:rFonts w:eastAsiaTheme="minorEastAsia"/>
        </w:rPr>
      </w:pPr>
      <w:bookmarkStart w:id="14" w:name="_Toc445126784"/>
      <w:r>
        <w:t>Additional Forecasting Methods</w:t>
      </w:r>
      <w:bookmarkEnd w:id="14"/>
    </w:p>
    <w:p w:rsidR="00496386" w:rsidRDefault="00496386" w:rsidP="006E6028">
      <w:pPr>
        <w:rPr>
          <w:rFonts w:eastAsiaTheme="minorEastAsia"/>
        </w:rPr>
      </w:pPr>
    </w:p>
    <w:p w:rsidR="00306E68" w:rsidRPr="00306E68" w:rsidRDefault="00306E68" w:rsidP="00306E68">
      <w:pPr>
        <w:pStyle w:val="Heading2"/>
      </w:pPr>
      <w:bookmarkStart w:id="15" w:name="_Toc445126785"/>
      <w:r w:rsidRPr="00306E68">
        <w:t>Causal Forecasting</w:t>
      </w:r>
      <w:bookmarkEnd w:id="15"/>
    </w:p>
    <w:p w:rsidR="00306E68" w:rsidRDefault="00306E68" w:rsidP="00496386">
      <w:pPr>
        <w:pStyle w:val="Heading2"/>
        <w:rPr>
          <w:i w:val="0"/>
        </w:rPr>
      </w:pPr>
    </w:p>
    <w:p w:rsidR="00306E68" w:rsidRDefault="00306E68" w:rsidP="00306E68">
      <w:r>
        <w:t xml:space="preserve">Causal and promotional forecasting was demonstrated using linear regression.  Simple linear regression and multiple linear </w:t>
      </w:r>
      <w:proofErr w:type="gramStart"/>
      <w:r>
        <w:t>regression</w:t>
      </w:r>
      <w:proofErr w:type="gramEnd"/>
      <w:r>
        <w:t xml:space="preserve"> were both used, and an emphasis was placed on checking the R</w:t>
      </w:r>
      <w:r w:rsidRPr="00306E68">
        <w:rPr>
          <w:vertAlign w:val="superscript"/>
        </w:rPr>
        <w:t>2</w:t>
      </w:r>
      <w:r>
        <w:t xml:space="preserve"> value and examining the residuals to see if the model makes sense.</w:t>
      </w:r>
    </w:p>
    <w:p w:rsidR="00306E68" w:rsidRPr="00306E68" w:rsidRDefault="00306E68" w:rsidP="00306E68"/>
    <w:p w:rsidR="00496386" w:rsidRDefault="00496386" w:rsidP="00496386">
      <w:pPr>
        <w:pStyle w:val="Heading2"/>
      </w:pPr>
      <w:bookmarkStart w:id="16" w:name="_Toc445126786"/>
      <w:r>
        <w:t>Intermittent Demand</w:t>
      </w:r>
      <w:bookmarkEnd w:id="16"/>
    </w:p>
    <w:p w:rsidR="00496386" w:rsidRDefault="00496386" w:rsidP="006E6028">
      <w:pPr>
        <w:rPr>
          <w:rFonts w:eastAsiaTheme="minorEastAsia"/>
        </w:rPr>
      </w:pPr>
    </w:p>
    <w:p w:rsidR="00496386" w:rsidRPr="00306E68" w:rsidRDefault="00496386" w:rsidP="00496386">
      <w:pPr>
        <w:pStyle w:val="Heading2"/>
      </w:pPr>
      <w:bookmarkStart w:id="17" w:name="_Toc445126787"/>
      <w:r>
        <w:t>Bass Diffusion Model</w:t>
      </w:r>
      <w:bookmarkEnd w:id="17"/>
    </w:p>
    <w:sectPr w:rsidR="00496386" w:rsidRPr="00306E68">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D39" w:rsidRDefault="004F3D39" w:rsidP="000D5E20">
      <w:r>
        <w:separator/>
      </w:r>
    </w:p>
    <w:p w:rsidR="004F3D39" w:rsidRDefault="004F3D39"/>
  </w:endnote>
  <w:endnote w:type="continuationSeparator" w:id="0">
    <w:p w:rsidR="004F3D39" w:rsidRDefault="004F3D39" w:rsidP="000D5E20">
      <w:r>
        <w:continuationSeparator/>
      </w:r>
    </w:p>
    <w:p w:rsidR="004F3D39" w:rsidRDefault="004F3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10" w:rsidRDefault="00F70B10">
    <w:pPr>
      <w:pStyle w:val="Footer"/>
    </w:pPr>
  </w:p>
  <w:p w:rsidR="00F70B10" w:rsidRDefault="00F70B1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10" w:rsidRDefault="00F70B10">
    <w:pPr>
      <w:pStyle w:val="Footer"/>
    </w:pPr>
    <w:r>
      <w:tab/>
      <w:t xml:space="preserve">- Page </w:t>
    </w:r>
    <w:r>
      <w:fldChar w:fldCharType="begin"/>
    </w:r>
    <w:r>
      <w:instrText xml:space="preserve"> PAGE   \* MERGEFORMAT </w:instrText>
    </w:r>
    <w:r>
      <w:fldChar w:fldCharType="separate"/>
    </w:r>
    <w:r w:rsidR="00306E68">
      <w:rPr>
        <w:noProof/>
      </w:rPr>
      <w:t>1</w:t>
    </w:r>
    <w:r>
      <w:fldChar w:fldCharType="end"/>
    </w:r>
    <w:r>
      <w:t xml:space="preserve"> of </w:t>
    </w:r>
    <w:fldSimple w:instr=" NUMPAGES   \* MERGEFORMAT ">
      <w:r w:rsidR="00306E68">
        <w:rPr>
          <w:noProof/>
        </w:rPr>
        <w:t>9</w:t>
      </w:r>
    </w:fldSimple>
    <w:r>
      <w:t xml:space="preserve"> -</w:t>
    </w:r>
  </w:p>
  <w:p w:rsidR="00F70B10" w:rsidRDefault="00F70B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D39" w:rsidRDefault="004F3D39" w:rsidP="000D5E20">
      <w:r>
        <w:separator/>
      </w:r>
    </w:p>
    <w:p w:rsidR="004F3D39" w:rsidRDefault="004F3D39"/>
  </w:footnote>
  <w:footnote w:type="continuationSeparator" w:id="0">
    <w:p w:rsidR="004F3D39" w:rsidRDefault="004F3D39" w:rsidP="000D5E20">
      <w:r>
        <w:continuationSeparator/>
      </w:r>
    </w:p>
    <w:p w:rsidR="004F3D39" w:rsidRDefault="004F3D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10" w:rsidRDefault="00F70B10">
    <w:pPr>
      <w:pStyle w:val="Header"/>
    </w:pPr>
  </w:p>
  <w:p w:rsidR="00F70B10" w:rsidRDefault="00F70B1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10" w:rsidRPr="000D5E20" w:rsidRDefault="00F70B10">
    <w:pPr>
      <w:pStyle w:val="Header"/>
      <w:rPr>
        <w:u w:val="single"/>
      </w:rPr>
    </w:pPr>
    <w:r>
      <w:rPr>
        <w:u w:val="single"/>
      </w:rPr>
      <w:t>Dan’s Notes</w:t>
    </w:r>
    <w:r>
      <w:rPr>
        <w:u w:val="single"/>
      </w:rPr>
      <w:tab/>
    </w:r>
    <w:r>
      <w:rPr>
        <w:u w:val="single"/>
      </w:rPr>
      <w:tab/>
    </w:r>
  </w:p>
  <w:p w:rsidR="00F70B10" w:rsidRDefault="00F70B10">
    <w:pPr>
      <w:pStyle w:val="Header"/>
    </w:pPr>
    <w:r>
      <w:t>Daniel Rogers</w:t>
    </w:r>
    <w:r>
      <w:tab/>
    </w:r>
    <w:r>
      <w:tab/>
      <w:t>2016-03-06</w:t>
    </w:r>
  </w:p>
  <w:p w:rsidR="00F70B10" w:rsidRPr="000E6FA2" w:rsidRDefault="00F70B10" w:rsidP="000E6FA2">
    <w:pPr>
      <w:pStyle w:val="Header"/>
      <w:spacing w:before="120" w:after="120"/>
      <w:jc w:val="center"/>
      <w:rPr>
        <w:b/>
      </w:rPr>
    </w:pPr>
    <w:r>
      <w:rPr>
        <w:b/>
      </w:rPr>
      <w:t>CTL.SC1X: Forecasting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874"/>
    <w:multiLevelType w:val="hybridMultilevel"/>
    <w:tmpl w:val="044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F28E6"/>
    <w:multiLevelType w:val="hybridMultilevel"/>
    <w:tmpl w:val="20AAA466"/>
    <w:lvl w:ilvl="0" w:tplc="D1EE1E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540F5"/>
    <w:multiLevelType w:val="hybridMultilevel"/>
    <w:tmpl w:val="71FE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2668A"/>
    <w:multiLevelType w:val="hybridMultilevel"/>
    <w:tmpl w:val="03CE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D6CC9"/>
    <w:multiLevelType w:val="hybridMultilevel"/>
    <w:tmpl w:val="69F2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7000F"/>
    <w:multiLevelType w:val="hybridMultilevel"/>
    <w:tmpl w:val="35C0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7">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9">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830EB"/>
    <w:multiLevelType w:val="hybridMultilevel"/>
    <w:tmpl w:val="D574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46277"/>
    <w:multiLevelType w:val="hybridMultilevel"/>
    <w:tmpl w:val="64DCB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13">
    <w:nsid w:val="36046DE4"/>
    <w:multiLevelType w:val="hybridMultilevel"/>
    <w:tmpl w:val="22FA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16DD3"/>
    <w:multiLevelType w:val="hybridMultilevel"/>
    <w:tmpl w:val="F90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D3E96"/>
    <w:multiLevelType w:val="hybridMultilevel"/>
    <w:tmpl w:val="89D6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231BD1"/>
    <w:multiLevelType w:val="hybridMultilevel"/>
    <w:tmpl w:val="92008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A24CB3"/>
    <w:multiLevelType w:val="hybridMultilevel"/>
    <w:tmpl w:val="59CE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19">
    <w:nsid w:val="52B6669E"/>
    <w:multiLevelType w:val="hybridMultilevel"/>
    <w:tmpl w:val="6018E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281913"/>
    <w:multiLevelType w:val="hybridMultilevel"/>
    <w:tmpl w:val="49DE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675CE"/>
    <w:multiLevelType w:val="hybridMultilevel"/>
    <w:tmpl w:val="A9743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994B17"/>
    <w:multiLevelType w:val="hybridMultilevel"/>
    <w:tmpl w:val="518A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24">
    <w:nsid w:val="6E4F0BB9"/>
    <w:multiLevelType w:val="hybridMultilevel"/>
    <w:tmpl w:val="C0CE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26">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27">
    <w:nsid w:val="75EB08D6"/>
    <w:multiLevelType w:val="hybridMultilevel"/>
    <w:tmpl w:val="439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abstractNum w:abstractNumId="29">
    <w:nsid w:val="7D8E0254"/>
    <w:multiLevelType w:val="hybridMultilevel"/>
    <w:tmpl w:val="E330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C57A6B"/>
    <w:multiLevelType w:val="hybridMultilevel"/>
    <w:tmpl w:val="787E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5"/>
  </w:num>
  <w:num w:numId="4">
    <w:abstractNumId w:val="8"/>
  </w:num>
  <w:num w:numId="5">
    <w:abstractNumId w:val="12"/>
  </w:num>
  <w:num w:numId="6">
    <w:abstractNumId w:val="26"/>
  </w:num>
  <w:num w:numId="7">
    <w:abstractNumId w:val="6"/>
  </w:num>
  <w:num w:numId="8">
    <w:abstractNumId w:val="23"/>
  </w:num>
  <w:num w:numId="9">
    <w:abstractNumId w:val="18"/>
  </w:num>
  <w:num w:numId="10">
    <w:abstractNumId w:val="28"/>
  </w:num>
  <w:num w:numId="11">
    <w:abstractNumId w:val="15"/>
  </w:num>
  <w:num w:numId="12">
    <w:abstractNumId w:val="2"/>
  </w:num>
  <w:num w:numId="13">
    <w:abstractNumId w:val="0"/>
  </w:num>
  <w:num w:numId="14">
    <w:abstractNumId w:val="14"/>
  </w:num>
  <w:num w:numId="15">
    <w:abstractNumId w:val="11"/>
  </w:num>
  <w:num w:numId="16">
    <w:abstractNumId w:val="27"/>
  </w:num>
  <w:num w:numId="17">
    <w:abstractNumId w:val="4"/>
  </w:num>
  <w:num w:numId="18">
    <w:abstractNumId w:val="20"/>
  </w:num>
  <w:num w:numId="19">
    <w:abstractNumId w:val="17"/>
  </w:num>
  <w:num w:numId="20">
    <w:abstractNumId w:val="24"/>
  </w:num>
  <w:num w:numId="21">
    <w:abstractNumId w:val="29"/>
  </w:num>
  <w:num w:numId="22">
    <w:abstractNumId w:val="30"/>
  </w:num>
  <w:num w:numId="23">
    <w:abstractNumId w:val="3"/>
  </w:num>
  <w:num w:numId="24">
    <w:abstractNumId w:val="13"/>
  </w:num>
  <w:num w:numId="25">
    <w:abstractNumId w:val="22"/>
  </w:num>
  <w:num w:numId="26">
    <w:abstractNumId w:val="1"/>
  </w:num>
  <w:num w:numId="27">
    <w:abstractNumId w:val="5"/>
  </w:num>
  <w:num w:numId="28">
    <w:abstractNumId w:val="19"/>
  </w:num>
  <w:num w:numId="29">
    <w:abstractNumId w:val="16"/>
  </w:num>
  <w:num w:numId="30">
    <w:abstractNumId w:val="2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30813"/>
    <w:rsid w:val="000653F6"/>
    <w:rsid w:val="0007366B"/>
    <w:rsid w:val="0008105D"/>
    <w:rsid w:val="000A7047"/>
    <w:rsid w:val="000B678F"/>
    <w:rsid w:val="000D5E20"/>
    <w:rsid w:val="000E6FA2"/>
    <w:rsid w:val="000E7860"/>
    <w:rsid w:val="000F00F9"/>
    <w:rsid w:val="0012713F"/>
    <w:rsid w:val="001323D6"/>
    <w:rsid w:val="001470E7"/>
    <w:rsid w:val="00163ED2"/>
    <w:rsid w:val="0017505E"/>
    <w:rsid w:val="00190F1B"/>
    <w:rsid w:val="001972AB"/>
    <w:rsid w:val="001A3EAE"/>
    <w:rsid w:val="001B7FB0"/>
    <w:rsid w:val="001D408B"/>
    <w:rsid w:val="001D76A1"/>
    <w:rsid w:val="00207FD6"/>
    <w:rsid w:val="0025202F"/>
    <w:rsid w:val="00274761"/>
    <w:rsid w:val="002B1B36"/>
    <w:rsid w:val="002B4ADE"/>
    <w:rsid w:val="002E1FE7"/>
    <w:rsid w:val="002F2124"/>
    <w:rsid w:val="002F58EC"/>
    <w:rsid w:val="00306E68"/>
    <w:rsid w:val="00372BBD"/>
    <w:rsid w:val="00380B21"/>
    <w:rsid w:val="00394511"/>
    <w:rsid w:val="00397730"/>
    <w:rsid w:val="003A0E6E"/>
    <w:rsid w:val="003B44CA"/>
    <w:rsid w:val="003D14F3"/>
    <w:rsid w:val="003E356E"/>
    <w:rsid w:val="003F668C"/>
    <w:rsid w:val="003F7F36"/>
    <w:rsid w:val="00406C5F"/>
    <w:rsid w:val="004423C5"/>
    <w:rsid w:val="00473844"/>
    <w:rsid w:val="004827FA"/>
    <w:rsid w:val="00492460"/>
    <w:rsid w:val="00496386"/>
    <w:rsid w:val="004B01C3"/>
    <w:rsid w:val="004B3584"/>
    <w:rsid w:val="004D0498"/>
    <w:rsid w:val="004E1F74"/>
    <w:rsid w:val="004E3287"/>
    <w:rsid w:val="004F3D39"/>
    <w:rsid w:val="00506C5A"/>
    <w:rsid w:val="00554AE9"/>
    <w:rsid w:val="00563EAD"/>
    <w:rsid w:val="0056504D"/>
    <w:rsid w:val="005A4681"/>
    <w:rsid w:val="005B09EE"/>
    <w:rsid w:val="005B1968"/>
    <w:rsid w:val="005B41E4"/>
    <w:rsid w:val="005C4BEF"/>
    <w:rsid w:val="005E2440"/>
    <w:rsid w:val="005F7099"/>
    <w:rsid w:val="006005D7"/>
    <w:rsid w:val="0061151B"/>
    <w:rsid w:val="0062048A"/>
    <w:rsid w:val="006E6028"/>
    <w:rsid w:val="00711AFB"/>
    <w:rsid w:val="00726495"/>
    <w:rsid w:val="00745697"/>
    <w:rsid w:val="00751BE0"/>
    <w:rsid w:val="00751D1B"/>
    <w:rsid w:val="00767E8E"/>
    <w:rsid w:val="007A6743"/>
    <w:rsid w:val="007C6AE9"/>
    <w:rsid w:val="007D13D4"/>
    <w:rsid w:val="007E0A6B"/>
    <w:rsid w:val="00827605"/>
    <w:rsid w:val="008527D9"/>
    <w:rsid w:val="00866234"/>
    <w:rsid w:val="00867B4C"/>
    <w:rsid w:val="008774AC"/>
    <w:rsid w:val="008842C4"/>
    <w:rsid w:val="008844BB"/>
    <w:rsid w:val="008E42A7"/>
    <w:rsid w:val="0092214E"/>
    <w:rsid w:val="009364DC"/>
    <w:rsid w:val="00972F33"/>
    <w:rsid w:val="009828E3"/>
    <w:rsid w:val="009B40B5"/>
    <w:rsid w:val="009D333E"/>
    <w:rsid w:val="009E2EC4"/>
    <w:rsid w:val="00A00573"/>
    <w:rsid w:val="00A14BB0"/>
    <w:rsid w:val="00A43A1C"/>
    <w:rsid w:val="00A876E2"/>
    <w:rsid w:val="00A93456"/>
    <w:rsid w:val="00AA6468"/>
    <w:rsid w:val="00AB7D73"/>
    <w:rsid w:val="00AF22D0"/>
    <w:rsid w:val="00AF7D7D"/>
    <w:rsid w:val="00B42653"/>
    <w:rsid w:val="00BE38FB"/>
    <w:rsid w:val="00C478A6"/>
    <w:rsid w:val="00C52752"/>
    <w:rsid w:val="00C64142"/>
    <w:rsid w:val="00C64FB2"/>
    <w:rsid w:val="00C74FF4"/>
    <w:rsid w:val="00C87AF5"/>
    <w:rsid w:val="00CA2118"/>
    <w:rsid w:val="00CA73E1"/>
    <w:rsid w:val="00CD3586"/>
    <w:rsid w:val="00CF10F7"/>
    <w:rsid w:val="00CF149E"/>
    <w:rsid w:val="00CF3AAC"/>
    <w:rsid w:val="00CF5D63"/>
    <w:rsid w:val="00D06AE3"/>
    <w:rsid w:val="00D121E5"/>
    <w:rsid w:val="00D24FD4"/>
    <w:rsid w:val="00D27F17"/>
    <w:rsid w:val="00D3299A"/>
    <w:rsid w:val="00D4133C"/>
    <w:rsid w:val="00D54E8A"/>
    <w:rsid w:val="00D654CC"/>
    <w:rsid w:val="00D8581A"/>
    <w:rsid w:val="00DA17D9"/>
    <w:rsid w:val="00DD7B48"/>
    <w:rsid w:val="00DE11AA"/>
    <w:rsid w:val="00E14DEB"/>
    <w:rsid w:val="00E15781"/>
    <w:rsid w:val="00E17F00"/>
    <w:rsid w:val="00E61A13"/>
    <w:rsid w:val="00E641D8"/>
    <w:rsid w:val="00E85458"/>
    <w:rsid w:val="00E9403F"/>
    <w:rsid w:val="00EA01A6"/>
    <w:rsid w:val="00EB018A"/>
    <w:rsid w:val="00EC7BF4"/>
    <w:rsid w:val="00EE5AA2"/>
    <w:rsid w:val="00EF53EB"/>
    <w:rsid w:val="00F313E5"/>
    <w:rsid w:val="00F527F7"/>
    <w:rsid w:val="00F544DE"/>
    <w:rsid w:val="00F70B10"/>
    <w:rsid w:val="00F80CEF"/>
    <w:rsid w:val="00FA7644"/>
    <w:rsid w:val="00FC2682"/>
    <w:rsid w:val="00FE52B8"/>
    <w:rsid w:val="00FE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AF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22D0"/>
    <w:rPr>
      <w:color w:val="808080"/>
    </w:rPr>
  </w:style>
  <w:style w:type="paragraph" w:styleId="BalloonText">
    <w:name w:val="Balloon Text"/>
    <w:basedOn w:val="Normal"/>
    <w:link w:val="BalloonTextChar"/>
    <w:uiPriority w:val="99"/>
    <w:semiHidden/>
    <w:unhideWhenUsed/>
    <w:rsid w:val="00AF22D0"/>
    <w:rPr>
      <w:rFonts w:ascii="Tahoma" w:hAnsi="Tahoma" w:cs="Tahoma"/>
      <w:sz w:val="16"/>
      <w:szCs w:val="16"/>
    </w:rPr>
  </w:style>
  <w:style w:type="character" w:customStyle="1" w:styleId="BalloonTextChar">
    <w:name w:val="Balloon Text Char"/>
    <w:basedOn w:val="DefaultParagraphFont"/>
    <w:link w:val="BalloonText"/>
    <w:uiPriority w:val="99"/>
    <w:semiHidden/>
    <w:rsid w:val="00AF22D0"/>
    <w:rPr>
      <w:rFonts w:ascii="Tahoma" w:hAnsi="Tahoma" w:cs="Tahoma"/>
      <w:sz w:val="16"/>
      <w:szCs w:val="16"/>
    </w:rPr>
  </w:style>
  <w:style w:type="paragraph" w:styleId="TOCHeading">
    <w:name w:val="TOC Heading"/>
    <w:basedOn w:val="Heading1"/>
    <w:next w:val="Normal"/>
    <w:uiPriority w:val="39"/>
    <w:semiHidden/>
    <w:unhideWhenUsed/>
    <w:qFormat/>
    <w:rsid w:val="0017505E"/>
    <w:pPr>
      <w:keepNext/>
      <w:keepLines/>
      <w:spacing w:before="48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7505E"/>
    <w:pPr>
      <w:spacing w:after="100"/>
    </w:pPr>
  </w:style>
  <w:style w:type="paragraph" w:styleId="TOC2">
    <w:name w:val="toc 2"/>
    <w:basedOn w:val="Normal"/>
    <w:next w:val="Normal"/>
    <w:autoRedefine/>
    <w:uiPriority w:val="39"/>
    <w:unhideWhenUsed/>
    <w:rsid w:val="006E6028"/>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AF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22D0"/>
    <w:rPr>
      <w:color w:val="808080"/>
    </w:rPr>
  </w:style>
  <w:style w:type="paragraph" w:styleId="BalloonText">
    <w:name w:val="Balloon Text"/>
    <w:basedOn w:val="Normal"/>
    <w:link w:val="BalloonTextChar"/>
    <w:uiPriority w:val="99"/>
    <w:semiHidden/>
    <w:unhideWhenUsed/>
    <w:rsid w:val="00AF22D0"/>
    <w:rPr>
      <w:rFonts w:ascii="Tahoma" w:hAnsi="Tahoma" w:cs="Tahoma"/>
      <w:sz w:val="16"/>
      <w:szCs w:val="16"/>
    </w:rPr>
  </w:style>
  <w:style w:type="character" w:customStyle="1" w:styleId="BalloonTextChar">
    <w:name w:val="Balloon Text Char"/>
    <w:basedOn w:val="DefaultParagraphFont"/>
    <w:link w:val="BalloonText"/>
    <w:uiPriority w:val="99"/>
    <w:semiHidden/>
    <w:rsid w:val="00AF22D0"/>
    <w:rPr>
      <w:rFonts w:ascii="Tahoma" w:hAnsi="Tahoma" w:cs="Tahoma"/>
      <w:sz w:val="16"/>
      <w:szCs w:val="16"/>
    </w:rPr>
  </w:style>
  <w:style w:type="paragraph" w:styleId="TOCHeading">
    <w:name w:val="TOC Heading"/>
    <w:basedOn w:val="Heading1"/>
    <w:next w:val="Normal"/>
    <w:uiPriority w:val="39"/>
    <w:semiHidden/>
    <w:unhideWhenUsed/>
    <w:qFormat/>
    <w:rsid w:val="0017505E"/>
    <w:pPr>
      <w:keepNext/>
      <w:keepLines/>
      <w:spacing w:before="48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7505E"/>
    <w:pPr>
      <w:spacing w:after="100"/>
    </w:pPr>
  </w:style>
  <w:style w:type="paragraph" w:styleId="TOC2">
    <w:name w:val="toc 2"/>
    <w:basedOn w:val="Normal"/>
    <w:next w:val="Normal"/>
    <w:autoRedefine/>
    <w:uiPriority w:val="39"/>
    <w:unhideWhenUsed/>
    <w:rsid w:val="006E602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0C1"/>
    <w:rsid w:val="0025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0C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0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FE83A-306D-42C3-96F9-7AFFAA09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9</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14766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10</cp:revision>
  <dcterms:created xsi:type="dcterms:W3CDTF">2016-03-06T22:13:00Z</dcterms:created>
  <dcterms:modified xsi:type="dcterms:W3CDTF">2016-03-07T20:12:00Z</dcterms:modified>
</cp:coreProperties>
</file>