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i w:val="false"/>
          <w:iCs w:val="false"/>
          <w:color w:val="0E7C87"/>
          <w:sz w:val="19"/>
          <w:szCs w:val="19"/>
        </w:rPr>
        <w:t xml:space="preserve">INVESTMENT COMMITTEE MEMO</w:t>
      </w:r>
    </w:p>
    <w:p>
      <w:pPr>
        <w:spacing w:after="40"/>
      </w:pPr>
      <w:r>
        <w:rPr>
          <w:rFonts w:ascii="Cambria" w:cs="Cambria" w:eastAsia="Cambria" w:hAnsi="Cambria"/>
          <w:b/>
          <w:bCs/>
          <w:color w:val="0E2A47"/>
          <w:sz w:val="52"/>
          <w:szCs w:val="52"/>
        </w:rPr>
        <w:t xml:space="preserve">Orbitt Space</w:t>
      </w:r>
    </w:p>
    <w:p>
      <w:pPr>
        <w:pBdr>
          <w:bottom w:val="single" w:color="0E2A47" w:sz="6" w:space="6"/>
        </w:pBdr>
        <w:spacing w:after="60"/>
      </w:pPr>
      <w:r>
        <w:rPr>
          <w:rFonts w:ascii="Calibri" w:cs="Calibri" w:eastAsia="Calibri" w:hAnsi="Calibri"/>
          <w:b w:val="false"/>
          <w:bCs w:val="false"/>
          <w:i w:val="false"/>
          <w:iCs w:val="false"/>
          <w:color w:val="1B232E"/>
          <w:sz w:val="24"/>
          <w:szCs w:val="24"/>
        </w:rPr>
        <w:t xml:space="preserve">Investment case and recommendation: fuel-free air-breathing propulsion for Very Low Earth Orbit</w:t>
      </w:r>
    </w:p>
    <w:p>
      <w:pPr>
        <w:spacing w:after="200" w:before="80"/>
      </w:pPr>
      <w:r>
        <w:rPr>
          <w:rFonts w:ascii="Calibri" w:cs="Calibri" w:eastAsia="Calibri" w:hAnsi="Calibri"/>
          <w:b w:val="false"/>
          <w:bCs w:val="false"/>
          <w:i w:val="false"/>
          <w:iCs w:val="false"/>
          <w:color w:val="5E6B7A"/>
          <w:sz w:val="19"/>
          <w:szCs w:val="19"/>
        </w:rPr>
        <w:t xml:space="preserve">Pre-seed deep-tech  |  Ahmedabad, India  |  Prepared for the Investment Committee  |  June 2026</w:t>
      </w:r>
    </w:p>
    <w:p>
      <w:pPr>
        <w:spacing w:after="120"/>
      </w:pPr>
      <w:r>
        <w:rPr>
          <w:rFonts w:ascii="Cambria" w:cs="Cambria" w:eastAsia="Cambria" w:hAnsi="Cambria"/>
          <w:b/>
          <w:bCs/>
          <w:i w:val="false"/>
          <w:iCs w:val="false"/>
          <w:color w:val="0E2A47"/>
          <w:sz w:val="24"/>
          <w:szCs w:val="24"/>
        </w:rPr>
        <w:t xml:space="preserve">Contents</w:t>
      </w:r>
    </w:p>
    <w:p>
      <w:pPr>
        <w:spacing w:after="70" w:line="264"/>
        <w:ind w:left="200"/>
      </w:pPr>
      <w:r>
        <w:rPr>
          <w:rFonts w:ascii="Calibri" w:cs="Calibri" w:eastAsia="Calibri" w:hAnsi="Calibri"/>
          <w:b w:val="false"/>
          <w:bCs w:val="false"/>
          <w:i w:val="false"/>
          <w:iCs w:val="false"/>
          <w:color w:val="0E2A47"/>
          <w:sz w:val="21"/>
          <w:szCs w:val="21"/>
        </w:rPr>
        <w:t xml:space="preserve">1.  Executive summary and recommendation</w:t>
      </w:r>
    </w:p>
    <w:p>
      <w:pPr>
        <w:spacing w:after="70" w:line="264"/>
        <w:ind w:left="200"/>
      </w:pPr>
      <w:r>
        <w:rPr>
          <w:rFonts w:ascii="Calibri" w:cs="Calibri" w:eastAsia="Calibri" w:hAnsi="Calibri"/>
          <w:b w:val="false"/>
          <w:bCs w:val="false"/>
          <w:i w:val="false"/>
          <w:iCs w:val="false"/>
          <w:color w:val="0E2A47"/>
          <w:sz w:val="21"/>
          <w:szCs w:val="21"/>
        </w:rPr>
        <w:t xml:space="preserve">2.  Investment thesis</w:t>
      </w:r>
    </w:p>
    <w:p>
      <w:pPr>
        <w:spacing w:after="70" w:line="264"/>
        <w:ind w:left="200"/>
      </w:pPr>
      <w:r>
        <w:rPr>
          <w:rFonts w:ascii="Calibri" w:cs="Calibri" w:eastAsia="Calibri" w:hAnsi="Calibri"/>
          <w:b w:val="false"/>
          <w:bCs w:val="false"/>
          <w:i w:val="false"/>
          <w:iCs w:val="false"/>
          <w:color w:val="0E2A47"/>
          <w:sz w:val="21"/>
          <w:szCs w:val="21"/>
        </w:rPr>
        <w:t xml:space="preserve">3.  The opportunity: why VLEO, and why it is hard</w:t>
      </w:r>
    </w:p>
    <w:p>
      <w:pPr>
        <w:spacing w:after="70" w:line="264"/>
        <w:ind w:left="200"/>
      </w:pPr>
      <w:r>
        <w:rPr>
          <w:rFonts w:ascii="Calibri" w:cs="Calibri" w:eastAsia="Calibri" w:hAnsi="Calibri"/>
          <w:b w:val="false"/>
          <w:bCs w:val="false"/>
          <w:i w:val="false"/>
          <w:iCs w:val="false"/>
          <w:color w:val="0E2A47"/>
          <w:sz w:val="21"/>
          <w:szCs w:val="21"/>
        </w:rPr>
        <w:t xml:space="preserve">4.  Technology deep-dive: how air-breathing propulsion works</w:t>
      </w:r>
    </w:p>
    <w:p>
      <w:pPr>
        <w:spacing w:after="70" w:line="264"/>
        <w:ind w:left="200"/>
      </w:pPr>
      <w:r>
        <w:rPr>
          <w:rFonts w:ascii="Calibri" w:cs="Calibri" w:eastAsia="Calibri" w:hAnsi="Calibri"/>
          <w:b w:val="false"/>
          <w:bCs w:val="false"/>
          <w:i w:val="false"/>
          <w:iCs w:val="false"/>
          <w:color w:val="0E2A47"/>
          <w:sz w:val="21"/>
          <w:szCs w:val="21"/>
        </w:rPr>
        <w:t xml:space="preserve">5.  Company, team and roadmap</w:t>
      </w:r>
    </w:p>
    <w:p>
      <w:pPr>
        <w:spacing w:after="70" w:line="264"/>
        <w:ind w:left="200"/>
      </w:pPr>
      <w:r>
        <w:rPr>
          <w:rFonts w:ascii="Calibri" w:cs="Calibri" w:eastAsia="Calibri" w:hAnsi="Calibri"/>
          <w:b w:val="false"/>
          <w:bCs w:val="false"/>
          <w:i w:val="false"/>
          <w:iCs w:val="false"/>
          <w:color w:val="0E2A47"/>
          <w:sz w:val="21"/>
          <w:szCs w:val="21"/>
        </w:rPr>
        <w:t xml:space="preserve">6.  Competition: a crowded, government-funded race</w:t>
      </w:r>
    </w:p>
    <w:p>
      <w:pPr>
        <w:spacing w:after="70" w:line="264"/>
        <w:ind w:left="200"/>
      </w:pPr>
      <w:r>
        <w:rPr>
          <w:rFonts w:ascii="Calibri" w:cs="Calibri" w:eastAsia="Calibri" w:hAnsi="Calibri"/>
          <w:b w:val="false"/>
          <w:bCs w:val="false"/>
          <w:i w:val="false"/>
          <w:iCs w:val="false"/>
          <w:color w:val="0E2A47"/>
          <w:sz w:val="21"/>
          <w:szCs w:val="21"/>
        </w:rPr>
        <w:t xml:space="preserve">7.  Moat: where defensibility is real and where it is thin</w:t>
      </w:r>
    </w:p>
    <w:p>
      <w:pPr>
        <w:spacing w:after="70" w:line="264"/>
        <w:ind w:left="200"/>
      </w:pPr>
      <w:r>
        <w:rPr>
          <w:rFonts w:ascii="Calibri" w:cs="Calibri" w:eastAsia="Calibri" w:hAnsi="Calibri"/>
          <w:b w:val="false"/>
          <w:bCs w:val="false"/>
          <w:i w:val="false"/>
          <w:iCs w:val="false"/>
          <w:color w:val="0E2A47"/>
          <w:sz w:val="21"/>
          <w:szCs w:val="21"/>
        </w:rPr>
        <w:t xml:space="preserve">8.  Intellectual property and freedom to operate</w:t>
      </w:r>
    </w:p>
    <w:p>
      <w:pPr>
        <w:spacing w:after="70" w:line="264"/>
        <w:ind w:left="200"/>
      </w:pPr>
      <w:r>
        <w:rPr>
          <w:rFonts w:ascii="Calibri" w:cs="Calibri" w:eastAsia="Calibri" w:hAnsi="Calibri"/>
          <w:b w:val="false"/>
          <w:bCs w:val="false"/>
          <w:i w:val="false"/>
          <w:iCs w:val="false"/>
          <w:color w:val="0E2A47"/>
          <w:sz w:val="21"/>
          <w:szCs w:val="21"/>
        </w:rPr>
        <w:t xml:space="preserve">9.  Distribution and go-to-market</w:t>
      </w:r>
    </w:p>
    <w:p>
      <w:pPr>
        <w:spacing w:after="70" w:line="264"/>
        <w:ind w:left="200"/>
      </w:pPr>
      <w:r>
        <w:rPr>
          <w:rFonts w:ascii="Calibri" w:cs="Calibri" w:eastAsia="Calibri" w:hAnsi="Calibri"/>
          <w:b w:val="false"/>
          <w:bCs w:val="false"/>
          <w:i w:val="false"/>
          <w:iCs w:val="false"/>
          <w:color w:val="0E2A47"/>
          <w:sz w:val="21"/>
          <w:szCs w:val="21"/>
        </w:rPr>
        <w:t xml:space="preserve">10.  Market sizing</w:t>
      </w:r>
    </w:p>
    <w:p>
      <w:pPr>
        <w:spacing w:after="70" w:line="264"/>
        <w:ind w:left="200"/>
      </w:pPr>
      <w:r>
        <w:rPr>
          <w:rFonts w:ascii="Calibri" w:cs="Calibri" w:eastAsia="Calibri" w:hAnsi="Calibri"/>
          <w:b w:val="false"/>
          <w:bCs w:val="false"/>
          <w:i w:val="false"/>
          <w:iCs w:val="false"/>
          <w:color w:val="0E2A47"/>
          <w:sz w:val="21"/>
          <w:szCs w:val="21"/>
        </w:rPr>
        <w:t xml:space="preserve">11.  Traction, metrics and financials</w:t>
      </w:r>
    </w:p>
    <w:p>
      <w:pPr>
        <w:spacing w:after="70" w:line="264"/>
        <w:ind w:left="200"/>
      </w:pPr>
      <w:r>
        <w:rPr>
          <w:rFonts w:ascii="Calibri" w:cs="Calibri" w:eastAsia="Calibri" w:hAnsi="Calibri"/>
          <w:b w:val="false"/>
          <w:bCs w:val="false"/>
          <w:i w:val="false"/>
          <w:iCs w:val="false"/>
          <w:color w:val="0E2A47"/>
          <w:sz w:val="21"/>
          <w:szCs w:val="21"/>
        </w:rPr>
        <w:t xml:space="preserve">12.  Risk assessment</w:t>
      </w:r>
    </w:p>
    <w:p>
      <w:pPr>
        <w:spacing w:after="70" w:line="264"/>
        <w:ind w:left="200"/>
      </w:pPr>
      <w:r>
        <w:rPr>
          <w:rFonts w:ascii="Calibri" w:cs="Calibri" w:eastAsia="Calibri" w:hAnsi="Calibri"/>
          <w:b w:val="false"/>
          <w:bCs w:val="false"/>
          <w:i w:val="false"/>
          <w:iCs w:val="false"/>
          <w:color w:val="0E2A47"/>
          <w:sz w:val="21"/>
          <w:szCs w:val="21"/>
        </w:rPr>
        <w:t xml:space="preserve">13.  Recommendation and decision gates</w:t>
      </w:r>
    </w:p>
    <w:p>
      <w:pPr>
        <w:spacing w:after="70" w:line="264"/>
        <w:ind w:left="200"/>
      </w:pPr>
      <w:r>
        <w:rPr>
          <w:rFonts w:ascii="Calibri" w:cs="Calibri" w:eastAsia="Calibri" w:hAnsi="Calibri"/>
          <w:b w:val="false"/>
          <w:bCs w:val="false"/>
          <w:i w:val="false"/>
          <w:iCs w:val="false"/>
          <w:color w:val="0E2A47"/>
          <w:sz w:val="21"/>
          <w:szCs w:val="21"/>
        </w:rPr>
        <w:t xml:space="preserve">14.  Sources</w:t>
      </w:r>
    </w:p>
    <w:p>
      <w:r>
        <w:br w:type="page"/>
      </w:r>
    </w:p>
    <w:p>
      <w:pPr>
        <w:pStyle w:val="Heading1"/>
        <w:pBdr>
          <w:bottom w:val="single" w:color="17B0BD" w:sz="6" w:space="4"/>
        </w:pBdr>
        <w:spacing w:after="160" w:before="320"/>
      </w:pPr>
      <w:r>
        <w:rPr>
          <w:rFonts w:ascii="Cambria" w:cs="Cambria" w:eastAsia="Cambria" w:hAnsi="Cambria"/>
          <w:b/>
          <w:bCs/>
          <w:color w:val="0E2A47"/>
          <w:sz w:val="32"/>
          <w:szCs w:val="32"/>
        </w:rPr>
        <w:t xml:space="preserve">1. Executive summary and recommendation</w:t>
      </w:r>
    </w:p>
    <w:p>
      <w:pPr>
        <w:spacing w:after="140" w:before="0" w:line="264"/>
      </w:pPr>
      <w:r>
        <w:rPr>
          <w:rFonts w:ascii="Calibri" w:cs="Calibri" w:eastAsia="Calibri" w:hAnsi="Calibri"/>
          <w:b w:val="false"/>
          <w:bCs w:val="false"/>
          <w:i w:val="false"/>
          <w:iCs w:val="false"/>
          <w:color w:val="1B232E"/>
          <w:sz w:val="21"/>
          <w:szCs w:val="21"/>
        </w:rPr>
        <w:t xml:space="preserve">Orbitt Space is an Ahmedabad deep-tech startup founded in early 2025 by two former ISRO engineers. It is building fuel-free air-breathing electric propulsion and a 200 kg-class satellite bus for Very Low Earth Orbit (VLEO), the band below roughly 250 km. The company raised a $1M pre-seed led by pi Ventures, with IIMA Ventures, in May 2025. It is pre-revenue, pre-orbit, and at an early technology readiness level.</w:t>
      </w:r>
    </w:p>
    <w:p>
      <w:pPr>
        <w:spacing w:after="140" w:before="0" w:line="264"/>
      </w:pPr>
      <w:r>
        <w:rPr>
          <w:rFonts w:ascii="Calibri" w:cs="Calibri" w:eastAsia="Calibri" w:hAnsi="Calibri"/>
          <w:b w:val="false"/>
          <w:bCs w:val="false"/>
          <w:i w:val="false"/>
          <w:iCs w:val="false"/>
          <w:color w:val="1B232E"/>
          <w:sz w:val="21"/>
          <w:szCs w:val="21"/>
        </w:rPr>
        <w:t xml:space="preserve">Our recommendation is a </w:t>
      </w:r>
      <w:r>
        <w:rPr>
          <w:rFonts w:ascii="Calibri" w:cs="Calibri" w:eastAsia="Calibri" w:hAnsi="Calibri"/>
          <w:b/>
          <w:bCs/>
          <w:i w:val="false"/>
          <w:iCs w:val="false"/>
          <w:color w:val="1B232E"/>
          <w:sz w:val="21"/>
          <w:szCs w:val="21"/>
        </w:rPr>
        <w:t xml:space="preserve">watchlist hold</w:t>
      </w:r>
      <w:r>
        <w:rPr>
          <w:rFonts w:ascii="Calibri" w:cs="Calibri" w:eastAsia="Calibri" w:hAnsi="Calibri"/>
          <w:b w:val="false"/>
          <w:bCs w:val="false"/>
          <w:i w:val="false"/>
          <w:iCs w:val="false"/>
          <w:color w:val="1B232E"/>
          <w:sz w:val="21"/>
          <w:szCs w:val="21"/>
        </w:rPr>
        <w:t xml:space="preserve">. We would pass on leading a priced round now, and instead hold a small optional ticket that is released only on demonstrated differentiation plus four hard milestones. The category is real and being de-risked by far larger players, but Orbitt is the smallest and least-proven name on a crowded track, with no demonstrated moat, no flight data, and no portable intellectual property yet.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4DD" w:sz="1"/>
              <w:left w:val="single" w:color="C9D4DD" w:sz="1"/>
              <w:bottom w:val="single" w:color="C9D4DD" w:sz="1"/>
              <w:right w:val="single" w:color="C9D4DD" w:sz="1"/>
            </w:tcBorders>
            <w:shd w:fill="0E2A47" w:color="auto" w:val="clear"/>
            <w:tcMar>
              <w:top w:type="dxa" w:w="70"/>
              <w:left w:type="dxa" w:w="110"/>
              <w:bottom w:type="dxa" w:w="70"/>
              <w:right w:type="dxa" w:w="110"/>
            </w:tcMar>
            <w:vAlign w:val="center"/>
          </w:tcPr>
          <w:p>
            <w:pPr>
              <w:spacing w:after="0" w:line="248"/>
            </w:pPr>
            <w:r>
              <w:rPr>
                <w:rFonts w:ascii="Calibri" w:cs="Calibri" w:eastAsia="Calibri" w:hAnsi="Calibri"/>
                <w:b/>
                <w:bCs/>
                <w:i w:val="false"/>
                <w:iCs w:val="false"/>
                <w:color w:val="FFFFFF"/>
                <w:sz w:val="19"/>
                <w:szCs w:val="19"/>
              </w:rPr>
              <w:t xml:space="preserve">Item</w:t>
            </w:r>
          </w:p>
        </w:tc>
        <w:tc>
          <w:tcPr>
            <w:tcW w:type="dxa" w:w="6760"/>
            <w:tcBorders>
              <w:top w:val="single" w:color="C9D4DD" w:sz="1"/>
              <w:left w:val="single" w:color="C9D4DD" w:sz="1"/>
              <w:bottom w:val="single" w:color="C9D4DD" w:sz="1"/>
              <w:right w:val="single" w:color="C9D4DD" w:sz="1"/>
            </w:tcBorders>
            <w:shd w:fill="0E2A47" w:color="auto" w:val="clear"/>
            <w:tcMar>
              <w:top w:type="dxa" w:w="70"/>
              <w:left w:type="dxa" w:w="110"/>
              <w:bottom w:type="dxa" w:w="70"/>
              <w:right w:type="dxa" w:w="110"/>
            </w:tcMar>
            <w:vAlign w:val="center"/>
          </w:tcPr>
          <w:p>
            <w:pPr>
              <w:spacing w:after="0" w:line="248"/>
            </w:pPr>
            <w:r>
              <w:rPr>
                <w:rFonts w:ascii="Calibri" w:cs="Calibri" w:eastAsia="Calibri" w:hAnsi="Calibri"/>
                <w:b/>
                <w:bCs/>
                <w:i w:val="false"/>
                <w:iCs w:val="false"/>
                <w:color w:val="FFFFFF"/>
                <w:sz w:val="19"/>
                <w:szCs w:val="19"/>
              </w:rPr>
              <w:t xml:space="preserve">Assessment</w:t>
            </w:r>
          </w:p>
        </w:tc>
      </w:tr>
      <w:tr>
        <w:tc>
          <w:tcPr>
            <w:tcW w:type="dxa" w:w="260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Recommendation</w:t>
            </w:r>
          </w:p>
        </w:tc>
        <w:tc>
          <w:tcPr>
            <w:tcW w:type="dxa" w:w="676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bCs/>
                <w:i w:val="false"/>
                <w:iCs w:val="false"/>
                <w:color w:val="1B232E"/>
                <w:sz w:val="19"/>
                <w:szCs w:val="19"/>
              </w:rPr>
              <w:t xml:space="preserve">Watchlist hold; pass on leading a priced round now</w:t>
            </w:r>
          </w:p>
        </w:tc>
      </w:tr>
      <w:tr>
        <w:tc>
          <w:tcPr>
            <w:tcW w:type="dxa" w:w="260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Conviction</w:t>
            </w:r>
          </w:p>
        </w:tc>
        <w:tc>
          <w:tcPr>
            <w:tcW w:type="dxa" w:w="676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Low to moderate. The category is real; the company is unproven and behind its closest rival</w:t>
            </w:r>
          </w:p>
        </w:tc>
      </w:tr>
      <w:tr>
        <w:tc>
          <w:tcPr>
            <w:tcW w:type="dxa" w:w="260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Stage and round</w:t>
            </w:r>
          </w:p>
        </w:tc>
        <w:tc>
          <w:tcPr>
            <w:tcW w:type="dxa" w:w="676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Pre-seed, $1M raised (pi Ventures, IIMA Ventures), May 2025</w:t>
            </w:r>
          </w:p>
        </w:tc>
      </w:tr>
      <w:tr>
        <w:tc>
          <w:tcPr>
            <w:tcW w:type="dxa" w:w="260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Entry rationale</w:t>
            </w:r>
          </w:p>
        </w:tc>
        <w:tc>
          <w:tcPr>
            <w:tcW w:type="dxa" w:w="676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Cheap, asymmetric optionality on a large structural shift toward the lowest orbit</w:t>
            </w:r>
          </w:p>
        </w:tc>
      </w:tr>
      <w:tr>
        <w:tc>
          <w:tcPr>
            <w:tcW w:type="dxa" w:w="260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Gate to invest</w:t>
            </w:r>
          </w:p>
        </w:tc>
        <w:tc>
          <w:tcPr>
            <w:tcW w:type="dxa" w:w="676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A differentiated air-breathing result (not parity) plus four milestones (see Section 12)</w:t>
            </w:r>
          </w:p>
        </w:tc>
      </w:tr>
      <w:tr>
        <w:tc>
          <w:tcPr>
            <w:tcW w:type="dxa" w:w="260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Primary risk</w:t>
            </w:r>
          </w:p>
        </w:tc>
        <w:tc>
          <w:tcPr>
            <w:tcW w:type="dxa" w:w="676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Unproven propulsion, and a better-funded, flight-proven domestic rival (Bellatrix)</w:t>
            </w:r>
          </w:p>
        </w:tc>
      </w:tr>
    </w:tbl>
    <w:p>
      <w:pPr>
        <w:spacing w:after="60"/>
      </w:pPr>
    </w:p>
    <w:p>
      <w:pPr>
        <w:pStyle w:val="Heading1"/>
        <w:pBdr>
          <w:bottom w:val="single" w:color="17B0BD" w:sz="6" w:space="4"/>
        </w:pBdr>
        <w:spacing w:after="160" w:before="320"/>
      </w:pPr>
      <w:r>
        <w:rPr>
          <w:rFonts w:ascii="Cambria" w:cs="Cambria" w:eastAsia="Cambria" w:hAnsi="Cambria"/>
          <w:b/>
          <w:bCs/>
          <w:color w:val="0E2A47"/>
          <w:sz w:val="32"/>
          <w:szCs w:val="32"/>
        </w:rPr>
        <w:t xml:space="preserve">2. Investment thesis</w:t>
      </w:r>
    </w:p>
    <w:p>
      <w:pPr>
        <w:spacing w:after="140" w:before="0" w:line="264"/>
      </w:pPr>
      <w:r>
        <w:rPr>
          <w:rFonts w:ascii="Calibri" w:cs="Calibri" w:eastAsia="Calibri" w:hAnsi="Calibri"/>
          <w:b w:val="false"/>
          <w:bCs w:val="false"/>
          <w:i w:val="false"/>
          <w:iCs w:val="false"/>
          <w:color w:val="1B232E"/>
          <w:sz w:val="21"/>
          <w:szCs w:val="21"/>
        </w:rPr>
        <w:t xml:space="preserve">The thesis can be stated in one line: VLEO is becoming real on someone else's dime, and the bet is whether Orbitt can earn a differentiated seat in it before better-funded rivals close the door. Three observations frame the decision.</w:t>
      </w:r>
    </w:p>
    <w:p>
      <w:pPr>
        <w:pStyle w:val="Heading3"/>
        <w:spacing w:after="80" w:before="160"/>
      </w:pPr>
      <w:r>
        <w:rPr>
          <w:rFonts w:ascii="Calibri" w:cs="Calibri" w:eastAsia="Calibri" w:hAnsi="Calibri"/>
          <w:b/>
          <w:bCs/>
          <w:color w:val="0E7C87"/>
          <w:sz w:val="22"/>
          <w:szCs w:val="22"/>
        </w:rPr>
        <w:t xml:space="preserve">2.1  The category is being de-risked by giants</w:t>
      </w:r>
    </w:p>
    <w:p>
      <w:pPr>
        <w:spacing w:after="140" w:before="0" w:line="264"/>
      </w:pPr>
      <w:r>
        <w:rPr>
          <w:rFonts w:ascii="Calibri" w:cs="Calibri" w:eastAsia="Calibri" w:hAnsi="Calibri"/>
          <w:b w:val="false"/>
          <w:bCs w:val="false"/>
          <w:i w:val="false"/>
          <w:iCs w:val="false"/>
          <w:color w:val="1B232E"/>
          <w:sz w:val="21"/>
          <w:szCs w:val="21"/>
        </w:rPr>
        <w:t xml:space="preserve">The shift toward the lowest orbit is structural, not speculative. DARPA has committed about $44M to Redwire's air-breathing SabreSat, the European Space Agency funds SITAEL and the Skimsat program, and the US National Reconnaissance Office and Air Force Research Laboratory back Albedo. When governments and primes underwrite the category, the technology and demand risk are being retired by others.</w:t>
      </w:r>
    </w:p>
    <w:p>
      <w:pPr>
        <w:pStyle w:val="Heading3"/>
        <w:spacing w:after="80" w:before="160"/>
      </w:pPr>
      <w:r>
        <w:rPr>
          <w:rFonts w:ascii="Calibri" w:cs="Calibri" w:eastAsia="Calibri" w:hAnsi="Calibri"/>
          <w:b/>
          <w:bCs/>
          <w:color w:val="0E7C87"/>
          <w:sz w:val="22"/>
          <w:szCs w:val="22"/>
        </w:rPr>
        <w:t xml:space="preserve">2.2  But Orbitt is the smallest name on a crowded track</w:t>
      </w:r>
    </w:p>
    <w:p>
      <w:pPr>
        <w:spacing w:after="140" w:before="0" w:line="264"/>
      </w:pPr>
      <w:r>
        <w:rPr>
          <w:rFonts w:ascii="Calibri" w:cs="Calibri" w:eastAsia="Calibri" w:hAnsi="Calibri"/>
          <w:b w:val="false"/>
          <w:bCs w:val="false"/>
          <w:i w:val="false"/>
          <w:iCs w:val="false"/>
          <w:color w:val="1B232E"/>
          <w:sz w:val="21"/>
          <w:szCs w:val="21"/>
        </w:rPr>
        <w:t xml:space="preserve">A flight-proven domestic twin, Bellatrix Aerospace, is already ahead on the identical ULEO air-breathing platform, with roughly $31M raised, an in-orbit demonstrator, and a $76M factory. Global primes are further still. Orbitt has no moat, no flight data, and no portable IP yet, which makes it a follower rather than a leader on its core technology.</w:t>
      </w:r>
    </w:p>
    <w:p>
      <w:pPr>
        <w:pStyle w:val="Heading3"/>
        <w:spacing w:after="80" w:before="160"/>
      </w:pPr>
      <w:r>
        <w:rPr>
          <w:rFonts w:ascii="Calibri" w:cs="Calibri" w:eastAsia="Calibri" w:hAnsi="Calibri"/>
          <w:b/>
          <w:bCs/>
          <w:color w:val="0E7C87"/>
          <w:sz w:val="22"/>
          <w:szCs w:val="22"/>
        </w:rPr>
        <w:t xml:space="preserve">2.3  So the bet is cheap optionality, not conviction</w:t>
      </w:r>
    </w:p>
    <w:p>
      <w:pPr>
        <w:spacing w:after="140" w:before="0" w:line="264"/>
      </w:pPr>
      <w:r>
        <w:rPr>
          <w:rFonts w:ascii="Calibri" w:cs="Calibri" w:eastAsia="Calibri" w:hAnsi="Calibri"/>
          <w:b w:val="false"/>
          <w:bCs w:val="false"/>
          <w:i w:val="false"/>
          <w:iCs w:val="false"/>
          <w:color w:val="1B232E"/>
          <w:sz w:val="21"/>
          <w:szCs w:val="21"/>
        </w:rPr>
        <w:t xml:space="preserve">At a $1M pre-seed entry, a small ticket buys exposure to a large structural shift and to acquisition optionality (for example by a satellite prime such as TATA Advanced Systems), but only if the founders prove a genuinely differentiated edge. This is a disciplined option on a category, not a conviction bet on a company.</w:t>
      </w:r>
    </w:p>
    <w:p>
      <w:pPr>
        <w:spacing w:after="60"/>
      </w:pPr>
    </w:p>
    <w:p>
      <w:pPr>
        <w:pStyle w:val="Heading1"/>
        <w:pBdr>
          <w:bottom w:val="single" w:color="17B0BD" w:sz="6" w:space="4"/>
        </w:pBdr>
        <w:spacing w:after="160" w:before="320"/>
      </w:pPr>
      <w:r>
        <w:rPr>
          <w:rFonts w:ascii="Cambria" w:cs="Cambria" w:eastAsia="Cambria" w:hAnsi="Cambria"/>
          <w:b/>
          <w:bCs/>
          <w:color w:val="0E2A47"/>
          <w:sz w:val="32"/>
          <w:szCs w:val="32"/>
        </w:rPr>
        <w:t xml:space="preserve">3. The opportunity: why VLEO, and why it is hard</w:t>
      </w:r>
    </w:p>
    <w:p>
      <w:pPr>
        <w:spacing w:after="140" w:before="0" w:line="264"/>
      </w:pPr>
      <w:r>
        <w:rPr>
          <w:rFonts w:ascii="Calibri" w:cs="Calibri" w:eastAsia="Calibri" w:hAnsi="Calibri"/>
          <w:b w:val="false"/>
          <w:bCs w:val="false"/>
          <w:i w:val="false"/>
          <w:iCs w:val="false"/>
          <w:color w:val="1B232E"/>
          <w:sz w:val="21"/>
          <w:szCs w:val="21"/>
        </w:rPr>
        <w:t xml:space="preserve">VLEO is the most valuable orbit for many missions, because flying closer to Earth improves almost every payload metric. It has stayed commercially off-limits because atmospheric drag and a harsh environment make it difficult and expensive to sustain. The unsolved problem is not whether VLEO is reachable, but whether it can be sustained affordably and durably at scale.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D4DD" w:sz="1"/>
              <w:left w:val="single" w:color="C9D4DD" w:sz="1"/>
              <w:bottom w:val="single" w:color="C9D4DD" w:sz="1"/>
              <w:right w:val="single" w:color="C9D4DD" w:sz="1"/>
            </w:tcBorders>
            <w:shd w:fill="0E2A47" w:color="auto" w:val="clear"/>
            <w:tcMar>
              <w:top w:type="dxa" w:w="70"/>
              <w:left w:type="dxa" w:w="110"/>
              <w:bottom w:type="dxa" w:w="70"/>
              <w:right w:type="dxa" w:w="110"/>
            </w:tcMar>
            <w:vAlign w:val="center"/>
          </w:tcPr>
          <w:p>
            <w:pPr>
              <w:spacing w:after="0" w:line="248"/>
            </w:pPr>
            <w:r>
              <w:rPr>
                <w:rFonts w:ascii="Calibri" w:cs="Calibri" w:eastAsia="Calibri" w:hAnsi="Calibri"/>
                <w:b/>
                <w:bCs/>
                <w:i w:val="false"/>
                <w:iCs w:val="false"/>
                <w:color w:val="FFFFFF"/>
                <w:sz w:val="19"/>
                <w:szCs w:val="19"/>
              </w:rPr>
              <w:t xml:space="preserve">Why about 200 km is the prize</w:t>
            </w:r>
          </w:p>
        </w:tc>
        <w:tc>
          <w:tcPr>
            <w:tcW w:type="dxa" w:w="4680"/>
            <w:tcBorders>
              <w:top w:val="single" w:color="C9D4DD" w:sz="1"/>
              <w:left w:val="single" w:color="C9D4DD" w:sz="1"/>
              <w:bottom w:val="single" w:color="C9D4DD" w:sz="1"/>
              <w:right w:val="single" w:color="C9D4DD" w:sz="1"/>
            </w:tcBorders>
            <w:shd w:fill="0E2A47" w:color="auto" w:val="clear"/>
            <w:tcMar>
              <w:top w:type="dxa" w:w="70"/>
              <w:left w:type="dxa" w:w="110"/>
              <w:bottom w:type="dxa" w:w="70"/>
              <w:right w:type="dxa" w:w="110"/>
            </w:tcMar>
            <w:vAlign w:val="center"/>
          </w:tcPr>
          <w:p>
            <w:pPr>
              <w:spacing w:after="0" w:line="248"/>
            </w:pPr>
            <w:r>
              <w:rPr>
                <w:rFonts w:ascii="Calibri" w:cs="Calibri" w:eastAsia="Calibri" w:hAnsi="Calibri"/>
                <w:b/>
                <w:bCs/>
                <w:i w:val="false"/>
                <w:iCs w:val="false"/>
                <w:color w:val="FFFFFF"/>
                <w:sz w:val="19"/>
                <w:szCs w:val="19"/>
              </w:rPr>
              <w:t xml:space="preserve">Why it has stayed off-limits</w:t>
            </w:r>
          </w:p>
        </w:tc>
      </w:tr>
      <w:tr>
        <w:tc>
          <w:tcPr>
            <w:tcW w:type="dxa" w:w="468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Imagery 5 to 10x sharper for the same optics</w:t>
            </w:r>
          </w:p>
        </w:tc>
        <w:tc>
          <w:tcPr>
            <w:tcW w:type="dxa" w:w="468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Atmospheric drag rises exponentially below about 300 km</w:t>
            </w:r>
          </w:p>
        </w:tc>
      </w:tr>
      <w:tr>
        <w:tc>
          <w:tcPr>
            <w:tcW w:type="dxa" w:w="468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Latency roughly 10x lower than traditional LEO</w:t>
            </w:r>
          </w:p>
        </w:tc>
        <w:tc>
          <w:tcPr>
            <w:tcW w:type="dxa" w:w="468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Conventional onboard fuel burns out within months</w:t>
            </w:r>
          </w:p>
        </w:tc>
      </w:tr>
      <w:tr>
        <w:tc>
          <w:tcPr>
            <w:tcW w:type="dxa" w:w="468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Lower launch and payload cost per mission</w:t>
            </w:r>
          </w:p>
        </w:tc>
        <w:tc>
          <w:tcPr>
            <w:tcW w:type="dxa" w:w="468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Atomic oxygen erodes optics, coatings and solar cells</w:t>
            </w:r>
          </w:p>
        </w:tc>
      </w:tr>
      <w:tr>
        <w:tc>
          <w:tcPr>
            <w:tcW w:type="dxa" w:w="468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Self-cleaning orbit: drag deorbits debris within weeks</w:t>
            </w:r>
          </w:p>
        </w:tc>
        <w:tc>
          <w:tcPr>
            <w:tcW w:type="dxa" w:w="468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Aerodynamic torque makes pointing and control hard</w:t>
            </w:r>
          </w:p>
        </w:tc>
      </w:tr>
    </w:tbl>
    <w:p>
      <w:pPr>
        <w:spacing w:after="30"/>
      </w:pPr>
    </w:p>
    <w:p>
      <w:pPr>
        <w:spacing w:after="140" w:before="0" w:line="264"/>
      </w:pPr>
      <w:r>
        <w:rPr>
          <w:rFonts w:ascii="Calibri" w:cs="Calibri" w:eastAsia="Calibri" w:hAnsi="Calibri"/>
          <w:b/>
          <w:bCs/>
          <w:i w:val="false"/>
          <w:iCs w:val="false"/>
          <w:color w:val="1B232E"/>
          <w:sz w:val="21"/>
          <w:szCs w:val="21"/>
        </w:rPr>
        <w:t xml:space="preserve">Heritage proves it is possible. </w:t>
      </w:r>
      <w:r>
        <w:rPr>
          <w:rFonts w:ascii="Calibri" w:cs="Calibri" w:eastAsia="Calibri" w:hAnsi="Calibri"/>
          <w:b w:val="false"/>
          <w:bCs w:val="false"/>
          <w:i w:val="false"/>
          <w:iCs w:val="false"/>
          <w:color w:val="1B232E"/>
          <w:sz w:val="21"/>
          <w:szCs w:val="21"/>
        </w:rPr>
        <w:t xml:space="preserve">ESA's GOCE flew at about 255 km and JAXA's SLATS as low as about 167 km, both with active drag compensation. The remaining challenge is doing this affordably, durably and at commercial scale.</w:t>
      </w:r>
    </w:p>
    <w:p>
      <w:pPr>
        <w:spacing w:after="50"/>
      </w:pPr>
    </w:p>
    <w:p>
      <w:pPr>
        <w:pStyle w:val="Heading1"/>
        <w:pBdr>
          <w:bottom w:val="single" w:color="17B0BD" w:sz="6" w:space="4"/>
        </w:pBdr>
        <w:spacing w:after="160" w:before="320"/>
      </w:pPr>
      <w:r>
        <w:rPr>
          <w:rFonts w:ascii="Cambria" w:cs="Cambria" w:eastAsia="Cambria" w:hAnsi="Cambria"/>
          <w:b/>
          <w:bCs/>
          <w:color w:val="0E2A47"/>
          <w:sz w:val="32"/>
          <w:szCs w:val="32"/>
        </w:rPr>
        <w:t xml:space="preserve">4. Technology deep-dive: how air-breathing propulsion works</w:t>
      </w:r>
    </w:p>
    <w:p>
      <w:pPr>
        <w:spacing w:after="140" w:before="0" w:line="264"/>
      </w:pPr>
      <w:r>
        <w:rPr>
          <w:rFonts w:ascii="Calibri" w:cs="Calibri" w:eastAsia="Calibri" w:hAnsi="Calibri"/>
          <w:b w:val="false"/>
          <w:bCs w:val="false"/>
          <w:i w:val="false"/>
          <w:iCs w:val="false"/>
          <w:color w:val="1B232E"/>
          <w:sz w:val="21"/>
          <w:szCs w:val="21"/>
        </w:rPr>
        <w:t xml:space="preserve">Air-breathing electric propulsion (ABEP) replaces stored fuel with the thin residual atmosphere itself. An intake collects and compresses incoming gas, an electric thruster ionizes and accelerates it, and the resulting thrust offsets drag so the spacecraft can hold a very low orbit for years rather than days. The system works in four stages.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030"/>
        <w:gridCol w:w="3430"/>
      </w:tblGrid>
      <w:tr>
        <w:trPr>
          <w:tblHeader/>
        </w:trPr>
        <w:tc>
          <w:tcPr>
            <w:tcW w:type="dxa" w:w="1900"/>
            <w:tcBorders>
              <w:top w:val="single" w:color="C9D4DD" w:sz="1"/>
              <w:left w:val="single" w:color="C9D4DD" w:sz="1"/>
              <w:bottom w:val="single" w:color="C9D4DD" w:sz="1"/>
              <w:right w:val="single" w:color="C9D4DD" w:sz="1"/>
            </w:tcBorders>
            <w:shd w:fill="0E2A47" w:color="auto" w:val="clear"/>
            <w:tcMar>
              <w:top w:type="dxa" w:w="70"/>
              <w:left w:type="dxa" w:w="110"/>
              <w:bottom w:type="dxa" w:w="70"/>
              <w:right w:type="dxa" w:w="110"/>
            </w:tcMar>
            <w:vAlign w:val="center"/>
          </w:tcPr>
          <w:p>
            <w:pPr>
              <w:spacing w:after="0" w:line="248"/>
            </w:pPr>
            <w:r>
              <w:rPr>
                <w:rFonts w:ascii="Calibri" w:cs="Calibri" w:eastAsia="Calibri" w:hAnsi="Calibri"/>
                <w:b/>
                <w:bCs/>
                <w:i w:val="false"/>
                <w:iCs w:val="false"/>
                <w:color w:val="FFFFFF"/>
                <w:sz w:val="19"/>
                <w:szCs w:val="19"/>
              </w:rPr>
              <w:t xml:space="preserve">Stage</w:t>
            </w:r>
          </w:p>
        </w:tc>
        <w:tc>
          <w:tcPr>
            <w:tcW w:type="dxa" w:w="4030"/>
            <w:tcBorders>
              <w:top w:val="single" w:color="C9D4DD" w:sz="1"/>
              <w:left w:val="single" w:color="C9D4DD" w:sz="1"/>
              <w:bottom w:val="single" w:color="C9D4DD" w:sz="1"/>
              <w:right w:val="single" w:color="C9D4DD" w:sz="1"/>
            </w:tcBorders>
            <w:shd w:fill="0E2A47" w:color="auto" w:val="clear"/>
            <w:tcMar>
              <w:top w:type="dxa" w:w="70"/>
              <w:left w:type="dxa" w:w="110"/>
              <w:bottom w:type="dxa" w:w="70"/>
              <w:right w:type="dxa" w:w="110"/>
            </w:tcMar>
            <w:vAlign w:val="center"/>
          </w:tcPr>
          <w:p>
            <w:pPr>
              <w:spacing w:after="0" w:line="248"/>
            </w:pPr>
            <w:r>
              <w:rPr>
                <w:rFonts w:ascii="Calibri" w:cs="Calibri" w:eastAsia="Calibri" w:hAnsi="Calibri"/>
                <w:b/>
                <w:bCs/>
                <w:i w:val="false"/>
                <w:iCs w:val="false"/>
                <w:color w:val="FFFFFF"/>
                <w:sz w:val="19"/>
                <w:szCs w:val="19"/>
              </w:rPr>
              <w:t xml:space="preserve">What happens</w:t>
            </w:r>
          </w:p>
        </w:tc>
        <w:tc>
          <w:tcPr>
            <w:tcW w:type="dxa" w:w="3430"/>
            <w:tcBorders>
              <w:top w:val="single" w:color="C9D4DD" w:sz="1"/>
              <w:left w:val="single" w:color="C9D4DD" w:sz="1"/>
              <w:bottom w:val="single" w:color="C9D4DD" w:sz="1"/>
              <w:right w:val="single" w:color="C9D4DD" w:sz="1"/>
            </w:tcBorders>
            <w:shd w:fill="0E2A47" w:color="auto" w:val="clear"/>
            <w:tcMar>
              <w:top w:type="dxa" w:w="70"/>
              <w:left w:type="dxa" w:w="110"/>
              <w:bottom w:type="dxa" w:w="70"/>
              <w:right w:type="dxa" w:w="110"/>
            </w:tcMar>
            <w:vAlign w:val="center"/>
          </w:tcPr>
          <w:p>
            <w:pPr>
              <w:spacing w:after="0" w:line="248"/>
            </w:pPr>
            <w:r>
              <w:rPr>
                <w:rFonts w:ascii="Calibri" w:cs="Calibri" w:eastAsia="Calibri" w:hAnsi="Calibri"/>
                <w:b/>
                <w:bCs/>
                <w:i w:val="false"/>
                <w:iCs w:val="false"/>
                <w:color w:val="FFFFFF"/>
                <w:sz w:val="19"/>
                <w:szCs w:val="19"/>
              </w:rPr>
              <w:t xml:space="preserve">Why it is hard</w:t>
            </w:r>
          </w:p>
        </w:tc>
      </w:tr>
      <w:tr>
        <w:tc>
          <w:tcPr>
            <w:tcW w:type="dxa" w:w="190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bCs/>
                <w:i w:val="false"/>
                <w:iCs w:val="false"/>
                <w:color w:val="1B232E"/>
                <w:sz w:val="19"/>
                <w:szCs w:val="19"/>
              </w:rPr>
              <w:t xml:space="preserve">1. Collect and compress</w:t>
            </w:r>
          </w:p>
        </w:tc>
        <w:tc>
          <w:tcPr>
            <w:tcW w:type="dxa" w:w="403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An intake scoops residual air (mostly atomic oxygen and nitrogen) at about 7.8 km/s and compresses it to feed the thruster</w:t>
            </w:r>
          </w:p>
        </w:tc>
        <w:tc>
          <w:tcPr>
            <w:tcW w:type="dxa" w:w="343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Capture and compression efficiency change with altitude and solar activity; density swings about 50% over a single orbit</w:t>
            </w:r>
          </w:p>
        </w:tc>
      </w:tr>
      <w:tr>
        <w:tc>
          <w:tcPr>
            <w:tcW w:type="dxa" w:w="190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bCs/>
                <w:i w:val="false"/>
                <w:iCs w:val="false"/>
                <w:color w:val="1B232E"/>
                <w:sz w:val="19"/>
                <w:szCs w:val="19"/>
              </w:rPr>
              <w:t xml:space="preserve">2. Ionize</w:t>
            </w:r>
          </w:p>
        </w:tc>
        <w:tc>
          <w:tcPr>
            <w:tcW w:type="dxa" w:w="403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An electrodeless radio-frequency or plasma source gives the gas an electric charge</w:t>
            </w:r>
          </w:p>
        </w:tc>
        <w:tc>
          <w:tcPr>
            <w:tcW w:type="dxa" w:w="343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The source must survive atomic-oxygen erosion, which is why electrodeless designs are preferred</w:t>
            </w:r>
          </w:p>
        </w:tc>
      </w:tr>
      <w:tr>
        <w:tc>
          <w:tcPr>
            <w:tcW w:type="dxa" w:w="190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bCs/>
                <w:i w:val="false"/>
                <w:iCs w:val="false"/>
                <w:color w:val="1B232E"/>
                <w:sz w:val="19"/>
                <w:szCs w:val="19"/>
              </w:rPr>
              <w:t xml:space="preserve">3. Accelerate</w:t>
            </w:r>
          </w:p>
        </w:tc>
        <w:tc>
          <w:tcPr>
            <w:tcW w:type="dxa" w:w="403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The charged ions are accelerated and ejected to produce thrust</w:t>
            </w:r>
          </w:p>
        </w:tc>
        <w:tc>
          <w:tcPr>
            <w:tcW w:type="dxa" w:w="343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Generating enough thrust from thin, harvested air is the central difficulty</w:t>
            </w:r>
          </w:p>
        </w:tc>
      </w:tr>
      <w:tr>
        <w:tc>
          <w:tcPr>
            <w:tcW w:type="dxa" w:w="190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bCs/>
                <w:i w:val="false"/>
                <w:iCs w:val="false"/>
                <w:color w:val="1B232E"/>
                <w:sz w:val="19"/>
                <w:szCs w:val="19"/>
              </w:rPr>
              <w:t xml:space="preserve">4. Sustain orbit</w:t>
            </w:r>
          </w:p>
        </w:tc>
        <w:tc>
          <w:tcPr>
            <w:tcW w:type="dxa" w:w="403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Continuous thrust offsets drag, so the satellite holds about 200 km for years</w:t>
            </w:r>
          </w:p>
        </w:tc>
        <w:tc>
          <w:tcPr>
            <w:tcW w:type="dxa" w:w="343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Power must scale with drag, which varies continuously through each orbit</w:t>
            </w:r>
          </w:p>
        </w:tc>
      </w:tr>
    </w:tbl>
    <w:p>
      <w:pPr>
        <w:pStyle w:val="Heading3"/>
        <w:spacing w:after="80" w:before="160"/>
      </w:pPr>
      <w:r>
        <w:rPr>
          <w:rFonts w:ascii="Calibri" w:cs="Calibri" w:eastAsia="Calibri" w:hAnsi="Calibri"/>
          <w:b/>
          <w:bCs/>
          <w:color w:val="0E7C87"/>
          <w:sz w:val="22"/>
          <w:szCs w:val="22"/>
        </w:rPr>
        <w:t xml:space="preserve">4.1  The two problems no one has fully 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C9D4DD" w:sz="1"/>
              <w:left w:val="single" w:color="C9D4DD" w:sz="1"/>
              <w:bottom w:val="single" w:color="C9D4DD" w:sz="1"/>
              <w:right w:val="single" w:color="C9D4DD" w:sz="1"/>
            </w:tcBorders>
            <w:shd w:fill="0E2A47" w:color="auto" w:val="clear"/>
            <w:tcMar>
              <w:top w:type="dxa" w:w="70"/>
              <w:left w:type="dxa" w:w="110"/>
              <w:bottom w:type="dxa" w:w="70"/>
              <w:right w:type="dxa" w:w="110"/>
            </w:tcMar>
            <w:vAlign w:val="center"/>
          </w:tcPr>
          <w:p>
            <w:pPr>
              <w:spacing w:after="0" w:line="248"/>
            </w:pPr>
            <w:r>
              <w:rPr>
                <w:rFonts w:ascii="Calibri" w:cs="Calibri" w:eastAsia="Calibri" w:hAnsi="Calibri"/>
                <w:b/>
                <w:bCs/>
                <w:i w:val="false"/>
                <w:iCs w:val="false"/>
                <w:color w:val="FFFFFF"/>
                <w:sz w:val="19"/>
                <w:szCs w:val="19"/>
              </w:rPr>
              <w:t xml:space="preserve">Problem</w:t>
            </w:r>
          </w:p>
        </w:tc>
        <w:tc>
          <w:tcPr>
            <w:tcW w:type="dxa" w:w="4760"/>
            <w:tcBorders>
              <w:top w:val="single" w:color="C9D4DD" w:sz="1"/>
              <w:left w:val="single" w:color="C9D4DD" w:sz="1"/>
              <w:bottom w:val="single" w:color="C9D4DD" w:sz="1"/>
              <w:right w:val="single" w:color="C9D4DD" w:sz="1"/>
            </w:tcBorders>
            <w:shd w:fill="0E2A47" w:color="auto" w:val="clear"/>
            <w:tcMar>
              <w:top w:type="dxa" w:w="70"/>
              <w:left w:type="dxa" w:w="110"/>
              <w:bottom w:type="dxa" w:w="70"/>
              <w:right w:type="dxa" w:w="110"/>
            </w:tcMar>
            <w:vAlign w:val="center"/>
          </w:tcPr>
          <w:p>
            <w:pPr>
              <w:spacing w:after="0" w:line="248"/>
            </w:pPr>
            <w:r>
              <w:rPr>
                <w:rFonts w:ascii="Calibri" w:cs="Calibri" w:eastAsia="Calibri" w:hAnsi="Calibri"/>
                <w:b/>
                <w:bCs/>
                <w:i w:val="false"/>
                <w:iCs w:val="false"/>
                <w:color w:val="FFFFFF"/>
                <w:sz w:val="19"/>
                <w:szCs w:val="19"/>
              </w:rPr>
              <w:t xml:space="preserve">Detail</w:t>
            </w:r>
          </w:p>
        </w:tc>
        <w:tc>
          <w:tcPr>
            <w:tcW w:type="dxa" w:w="2000"/>
            <w:tcBorders>
              <w:top w:val="single" w:color="C9D4DD" w:sz="1"/>
              <w:left w:val="single" w:color="C9D4DD" w:sz="1"/>
              <w:bottom w:val="single" w:color="C9D4DD" w:sz="1"/>
              <w:right w:val="single" w:color="C9D4DD" w:sz="1"/>
            </w:tcBorders>
            <w:shd w:fill="0E2A47" w:color="auto" w:val="clear"/>
            <w:tcMar>
              <w:top w:type="dxa" w:w="70"/>
              <w:left w:type="dxa" w:w="110"/>
              <w:bottom w:type="dxa" w:w="70"/>
              <w:right w:type="dxa" w:w="110"/>
            </w:tcMar>
            <w:vAlign w:val="center"/>
          </w:tcPr>
          <w:p>
            <w:pPr>
              <w:spacing w:after="0" w:line="248"/>
            </w:pPr>
            <w:r>
              <w:rPr>
                <w:rFonts w:ascii="Calibri" w:cs="Calibri" w:eastAsia="Calibri" w:hAnsi="Calibri"/>
                <w:b/>
                <w:bCs/>
                <w:i w:val="false"/>
                <w:iCs w:val="false"/>
                <w:color w:val="FFFFFF"/>
                <w:sz w:val="19"/>
                <w:szCs w:val="19"/>
              </w:rPr>
              <w:t xml:space="preserve">Status</w:t>
            </w:r>
          </w:p>
        </w:tc>
      </w:tr>
      <w:tr>
        <w:tc>
          <w:tcPr>
            <w:tcW w:type="dxa" w:w="260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Break-even thrust</w:t>
            </w:r>
          </w:p>
        </w:tc>
        <w:tc>
          <w:tcPr>
            <w:tcW w:type="dxa" w:w="476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Thrust must exceed drag using only harvested air and solar power, which needs more than about 10 mN/kW at 200 km</w:t>
            </w:r>
          </w:p>
        </w:tc>
        <w:tc>
          <w:tcPr>
            <w:tcW w:type="dxa" w:w="200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SITAEL's 2017 ground test ignited but did not reach break-even</w:t>
            </w:r>
          </w:p>
        </w:tc>
      </w:tr>
      <w:tr>
        <w:tc>
          <w:tcPr>
            <w:tcW w:type="dxa" w:w="260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Atomic-oxygen survival</w:t>
            </w:r>
          </w:p>
        </w:tc>
        <w:tc>
          <w:tcPr>
            <w:tcW w:type="dxa" w:w="476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Atomic oxygen erodes optics, coatings and thruster parts, so multi-year life needs electrodeless thrusters and resistant materials</w:t>
            </w:r>
          </w:p>
        </w:tc>
        <w:tc>
          <w:tcPr>
            <w:tcW w:type="dxa" w:w="200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An active materials and design challenge across the field</w:t>
            </w:r>
          </w:p>
        </w:tc>
      </w:tr>
    </w:tbl>
    <w:p>
      <w:pPr>
        <w:spacing w:after="30"/>
      </w:pPr>
    </w:p>
    <w:p>
      <w:pPr>
        <w:spacing w:after="140" w:before="0" w:line="264"/>
      </w:pPr>
      <w:r>
        <w:rPr>
          <w:rFonts w:ascii="Calibri" w:cs="Calibri" w:eastAsia="Calibri" w:hAnsi="Calibri"/>
          <w:b/>
          <w:bCs/>
          <w:i w:val="false"/>
          <w:iCs w:val="false"/>
          <w:color w:val="1B232E"/>
          <w:sz w:val="21"/>
          <w:szCs w:val="21"/>
        </w:rPr>
        <w:t xml:space="preserve">State of the art. </w:t>
      </w:r>
      <w:r>
        <w:rPr>
          <w:rFonts w:ascii="Calibri" w:cs="Calibri" w:eastAsia="Calibri" w:hAnsi="Calibri"/>
          <w:b w:val="false"/>
          <w:bCs w:val="false"/>
          <w:i w:val="false"/>
          <w:iCs w:val="false"/>
          <w:color w:val="1B232E"/>
          <w:sz w:val="21"/>
          <w:szCs w:val="21"/>
        </w:rPr>
        <w:t xml:space="preserve">Globally this technology sits at roughly TRL 4 to 5, meaning ground demonstrations in representative conditions, with no sustained orbital break-even achieved anywhere yet. Redwire's DARPA-funded Otter is the leading attempt at a flight of more than one year. Orbitt has tested a cathode in a vacuum chamber, which places it near TRL 3, behind the leaders.</w:t>
      </w:r>
    </w:p>
    <w:p>
      <w:pPr>
        <w:spacing w:after="50"/>
      </w:pPr>
    </w:p>
    <w:p>
      <w:pPr>
        <w:pStyle w:val="Heading1"/>
        <w:pBdr>
          <w:bottom w:val="single" w:color="17B0BD" w:sz="6" w:space="4"/>
        </w:pBdr>
        <w:spacing w:after="160" w:before="320"/>
      </w:pPr>
      <w:r>
        <w:rPr>
          <w:rFonts w:ascii="Cambria" w:cs="Cambria" w:eastAsia="Cambria" w:hAnsi="Cambria"/>
          <w:b/>
          <w:bCs/>
          <w:color w:val="0E2A47"/>
          <w:sz w:val="32"/>
          <w:szCs w:val="32"/>
        </w:rPr>
        <w:t xml:space="preserve">5. Company, team and roadmap</w:t>
      </w:r>
    </w:p>
    <w:p>
      <w:pPr>
        <w:spacing w:after="140" w:before="0" w:line="264"/>
      </w:pPr>
      <w:r>
        <w:rPr>
          <w:rFonts w:ascii="Calibri" w:cs="Calibri" w:eastAsia="Calibri" w:hAnsi="Calibri"/>
          <w:b w:val="false"/>
          <w:bCs w:val="false"/>
          <w:i w:val="false"/>
          <w:iCs w:val="false"/>
          <w:color w:val="1B232E"/>
          <w:sz w:val="21"/>
          <w:szCs w:val="21"/>
        </w:rPr>
        <w:t xml:space="preserve">Orbitt is a two-founder company built on genuine ISRO pedigree. The team has relevant propulsion and spacecraft-test experience, but remains small, pre-revenue and pre-orbit, and is hiring its first core engineers from the pre-seed.</w:t>
      </w:r>
    </w:p>
    <w:p>
      <w:pPr>
        <w:pStyle w:val="Heading3"/>
        <w:spacing w:after="80" w:before="160"/>
      </w:pPr>
      <w:r>
        <w:rPr>
          <w:rFonts w:ascii="Calibri" w:cs="Calibri" w:eastAsia="Calibri" w:hAnsi="Calibri"/>
          <w:b/>
          <w:bCs/>
          <w:color w:val="0E7C87"/>
          <w:sz w:val="22"/>
          <w:szCs w:val="22"/>
        </w:rPr>
        <w:t xml:space="preserve">5.1  Founders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5660"/>
      </w:tblGrid>
      <w:tr>
        <w:trPr>
          <w:tblHeader/>
        </w:trPr>
        <w:tc>
          <w:tcPr>
            <w:tcW w:type="dxa" w:w="2400"/>
            <w:tcBorders>
              <w:top w:val="single" w:color="C9D4DD" w:sz="1"/>
              <w:left w:val="single" w:color="C9D4DD" w:sz="1"/>
              <w:bottom w:val="single" w:color="C9D4DD" w:sz="1"/>
              <w:right w:val="single" w:color="C9D4DD" w:sz="1"/>
            </w:tcBorders>
            <w:shd w:fill="0E2A47" w:color="auto" w:val="clear"/>
            <w:tcMar>
              <w:top w:type="dxa" w:w="70"/>
              <w:left w:type="dxa" w:w="110"/>
              <w:bottom w:type="dxa" w:w="70"/>
              <w:right w:type="dxa" w:w="110"/>
            </w:tcMar>
            <w:vAlign w:val="center"/>
          </w:tcPr>
          <w:p>
            <w:pPr>
              <w:spacing w:after="0" w:line="248"/>
            </w:pPr>
            <w:r>
              <w:rPr>
                <w:rFonts w:ascii="Calibri" w:cs="Calibri" w:eastAsia="Calibri" w:hAnsi="Calibri"/>
                <w:b/>
                <w:bCs/>
                <w:i w:val="false"/>
                <w:iCs w:val="false"/>
                <w:color w:val="FFFFFF"/>
                <w:sz w:val="19"/>
                <w:szCs w:val="19"/>
              </w:rPr>
              <w:t xml:space="preserve">Founder</w:t>
            </w:r>
          </w:p>
        </w:tc>
        <w:tc>
          <w:tcPr>
            <w:tcW w:type="dxa" w:w="1300"/>
            <w:tcBorders>
              <w:top w:val="single" w:color="C9D4DD" w:sz="1"/>
              <w:left w:val="single" w:color="C9D4DD" w:sz="1"/>
              <w:bottom w:val="single" w:color="C9D4DD" w:sz="1"/>
              <w:right w:val="single" w:color="C9D4DD" w:sz="1"/>
            </w:tcBorders>
            <w:shd w:fill="0E2A47" w:color="auto" w:val="clear"/>
            <w:tcMar>
              <w:top w:type="dxa" w:w="70"/>
              <w:left w:type="dxa" w:w="110"/>
              <w:bottom w:type="dxa" w:w="70"/>
              <w:right w:type="dxa" w:w="110"/>
            </w:tcMar>
            <w:vAlign w:val="center"/>
          </w:tcPr>
          <w:p>
            <w:pPr>
              <w:spacing w:after="0" w:line="248"/>
            </w:pPr>
            <w:r>
              <w:rPr>
                <w:rFonts w:ascii="Calibri" w:cs="Calibri" w:eastAsia="Calibri" w:hAnsi="Calibri"/>
                <w:b/>
                <w:bCs/>
                <w:i w:val="false"/>
                <w:iCs w:val="false"/>
                <w:color w:val="FFFFFF"/>
                <w:sz w:val="19"/>
                <w:szCs w:val="19"/>
              </w:rPr>
              <w:t xml:space="preserve">Role</w:t>
            </w:r>
          </w:p>
        </w:tc>
        <w:tc>
          <w:tcPr>
            <w:tcW w:type="dxa" w:w="5660"/>
            <w:tcBorders>
              <w:top w:val="single" w:color="C9D4DD" w:sz="1"/>
              <w:left w:val="single" w:color="C9D4DD" w:sz="1"/>
              <w:bottom w:val="single" w:color="C9D4DD" w:sz="1"/>
              <w:right w:val="single" w:color="C9D4DD" w:sz="1"/>
            </w:tcBorders>
            <w:shd w:fill="0E2A47" w:color="auto" w:val="clear"/>
            <w:tcMar>
              <w:top w:type="dxa" w:w="70"/>
              <w:left w:type="dxa" w:w="110"/>
              <w:bottom w:type="dxa" w:w="70"/>
              <w:right w:type="dxa" w:w="110"/>
            </w:tcMar>
            <w:vAlign w:val="center"/>
          </w:tcPr>
          <w:p>
            <w:pPr>
              <w:spacing w:after="0" w:line="248"/>
            </w:pPr>
            <w:r>
              <w:rPr>
                <w:rFonts w:ascii="Calibri" w:cs="Calibri" w:eastAsia="Calibri" w:hAnsi="Calibri"/>
                <w:b/>
                <w:bCs/>
                <w:i w:val="false"/>
                <w:iCs w:val="false"/>
                <w:color w:val="FFFFFF"/>
                <w:sz w:val="19"/>
                <w:szCs w:val="19"/>
              </w:rPr>
              <w:t xml:space="preserve">Background</w:t>
            </w:r>
          </w:p>
        </w:tc>
      </w:tr>
      <w:tr>
        <w:tc>
          <w:tcPr>
            <w:tcW w:type="dxa" w:w="240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Christopher Parmar</w:t>
            </w:r>
          </w:p>
        </w:tc>
        <w:tc>
          <w:tcPr>
            <w:tcW w:type="dxa" w:w="130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CEO</w:t>
            </w:r>
          </w:p>
        </w:tc>
        <w:tc>
          <w:tcPr>
            <w:tcW w:type="dxa" w:w="566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8-plus years at ISRO Space Applications Centre; led high-voltage power electronics for GEO communications satellites; signal-processing background</w:t>
            </w:r>
          </w:p>
        </w:tc>
      </w:tr>
      <w:tr>
        <w:tc>
          <w:tcPr>
            <w:tcW w:type="dxa" w:w="240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Anupam Kumar</w:t>
            </w:r>
          </w:p>
        </w:tc>
        <w:tc>
          <w:tcPr>
            <w:tcW w:type="dxa" w:w="130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CTO</w:t>
            </w:r>
          </w:p>
        </w:tc>
        <w:tc>
          <w:tcPr>
            <w:tcW w:type="dxa" w:w="566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8-plus years at ISRO, where the founders met; specialist in spacecraft environment testing and integration in India's largest vacuum chambers</w:t>
            </w:r>
          </w:p>
        </w:tc>
      </w:tr>
    </w:tbl>
    <w:p>
      <w:pPr>
        <w:pStyle w:val="Heading3"/>
        <w:spacing w:after="80" w:before="160"/>
      </w:pPr>
      <w:r>
        <w:rPr>
          <w:rFonts w:ascii="Calibri" w:cs="Calibri" w:eastAsia="Calibri" w:hAnsi="Calibri"/>
          <w:b/>
          <w:bCs/>
          <w:color w:val="0E7C87"/>
          <w:sz w:val="22"/>
          <w:szCs w:val="22"/>
        </w:rPr>
        <w:t xml:space="preserve">5.2  Roadmap to orbit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4260"/>
      </w:tblGrid>
      <w:tr>
        <w:trPr>
          <w:tblHeader/>
        </w:trPr>
        <w:tc>
          <w:tcPr>
            <w:tcW w:type="dxa" w:w="2700"/>
            <w:tcBorders>
              <w:top w:val="single" w:color="C9D4DD" w:sz="1"/>
              <w:left w:val="single" w:color="C9D4DD" w:sz="1"/>
              <w:bottom w:val="single" w:color="C9D4DD" w:sz="1"/>
              <w:right w:val="single" w:color="C9D4DD" w:sz="1"/>
            </w:tcBorders>
            <w:shd w:fill="0E2A47" w:color="auto" w:val="clear"/>
            <w:tcMar>
              <w:top w:type="dxa" w:w="70"/>
              <w:left w:type="dxa" w:w="110"/>
              <w:bottom w:type="dxa" w:w="70"/>
              <w:right w:type="dxa" w:w="110"/>
            </w:tcMar>
            <w:vAlign w:val="center"/>
          </w:tcPr>
          <w:p>
            <w:pPr>
              <w:spacing w:after="0" w:line="248"/>
            </w:pPr>
            <w:r>
              <w:rPr>
                <w:rFonts w:ascii="Calibri" w:cs="Calibri" w:eastAsia="Calibri" w:hAnsi="Calibri"/>
                <w:b/>
                <w:bCs/>
                <w:i w:val="false"/>
                <w:iCs w:val="false"/>
                <w:color w:val="FFFFFF"/>
                <w:sz w:val="19"/>
                <w:szCs w:val="19"/>
              </w:rPr>
              <w:t xml:space="preserve">Phase</w:t>
            </w:r>
          </w:p>
        </w:tc>
        <w:tc>
          <w:tcPr>
            <w:tcW w:type="dxa" w:w="2400"/>
            <w:tcBorders>
              <w:top w:val="single" w:color="C9D4DD" w:sz="1"/>
              <w:left w:val="single" w:color="C9D4DD" w:sz="1"/>
              <w:bottom w:val="single" w:color="C9D4DD" w:sz="1"/>
              <w:right w:val="single" w:color="C9D4DD" w:sz="1"/>
            </w:tcBorders>
            <w:shd w:fill="0E2A47" w:color="auto" w:val="clear"/>
            <w:tcMar>
              <w:top w:type="dxa" w:w="70"/>
              <w:left w:type="dxa" w:w="110"/>
              <w:bottom w:type="dxa" w:w="70"/>
              <w:right w:type="dxa" w:w="110"/>
            </w:tcMar>
            <w:vAlign w:val="center"/>
          </w:tcPr>
          <w:p>
            <w:pPr>
              <w:spacing w:after="0" w:line="248"/>
            </w:pPr>
            <w:r>
              <w:rPr>
                <w:rFonts w:ascii="Calibri" w:cs="Calibri" w:eastAsia="Calibri" w:hAnsi="Calibri"/>
                <w:b/>
                <w:bCs/>
                <w:i w:val="false"/>
                <w:iCs w:val="false"/>
                <w:color w:val="FFFFFF"/>
                <w:sz w:val="19"/>
                <w:szCs w:val="19"/>
              </w:rPr>
              <w:t xml:space="preserve">Timing</w:t>
            </w:r>
          </w:p>
        </w:tc>
        <w:tc>
          <w:tcPr>
            <w:tcW w:type="dxa" w:w="4260"/>
            <w:tcBorders>
              <w:top w:val="single" w:color="C9D4DD" w:sz="1"/>
              <w:left w:val="single" w:color="C9D4DD" w:sz="1"/>
              <w:bottom w:val="single" w:color="C9D4DD" w:sz="1"/>
              <w:right w:val="single" w:color="C9D4DD" w:sz="1"/>
            </w:tcBorders>
            <w:shd w:fill="0E2A47" w:color="auto" w:val="clear"/>
            <w:tcMar>
              <w:top w:type="dxa" w:w="70"/>
              <w:left w:type="dxa" w:w="110"/>
              <w:bottom w:type="dxa" w:w="70"/>
              <w:right w:type="dxa" w:w="110"/>
            </w:tcMar>
            <w:vAlign w:val="center"/>
          </w:tcPr>
          <w:p>
            <w:pPr>
              <w:spacing w:after="0" w:line="248"/>
            </w:pPr>
            <w:r>
              <w:rPr>
                <w:rFonts w:ascii="Calibri" w:cs="Calibri" w:eastAsia="Calibri" w:hAnsi="Calibri"/>
                <w:b/>
                <w:bCs/>
                <w:i w:val="false"/>
                <w:iCs w:val="false"/>
                <w:color w:val="FFFFFF"/>
                <w:sz w:val="19"/>
                <w:szCs w:val="19"/>
              </w:rPr>
              <w:t xml:space="preserve">Milestone</w:t>
            </w:r>
          </w:p>
        </w:tc>
      </w:tr>
      <w:tr>
        <w:tc>
          <w:tcPr>
            <w:tcW w:type="dxa" w:w="270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Ground validation</w:t>
            </w:r>
          </w:p>
        </w:tc>
        <w:tc>
          <w:tcPr>
            <w:tcW w:type="dxa" w:w="240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Now to 2026</w:t>
            </w:r>
          </w:p>
        </w:tc>
        <w:tc>
          <w:tcPr>
            <w:tcW w:type="dxa" w:w="426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Prototype and vacuum-chamber tests</w:t>
            </w:r>
          </w:p>
        </w:tc>
      </w:tr>
      <w:tr>
        <w:tc>
          <w:tcPr>
            <w:tcW w:type="dxa" w:w="270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In-orbit demonstration</w:t>
            </w:r>
          </w:p>
        </w:tc>
        <w:tc>
          <w:tcPr>
            <w:tcW w:type="dxa" w:w="240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Target 2026 to 2027</w:t>
            </w:r>
          </w:p>
        </w:tc>
        <w:tc>
          <w:tcPr>
            <w:tcW w:type="dxa" w:w="426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Demonstration via ISRO PSLV-POEM</w:t>
            </w:r>
          </w:p>
        </w:tc>
      </w:tr>
      <w:tr>
        <w:tc>
          <w:tcPr>
            <w:tcW w:type="dxa" w:w="270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Qualification</w:t>
            </w:r>
          </w:p>
        </w:tc>
        <w:tc>
          <w:tcPr>
            <w:tcW w:type="dxa" w:w="240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2026 to 2027</w:t>
            </w:r>
          </w:p>
        </w:tc>
        <w:tc>
          <w:tcPr>
            <w:tcW w:type="dxa" w:w="426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Integrated bus and propulsion</w:t>
            </w:r>
          </w:p>
        </w:tc>
      </w:tr>
      <w:tr>
        <w:tc>
          <w:tcPr>
            <w:tcW w:type="dxa" w:w="270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First operational satellite</w:t>
            </w:r>
          </w:p>
        </w:tc>
        <w:tc>
          <w:tcPr>
            <w:tcW w:type="dxa" w:w="240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2027 to 2028</w:t>
            </w:r>
          </w:p>
        </w:tc>
        <w:tc>
          <w:tcPr>
            <w:tcW w:type="dxa" w:w="426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Begin commercial rollout</w:t>
            </w:r>
          </w:p>
        </w:tc>
      </w:tr>
    </w:tbl>
    <w:p>
      <w:pPr>
        <w:spacing w:after="50"/>
      </w:pPr>
    </w:p>
    <w:p>
      <w:pPr>
        <w:pStyle w:val="Heading1"/>
        <w:pBdr>
          <w:bottom w:val="single" w:color="17B0BD" w:sz="6" w:space="4"/>
        </w:pBdr>
        <w:spacing w:after="160" w:before="320"/>
      </w:pPr>
      <w:r>
        <w:rPr>
          <w:rFonts w:ascii="Cambria" w:cs="Cambria" w:eastAsia="Cambria" w:hAnsi="Cambria"/>
          <w:b/>
          <w:bCs/>
          <w:color w:val="0E2A47"/>
          <w:sz w:val="32"/>
          <w:szCs w:val="32"/>
        </w:rPr>
        <w:t xml:space="preserve">6. Competition: a crowded, government-funded race</w:t>
      </w:r>
    </w:p>
    <w:p>
      <w:pPr>
        <w:spacing w:after="140" w:before="0" w:line="264"/>
      </w:pPr>
      <w:r>
        <w:rPr>
          <w:rFonts w:ascii="Calibri" w:cs="Calibri" w:eastAsia="Calibri" w:hAnsi="Calibri"/>
          <w:b w:val="false"/>
          <w:bCs w:val="false"/>
          <w:i w:val="false"/>
          <w:iCs w:val="false"/>
          <w:color w:val="1B232E"/>
          <w:sz w:val="21"/>
          <w:szCs w:val="21"/>
        </w:rPr>
        <w:t xml:space="preserve">VLEO is not a blue ocean. It is a crowded race funded by DARPA, ESA and the NRO, and Orbitt's domestic twin Bellatrix is already flight-testing the identical platform with roughly thirty times the capital. The single most important fact for the thesis is that no one has yet flown sustained air-breathing propulsion, so the technology risk is industry-wide, while the execution and capital gaps are specific to Orbitt.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2360"/>
        <w:gridCol w:w="2400"/>
        <w:gridCol w:w="2000"/>
      </w:tblGrid>
      <w:tr>
        <w:trPr>
          <w:tblHeader/>
        </w:trPr>
        <w:tc>
          <w:tcPr>
            <w:tcW w:type="dxa" w:w="1700"/>
            <w:tcBorders>
              <w:top w:val="single" w:color="C9D4DD" w:sz="1"/>
              <w:left w:val="single" w:color="C9D4DD" w:sz="1"/>
              <w:bottom w:val="single" w:color="C9D4DD" w:sz="1"/>
              <w:right w:val="single" w:color="C9D4DD" w:sz="1"/>
            </w:tcBorders>
            <w:shd w:fill="0E2A47" w:color="auto" w:val="clear"/>
            <w:tcMar>
              <w:top w:type="dxa" w:w="70"/>
              <w:left w:type="dxa" w:w="110"/>
              <w:bottom w:type="dxa" w:w="70"/>
              <w:right w:type="dxa" w:w="110"/>
            </w:tcMar>
            <w:vAlign w:val="center"/>
          </w:tcPr>
          <w:p>
            <w:pPr>
              <w:spacing w:after="0" w:line="248"/>
            </w:pPr>
            <w:r>
              <w:rPr>
                <w:rFonts w:ascii="Calibri" w:cs="Calibri" w:eastAsia="Calibri" w:hAnsi="Calibri"/>
                <w:b/>
                <w:bCs/>
                <w:i w:val="false"/>
                <w:iCs w:val="false"/>
                <w:color w:val="FFFFFF"/>
                <w:sz w:val="19"/>
                <w:szCs w:val="19"/>
              </w:rPr>
              <w:t xml:space="preserve">Player</w:t>
            </w:r>
          </w:p>
        </w:tc>
        <w:tc>
          <w:tcPr>
            <w:tcW w:type="dxa" w:w="900"/>
            <w:tcBorders>
              <w:top w:val="single" w:color="C9D4DD" w:sz="1"/>
              <w:left w:val="single" w:color="C9D4DD" w:sz="1"/>
              <w:bottom w:val="single" w:color="C9D4DD" w:sz="1"/>
              <w:right w:val="single" w:color="C9D4DD" w:sz="1"/>
            </w:tcBorders>
            <w:shd w:fill="0E2A47" w:color="auto" w:val="clear"/>
            <w:tcMar>
              <w:top w:type="dxa" w:w="70"/>
              <w:left w:type="dxa" w:w="110"/>
              <w:bottom w:type="dxa" w:w="70"/>
              <w:right w:type="dxa" w:w="110"/>
            </w:tcMar>
            <w:vAlign w:val="center"/>
          </w:tcPr>
          <w:p>
            <w:pPr>
              <w:spacing w:after="0" w:line="248"/>
            </w:pPr>
            <w:r>
              <w:rPr>
                <w:rFonts w:ascii="Calibri" w:cs="Calibri" w:eastAsia="Calibri" w:hAnsi="Calibri"/>
                <w:b/>
                <w:bCs/>
                <w:i w:val="false"/>
                <w:iCs w:val="false"/>
                <w:color w:val="FFFFFF"/>
                <w:sz w:val="19"/>
                <w:szCs w:val="19"/>
              </w:rPr>
              <w:t xml:space="preserve">HQ</w:t>
            </w:r>
          </w:p>
        </w:tc>
        <w:tc>
          <w:tcPr>
            <w:tcW w:type="dxa" w:w="2360"/>
            <w:tcBorders>
              <w:top w:val="single" w:color="C9D4DD" w:sz="1"/>
              <w:left w:val="single" w:color="C9D4DD" w:sz="1"/>
              <w:bottom w:val="single" w:color="C9D4DD" w:sz="1"/>
              <w:right w:val="single" w:color="C9D4DD" w:sz="1"/>
            </w:tcBorders>
            <w:shd w:fill="0E2A47" w:color="auto" w:val="clear"/>
            <w:tcMar>
              <w:top w:type="dxa" w:w="70"/>
              <w:left w:type="dxa" w:w="110"/>
              <w:bottom w:type="dxa" w:w="70"/>
              <w:right w:type="dxa" w:w="110"/>
            </w:tcMar>
            <w:vAlign w:val="center"/>
          </w:tcPr>
          <w:p>
            <w:pPr>
              <w:spacing w:after="0" w:line="248"/>
            </w:pPr>
            <w:r>
              <w:rPr>
                <w:rFonts w:ascii="Calibri" w:cs="Calibri" w:eastAsia="Calibri" w:hAnsi="Calibri"/>
                <w:b/>
                <w:bCs/>
                <w:i w:val="false"/>
                <w:iCs w:val="false"/>
                <w:color w:val="FFFFFF"/>
                <w:sz w:val="19"/>
                <w:szCs w:val="19"/>
              </w:rPr>
              <w:t xml:space="preserve">Backing and funding</w:t>
            </w:r>
          </w:p>
        </w:tc>
        <w:tc>
          <w:tcPr>
            <w:tcW w:type="dxa" w:w="2400"/>
            <w:tcBorders>
              <w:top w:val="single" w:color="C9D4DD" w:sz="1"/>
              <w:left w:val="single" w:color="C9D4DD" w:sz="1"/>
              <w:bottom w:val="single" w:color="C9D4DD" w:sz="1"/>
              <w:right w:val="single" w:color="C9D4DD" w:sz="1"/>
            </w:tcBorders>
            <w:shd w:fill="0E2A47" w:color="auto" w:val="clear"/>
            <w:tcMar>
              <w:top w:type="dxa" w:w="70"/>
              <w:left w:type="dxa" w:w="110"/>
              <w:bottom w:type="dxa" w:w="70"/>
              <w:right w:type="dxa" w:w="110"/>
            </w:tcMar>
            <w:vAlign w:val="center"/>
          </w:tcPr>
          <w:p>
            <w:pPr>
              <w:spacing w:after="0" w:line="248"/>
            </w:pPr>
            <w:r>
              <w:rPr>
                <w:rFonts w:ascii="Calibri" w:cs="Calibri" w:eastAsia="Calibri" w:hAnsi="Calibri"/>
                <w:b/>
                <w:bCs/>
                <w:i w:val="false"/>
                <w:iCs w:val="false"/>
                <w:color w:val="FFFFFF"/>
                <w:sz w:val="19"/>
                <w:szCs w:val="19"/>
              </w:rPr>
              <w:t xml:space="preserve">Approach</w:t>
            </w:r>
          </w:p>
        </w:tc>
        <w:tc>
          <w:tcPr>
            <w:tcW w:type="dxa" w:w="2000"/>
            <w:tcBorders>
              <w:top w:val="single" w:color="C9D4DD" w:sz="1"/>
              <w:left w:val="single" w:color="C9D4DD" w:sz="1"/>
              <w:bottom w:val="single" w:color="C9D4DD" w:sz="1"/>
              <w:right w:val="single" w:color="C9D4DD" w:sz="1"/>
            </w:tcBorders>
            <w:shd w:fill="0E2A47" w:color="auto" w:val="clear"/>
            <w:tcMar>
              <w:top w:type="dxa" w:w="70"/>
              <w:left w:type="dxa" w:w="110"/>
              <w:bottom w:type="dxa" w:w="70"/>
              <w:right w:type="dxa" w:w="110"/>
            </w:tcMar>
            <w:vAlign w:val="center"/>
          </w:tcPr>
          <w:p>
            <w:pPr>
              <w:spacing w:after="0" w:line="248"/>
            </w:pPr>
            <w:r>
              <w:rPr>
                <w:rFonts w:ascii="Calibri" w:cs="Calibri" w:eastAsia="Calibri" w:hAnsi="Calibri"/>
                <w:b/>
                <w:bCs/>
                <w:i w:val="false"/>
                <w:iCs w:val="false"/>
                <w:color w:val="FFFFFF"/>
                <w:sz w:val="19"/>
                <w:szCs w:val="19"/>
              </w:rPr>
              <w:t xml:space="preserve">Flight status</w:t>
            </w:r>
          </w:p>
        </w:tc>
      </w:tr>
      <w:tr>
        <w:tc>
          <w:tcPr>
            <w:tcW w:type="dxa" w:w="170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bCs/>
                <w:i w:val="false"/>
                <w:iCs w:val="false"/>
                <w:color w:val="1B232E"/>
                <w:sz w:val="19"/>
                <w:szCs w:val="19"/>
              </w:rPr>
              <w:t xml:space="preserve">Orbitt Space</w:t>
            </w:r>
          </w:p>
        </w:tc>
        <w:tc>
          <w:tcPr>
            <w:tcW w:type="dxa" w:w="90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India</w:t>
            </w:r>
          </w:p>
        </w:tc>
        <w:tc>
          <w:tcPr>
            <w:tcW w:type="dxa" w:w="236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pi Ventures; ~$1M</w:t>
            </w:r>
          </w:p>
        </w:tc>
        <w:tc>
          <w:tcPr>
            <w:tcW w:type="dxa" w:w="240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200 kg ULEO bus + air-breathing EP</w:t>
            </w:r>
          </w:p>
        </w:tc>
        <w:tc>
          <w:tcPr>
            <w:tcW w:type="dxa" w:w="200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None yet (cathode ground test)</w:t>
            </w:r>
          </w:p>
        </w:tc>
      </w:tr>
      <w:tr>
        <w:tc>
          <w:tcPr>
            <w:tcW w:type="dxa" w:w="170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Bellatrix Aerospace</w:t>
            </w:r>
          </w:p>
        </w:tc>
        <w:tc>
          <w:tcPr>
            <w:tcW w:type="dxa" w:w="90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India</w:t>
            </w:r>
          </w:p>
        </w:tc>
        <w:tc>
          <w:tcPr>
            <w:tcW w:type="dxa" w:w="236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Cactus, BASF; ~$31M+, $76M factory</w:t>
            </w:r>
          </w:p>
        </w:tc>
        <w:tc>
          <w:tcPr>
            <w:tcW w:type="dxa" w:w="240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Project 200 ULEO + air-intake EP</w:t>
            </w:r>
          </w:p>
        </w:tc>
        <w:tc>
          <w:tcPr>
            <w:tcW w:type="dxa" w:w="200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Harbinger in orbit; POEM heritage</w:t>
            </w:r>
          </w:p>
        </w:tc>
      </w:tr>
      <w:tr>
        <w:tc>
          <w:tcPr>
            <w:tcW w:type="dxa" w:w="170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Albedo</w:t>
            </w:r>
          </w:p>
        </w:tc>
        <w:tc>
          <w:tcPr>
            <w:tcW w:type="dxa" w:w="90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USA</w:t>
            </w:r>
          </w:p>
        </w:tc>
        <w:tc>
          <w:tcPr>
            <w:tcW w:type="dxa" w:w="236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~$97M; NRO, AFRL contracts</w:t>
            </w:r>
          </w:p>
        </w:tc>
        <w:tc>
          <w:tcPr>
            <w:tcW w:type="dxa" w:w="240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VLEO bus + 10 cm imagery</w:t>
            </w:r>
          </w:p>
        </w:tc>
        <w:tc>
          <w:tcPr>
            <w:tcW w:type="dxa" w:w="200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Clarity-1 flown, 2025</w:t>
            </w:r>
          </w:p>
        </w:tc>
      </w:tr>
      <w:tr>
        <w:tc>
          <w:tcPr>
            <w:tcW w:type="dxa" w:w="170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Redwire</w:t>
            </w:r>
          </w:p>
        </w:tc>
        <w:tc>
          <w:tcPr>
            <w:tcW w:type="dxa" w:w="90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USA</w:t>
            </w:r>
          </w:p>
        </w:tc>
        <w:tc>
          <w:tcPr>
            <w:tcW w:type="dxa" w:w="236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DARPA ~$44M (Otter)</w:t>
            </w:r>
          </w:p>
        </w:tc>
        <w:tc>
          <w:tcPr>
            <w:tcW w:type="dxa" w:w="240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SabreSat and Phantom + air-breathing EP</w:t>
            </w:r>
          </w:p>
        </w:tc>
        <w:tc>
          <w:tcPr>
            <w:tcW w:type="dxa" w:w="200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Building; targeting 1 year-plus flight</w:t>
            </w:r>
          </w:p>
        </w:tc>
      </w:tr>
      <w:tr>
        <w:tc>
          <w:tcPr>
            <w:tcW w:type="dxa" w:w="170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SITAEL</w:t>
            </w:r>
          </w:p>
        </w:tc>
        <w:tc>
          <w:tcPr>
            <w:tcW w:type="dxa" w:w="90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Italy</w:t>
            </w:r>
          </w:p>
        </w:tc>
        <w:tc>
          <w:tcPr>
            <w:tcW w:type="dxa" w:w="236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ESA-funded</w:t>
            </w:r>
          </w:p>
        </w:tc>
        <w:tc>
          <w:tcPr>
            <w:tcW w:type="dxa" w:w="240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RAM-EP air-breathing thruster</w:t>
            </w:r>
          </w:p>
        </w:tc>
        <w:tc>
          <w:tcPr>
            <w:tcW w:type="dxa" w:w="200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First ground firing, 2017</w:t>
            </w:r>
          </w:p>
        </w:tc>
      </w:tr>
      <w:tr>
        <w:tc>
          <w:tcPr>
            <w:tcW w:type="dxa" w:w="170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NewOrbit</w:t>
            </w:r>
          </w:p>
        </w:tc>
        <w:tc>
          <w:tcPr>
            <w:tcW w:type="dxa" w:w="90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UK</w:t>
            </w:r>
          </w:p>
        </w:tc>
        <w:tc>
          <w:tcPr>
            <w:tcW w:type="dxa" w:w="236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~$28M</w:t>
            </w:r>
          </w:p>
        </w:tc>
        <w:tc>
          <w:tcPr>
            <w:tcW w:type="dxa" w:w="240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VLEO platform</w:t>
            </w:r>
          </w:p>
        </w:tc>
        <w:tc>
          <w:tcPr>
            <w:tcW w:type="dxa" w:w="200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Pre-launch (2028 target)</w:t>
            </w:r>
          </w:p>
        </w:tc>
      </w:tr>
      <w:tr>
        <w:tc>
          <w:tcPr>
            <w:tcW w:type="dxa" w:w="170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Kreios Space</w:t>
            </w:r>
          </w:p>
        </w:tc>
        <w:tc>
          <w:tcPr>
            <w:tcW w:type="dxa" w:w="90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Spain</w:t>
            </w:r>
          </w:p>
        </w:tc>
        <w:tc>
          <w:tcPr>
            <w:tcW w:type="dxa" w:w="236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~EUR 10M; NATO Innovation Fund</w:t>
            </w:r>
          </w:p>
        </w:tc>
        <w:tc>
          <w:tcPr>
            <w:tcW w:type="dxa" w:w="240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Air-breathing EP</w:t>
            </w:r>
          </w:p>
        </w:tc>
        <w:tc>
          <w:tcPr>
            <w:tcW w:type="dxa" w:w="200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Pre-launch</w:t>
            </w:r>
          </w:p>
        </w:tc>
      </w:tr>
    </w:tbl>
    <w:p>
      <w:pPr>
        <w:spacing w:after="50"/>
      </w:pPr>
    </w:p>
    <w:p>
      <w:pPr>
        <w:pStyle w:val="Heading1"/>
        <w:pBdr>
          <w:bottom w:val="single" w:color="17B0BD" w:sz="6" w:space="4"/>
        </w:pBdr>
        <w:spacing w:after="160" w:before="320"/>
      </w:pPr>
      <w:r>
        <w:rPr>
          <w:rFonts w:ascii="Cambria" w:cs="Cambria" w:eastAsia="Cambria" w:hAnsi="Cambria"/>
          <w:b/>
          <w:bCs/>
          <w:color w:val="0E2A47"/>
          <w:sz w:val="32"/>
          <w:szCs w:val="32"/>
        </w:rPr>
        <w:t xml:space="preserve">7. Moat: where defensibility is real and where it is thin</w:t>
      </w:r>
    </w:p>
    <w:p>
      <w:pPr>
        <w:spacing w:after="140" w:before="0" w:line="264"/>
      </w:pPr>
      <w:r>
        <w:rPr>
          <w:rFonts w:ascii="Calibri" w:cs="Calibri" w:eastAsia="Calibri" w:hAnsi="Calibri"/>
          <w:b w:val="false"/>
          <w:bCs w:val="false"/>
          <w:i w:val="false"/>
          <w:iCs w:val="false"/>
          <w:color w:val="1B232E"/>
          <w:sz w:val="21"/>
          <w:szCs w:val="21"/>
        </w:rPr>
        <w:t xml:space="preserve">The right way to read Orbitt's moat is to separate the category from the company. The technical barriers to air-breathing propulsion are genuinely high, which keeps the field small and protects whoever succeeds. But those barriers protect the category, not Orbitt specifically, and on the company-specific dimensions Orbitt is behind.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660"/>
        <w:gridCol w:w="2000"/>
      </w:tblGrid>
      <w:tr>
        <w:trPr>
          <w:tblHeader/>
        </w:trPr>
        <w:tc>
          <w:tcPr>
            <w:tcW w:type="dxa" w:w="2700"/>
            <w:tcBorders>
              <w:top w:val="single" w:color="C9D4DD" w:sz="1"/>
              <w:left w:val="single" w:color="C9D4DD" w:sz="1"/>
              <w:bottom w:val="single" w:color="C9D4DD" w:sz="1"/>
              <w:right w:val="single" w:color="C9D4DD" w:sz="1"/>
            </w:tcBorders>
            <w:shd w:fill="0E2A47" w:color="auto" w:val="clear"/>
            <w:tcMar>
              <w:top w:type="dxa" w:w="70"/>
              <w:left w:type="dxa" w:w="110"/>
              <w:bottom w:type="dxa" w:w="70"/>
              <w:right w:type="dxa" w:w="110"/>
            </w:tcMar>
            <w:vAlign w:val="center"/>
          </w:tcPr>
          <w:p>
            <w:pPr>
              <w:spacing w:after="0" w:line="248"/>
            </w:pPr>
            <w:r>
              <w:rPr>
                <w:rFonts w:ascii="Calibri" w:cs="Calibri" w:eastAsia="Calibri" w:hAnsi="Calibri"/>
                <w:b/>
                <w:bCs/>
                <w:i w:val="false"/>
                <w:iCs w:val="false"/>
                <w:color w:val="FFFFFF"/>
                <w:sz w:val="19"/>
                <w:szCs w:val="19"/>
              </w:rPr>
              <w:t xml:space="preserve">Dimension</w:t>
            </w:r>
          </w:p>
        </w:tc>
        <w:tc>
          <w:tcPr>
            <w:tcW w:type="dxa" w:w="4660"/>
            <w:tcBorders>
              <w:top w:val="single" w:color="C9D4DD" w:sz="1"/>
              <w:left w:val="single" w:color="C9D4DD" w:sz="1"/>
              <w:bottom w:val="single" w:color="C9D4DD" w:sz="1"/>
              <w:right w:val="single" w:color="C9D4DD" w:sz="1"/>
            </w:tcBorders>
            <w:shd w:fill="0E2A47" w:color="auto" w:val="clear"/>
            <w:tcMar>
              <w:top w:type="dxa" w:w="70"/>
              <w:left w:type="dxa" w:w="110"/>
              <w:bottom w:type="dxa" w:w="70"/>
              <w:right w:type="dxa" w:w="110"/>
            </w:tcMar>
            <w:vAlign w:val="center"/>
          </w:tcPr>
          <w:p>
            <w:pPr>
              <w:spacing w:after="0" w:line="248"/>
            </w:pPr>
            <w:r>
              <w:rPr>
                <w:rFonts w:ascii="Calibri" w:cs="Calibri" w:eastAsia="Calibri" w:hAnsi="Calibri"/>
                <w:b/>
                <w:bCs/>
                <w:i w:val="false"/>
                <w:iCs w:val="false"/>
                <w:color w:val="FFFFFF"/>
                <w:sz w:val="19"/>
                <w:szCs w:val="19"/>
              </w:rPr>
              <w:t xml:space="preserve">Where it stands today</w:t>
            </w:r>
          </w:p>
        </w:tc>
        <w:tc>
          <w:tcPr>
            <w:tcW w:type="dxa" w:w="2000"/>
            <w:tcBorders>
              <w:top w:val="single" w:color="C9D4DD" w:sz="1"/>
              <w:left w:val="single" w:color="C9D4DD" w:sz="1"/>
              <w:bottom w:val="single" w:color="C9D4DD" w:sz="1"/>
              <w:right w:val="single" w:color="C9D4DD" w:sz="1"/>
            </w:tcBorders>
            <w:shd w:fill="0E2A47" w:color="auto" w:val="clear"/>
            <w:tcMar>
              <w:top w:type="dxa" w:w="70"/>
              <w:left w:type="dxa" w:w="110"/>
              <w:bottom w:type="dxa" w:w="70"/>
              <w:right w:type="dxa" w:w="110"/>
            </w:tcMar>
            <w:vAlign w:val="center"/>
          </w:tcPr>
          <w:p>
            <w:pPr>
              <w:spacing w:after="0" w:line="248"/>
            </w:pPr>
            <w:r>
              <w:rPr>
                <w:rFonts w:ascii="Calibri" w:cs="Calibri" w:eastAsia="Calibri" w:hAnsi="Calibri"/>
                <w:b/>
                <w:bCs/>
                <w:i w:val="false"/>
                <w:iCs w:val="false"/>
                <w:color w:val="FFFFFF"/>
                <w:sz w:val="19"/>
                <w:szCs w:val="19"/>
              </w:rPr>
              <w:t xml:space="preserve">Verdict</w:t>
            </w:r>
          </w:p>
        </w:tc>
      </w:tr>
      <w:tr>
        <w:tc>
          <w:tcPr>
            <w:tcW w:type="dxa" w:w="270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Technology barrier</w:t>
            </w:r>
          </w:p>
        </w:tc>
        <w:tc>
          <w:tcPr>
            <w:tcW w:type="dxa" w:w="466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Very few teams worldwide can make air-breathing EP work</w:t>
            </w:r>
          </w:p>
        </w:tc>
        <w:tc>
          <w:tcPr>
            <w:tcW w:type="dxa" w:w="200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bCs/>
                <w:i w:val="false"/>
                <w:iCs w:val="false"/>
                <w:color w:val="0E7C87"/>
                <w:sz w:val="19"/>
                <w:szCs w:val="19"/>
              </w:rPr>
              <w:t xml:space="preserve">Strong for category</w:t>
            </w:r>
          </w:p>
        </w:tc>
      </w:tr>
      <w:tr>
        <w:tc>
          <w:tcPr>
            <w:tcW w:type="dxa" w:w="270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Portable IP</w:t>
            </w:r>
          </w:p>
        </w:tc>
        <w:tc>
          <w:tcPr>
            <w:tcW w:type="dxa" w:w="466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No patents; ISRO owns the founders' prior inventions</w:t>
            </w:r>
          </w:p>
        </w:tc>
        <w:tc>
          <w:tcPr>
            <w:tcW w:type="dxa" w:w="200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bCs/>
                <w:i w:val="false"/>
                <w:iCs w:val="false"/>
                <w:color w:val="C2571F"/>
                <w:sz w:val="19"/>
                <w:szCs w:val="19"/>
              </w:rPr>
              <w:t xml:space="preserve">Weak</w:t>
            </w:r>
          </w:p>
        </w:tc>
      </w:tr>
      <w:tr>
        <w:tc>
          <w:tcPr>
            <w:tcW w:type="dxa" w:w="270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Sovereign and regulatory access</w:t>
            </w:r>
          </w:p>
        </w:tc>
        <w:tc>
          <w:tcPr>
            <w:tcW w:type="dxa" w:w="466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ITAR-free, India-sovereign, IN-SPACe and ISRO facility MoUs</w:t>
            </w:r>
          </w:p>
        </w:tc>
        <w:tc>
          <w:tcPr>
            <w:tcW w:type="dxa" w:w="200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bCs/>
                <w:i w:val="false"/>
                <w:iCs w:val="false"/>
                <w:color w:val="5E6B7A"/>
                <w:sz w:val="19"/>
                <w:szCs w:val="19"/>
              </w:rPr>
              <w:t xml:space="preserve">Moderate, shared</w:t>
            </w:r>
          </w:p>
        </w:tc>
      </w:tr>
      <w:tr>
        <w:tc>
          <w:tcPr>
            <w:tcW w:type="dxa" w:w="270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Flight data and heritage</w:t>
            </w:r>
          </w:p>
        </w:tc>
        <w:tc>
          <w:tcPr>
            <w:tcW w:type="dxa" w:w="466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Zero; rivals are already accumulating it</w:t>
            </w:r>
          </w:p>
        </w:tc>
        <w:tc>
          <w:tcPr>
            <w:tcW w:type="dxa" w:w="200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bCs/>
                <w:i w:val="false"/>
                <w:iCs w:val="false"/>
                <w:color w:val="C2571F"/>
                <w:sz w:val="19"/>
                <w:szCs w:val="19"/>
              </w:rPr>
              <w:t xml:space="preserve">Weak</w:t>
            </w:r>
          </w:p>
        </w:tc>
      </w:tr>
      <w:tr>
        <w:tc>
          <w:tcPr>
            <w:tcW w:type="dxa" w:w="270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Vertical integration</w:t>
            </w:r>
          </w:p>
        </w:tc>
        <w:tc>
          <w:tcPr>
            <w:tcW w:type="dxa" w:w="466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Two founders versus Bellatrix's $76M factory</w:t>
            </w:r>
          </w:p>
        </w:tc>
        <w:tc>
          <w:tcPr>
            <w:tcW w:type="dxa" w:w="200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bCs/>
                <w:i w:val="false"/>
                <w:iCs w:val="false"/>
                <w:color w:val="C2571F"/>
                <w:sz w:val="19"/>
                <w:szCs w:val="19"/>
              </w:rPr>
              <w:t xml:space="preserve">Weak</w:t>
            </w:r>
          </w:p>
        </w:tc>
      </w:tr>
      <w:tr>
        <w:tc>
          <w:tcPr>
            <w:tcW w:type="dxa" w:w="270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Distribution and contracts</w:t>
            </w:r>
          </w:p>
        </w:tc>
        <w:tc>
          <w:tcPr>
            <w:tcW w:type="dxa" w:w="466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Early payload talks; no signed contracts</w:t>
            </w:r>
          </w:p>
        </w:tc>
        <w:tc>
          <w:tcPr>
            <w:tcW w:type="dxa" w:w="200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bCs/>
                <w:i w:val="false"/>
                <w:iCs w:val="false"/>
                <w:color w:val="C2571F"/>
                <w:sz w:val="19"/>
                <w:szCs w:val="19"/>
              </w:rPr>
              <w:t xml:space="preserve">Weak</w:t>
            </w:r>
          </w:p>
        </w:tc>
      </w:tr>
      <w:tr>
        <w:tc>
          <w:tcPr>
            <w:tcW w:type="dxa" w:w="270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Cost base</w:t>
            </w:r>
          </w:p>
        </w:tc>
        <w:tc>
          <w:tcPr>
            <w:tcW w:type="dxa" w:w="466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Indian engineering cost advantage is real</w:t>
            </w:r>
          </w:p>
        </w:tc>
        <w:tc>
          <w:tcPr>
            <w:tcW w:type="dxa" w:w="200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bCs/>
                <w:i w:val="false"/>
                <w:iCs w:val="false"/>
                <w:color w:val="5E6B7A"/>
                <w:sz w:val="19"/>
                <w:szCs w:val="19"/>
              </w:rPr>
              <w:t xml:space="preserve">Moderate</w:t>
            </w:r>
          </w:p>
        </w:tc>
      </w:tr>
      <w:tr>
        <w:tc>
          <w:tcPr>
            <w:tcW w:type="dxa" w:w="270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Team</w:t>
            </w:r>
          </w:p>
        </w:tc>
        <w:tc>
          <w:tcPr>
            <w:tcW w:type="dxa" w:w="466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Genuine ISRO propulsion and test pedigree</w:t>
            </w:r>
          </w:p>
        </w:tc>
        <w:tc>
          <w:tcPr>
            <w:tcW w:type="dxa" w:w="200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bCs/>
                <w:i w:val="false"/>
                <w:iCs w:val="false"/>
                <w:color w:val="0E7C87"/>
                <w:sz w:val="19"/>
                <w:szCs w:val="19"/>
              </w:rPr>
              <w:t xml:space="preserve">Strong</w:t>
            </w:r>
          </w:p>
        </w:tc>
      </w:tr>
    </w:tbl>
    <w:p>
      <w:pPr>
        <w:spacing w:after="30"/>
      </w:pPr>
    </w:p>
    <w:p>
      <w:pPr>
        <w:spacing w:after="140" w:before="0" w:line="264"/>
      </w:pPr>
      <w:r>
        <w:rPr>
          <w:rFonts w:ascii="Calibri" w:cs="Calibri" w:eastAsia="Calibri" w:hAnsi="Calibri"/>
          <w:b/>
          <w:bCs/>
          <w:i w:val="false"/>
          <w:iCs w:val="false"/>
          <w:color w:val="1B232E"/>
          <w:sz w:val="21"/>
          <w:szCs w:val="21"/>
        </w:rPr>
        <w:t xml:space="preserve">Verdict. </w:t>
      </w:r>
      <w:r>
        <w:rPr>
          <w:rFonts w:ascii="Calibri" w:cs="Calibri" w:eastAsia="Calibri" w:hAnsi="Calibri"/>
          <w:b w:val="false"/>
          <w:bCs w:val="false"/>
          <w:i w:val="false"/>
          <w:iCs w:val="false"/>
          <w:color w:val="1B232E"/>
          <w:sz w:val="21"/>
          <w:szCs w:val="21"/>
        </w:rPr>
        <w:t xml:space="preserve">The barriers protect the field, not Orbitt. A durable, company-specific moat requires demonstrated differentiation (not parity), proprietary flight data, and a locked sovereign customer. Today Orbitt has none of the three, which is why any check should be gated on building at least one of them.</w:t>
      </w:r>
    </w:p>
    <w:p>
      <w:pPr>
        <w:spacing w:after="50"/>
      </w:pPr>
    </w:p>
    <w:p>
      <w:pPr>
        <w:pStyle w:val="Heading1"/>
        <w:pBdr>
          <w:bottom w:val="single" w:color="17B0BD" w:sz="6" w:space="4"/>
        </w:pBdr>
        <w:spacing w:after="160" w:before="320"/>
      </w:pPr>
      <w:r>
        <w:rPr>
          <w:rFonts w:ascii="Cambria" w:cs="Cambria" w:eastAsia="Cambria" w:hAnsi="Cambria"/>
          <w:b/>
          <w:bCs/>
          <w:color w:val="0E2A47"/>
          <w:sz w:val="32"/>
          <w:szCs w:val="32"/>
        </w:rPr>
        <w:t xml:space="preserve">8. Intellectual property and freedom to operate</w:t>
      </w:r>
    </w:p>
    <w:p>
      <w:pPr>
        <w:spacing w:after="140" w:before="0" w:line="264"/>
      </w:pPr>
      <w:r>
        <w:rPr>
          <w:rFonts w:ascii="Calibri" w:cs="Calibri" w:eastAsia="Calibri" w:hAnsi="Calibri"/>
          <w:b w:val="false"/>
          <w:bCs w:val="false"/>
          <w:i w:val="false"/>
          <w:iCs w:val="false"/>
          <w:color w:val="1B232E"/>
          <w:sz w:val="21"/>
          <w:szCs w:val="21"/>
        </w:rPr>
        <w:t xml:space="preserve">Orbitt's intellectual property today is know-how, not a patent wall. As a company founded in February 2025 it has no granted patents, and critically, the inventions the founders worked on at ISRO belong to ISRO, not to Orbitt, so that prior work is not portable. The company also operates amid meaningful prior art, so freedom to operate is a real diligence item rather than a formality.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4DD" w:sz="1"/>
              <w:left w:val="single" w:color="C9D4DD" w:sz="1"/>
              <w:bottom w:val="single" w:color="C9D4DD" w:sz="1"/>
              <w:right w:val="single" w:color="C9D4DD" w:sz="1"/>
            </w:tcBorders>
            <w:shd w:fill="0E2A47" w:color="auto" w:val="clear"/>
            <w:tcMar>
              <w:top w:type="dxa" w:w="70"/>
              <w:left w:type="dxa" w:w="110"/>
              <w:bottom w:type="dxa" w:w="70"/>
              <w:right w:type="dxa" w:w="110"/>
            </w:tcMar>
            <w:vAlign w:val="center"/>
          </w:tcPr>
          <w:p>
            <w:pPr>
              <w:spacing w:after="0" w:line="248"/>
            </w:pPr>
            <w:r>
              <w:rPr>
                <w:rFonts w:ascii="Calibri" w:cs="Calibri" w:eastAsia="Calibri" w:hAnsi="Calibri"/>
                <w:b/>
                <w:bCs/>
                <w:i w:val="false"/>
                <w:iCs w:val="false"/>
                <w:color w:val="FFFFFF"/>
                <w:sz w:val="19"/>
                <w:szCs w:val="19"/>
              </w:rPr>
              <w:t xml:space="preserve">Category</w:t>
            </w:r>
          </w:p>
        </w:tc>
        <w:tc>
          <w:tcPr>
            <w:tcW w:type="dxa" w:w="6760"/>
            <w:tcBorders>
              <w:top w:val="single" w:color="C9D4DD" w:sz="1"/>
              <w:left w:val="single" w:color="C9D4DD" w:sz="1"/>
              <w:bottom w:val="single" w:color="C9D4DD" w:sz="1"/>
              <w:right w:val="single" w:color="C9D4DD" w:sz="1"/>
            </w:tcBorders>
            <w:shd w:fill="0E2A47" w:color="auto" w:val="clear"/>
            <w:tcMar>
              <w:top w:type="dxa" w:w="70"/>
              <w:left w:type="dxa" w:w="110"/>
              <w:bottom w:type="dxa" w:w="70"/>
              <w:right w:type="dxa" w:w="110"/>
            </w:tcMar>
            <w:vAlign w:val="center"/>
          </w:tcPr>
          <w:p>
            <w:pPr>
              <w:spacing w:after="0" w:line="248"/>
            </w:pPr>
            <w:r>
              <w:rPr>
                <w:rFonts w:ascii="Calibri" w:cs="Calibri" w:eastAsia="Calibri" w:hAnsi="Calibri"/>
                <w:b/>
                <w:bCs/>
                <w:i w:val="false"/>
                <w:iCs w:val="false"/>
                <w:color w:val="FFFFFF"/>
                <w:sz w:val="19"/>
                <w:szCs w:val="19"/>
              </w:rPr>
              <w:t xml:space="preserve">Detail</w:t>
            </w:r>
          </w:p>
        </w:tc>
      </w:tr>
      <w:tr>
        <w:tc>
          <w:tcPr>
            <w:tcW w:type="dxa" w:w="260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Likely holds</w:t>
            </w:r>
          </w:p>
        </w:tc>
        <w:tc>
          <w:tcPr>
            <w:tcW w:type="dxa" w:w="676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pStyle w:val="ListParagraph"/>
              <w:numPr>
                <w:ilvl w:val="0"/>
                <w:numId w:val="2"/>
              </w:numPr>
              <w:spacing w:after="50" w:line="248"/>
            </w:pPr>
            <w:r>
              <w:rPr>
                <w:rFonts w:ascii="Calibri" w:cs="Calibri" w:eastAsia="Calibri" w:hAnsi="Calibri"/>
                <w:b w:val="false"/>
                <w:bCs w:val="false"/>
                <w:i w:val="false"/>
                <w:iCs w:val="false"/>
                <w:color w:val="1B232E"/>
                <w:sz w:val="19"/>
                <w:szCs w:val="19"/>
              </w:rPr>
              <w:t xml:space="preserve">Trade-secret design know-how and in-progress IP</w:t>
            </w:r>
          </w:p>
          <w:p>
            <w:pPr>
              <w:pStyle w:val="ListParagraph"/>
              <w:numPr>
                <w:ilvl w:val="0"/>
                <w:numId w:val="2"/>
              </w:numPr>
              <w:spacing w:after="50" w:line="248"/>
            </w:pPr>
            <w:r>
              <w:rPr>
                <w:rFonts w:ascii="Calibri" w:cs="Calibri" w:eastAsia="Calibri" w:hAnsi="Calibri"/>
                <w:b w:val="false"/>
                <w:bCs w:val="false"/>
                <w:i w:val="false"/>
                <w:iCs w:val="false"/>
                <w:color w:val="1B232E"/>
                <w:sz w:val="19"/>
                <w:szCs w:val="19"/>
              </w:rPr>
              <w:t xml:space="preserve">Deep founder expertise from ISRO</w:t>
            </w:r>
          </w:p>
          <w:p>
            <w:pPr>
              <w:pStyle w:val="ListParagraph"/>
              <w:numPr>
                <w:ilvl w:val="0"/>
                <w:numId w:val="2"/>
              </w:numPr>
              <w:spacing w:after="50" w:line="248"/>
            </w:pPr>
            <w:r>
              <w:rPr>
                <w:rFonts w:ascii="Calibri" w:cs="Calibri" w:eastAsia="Calibri" w:hAnsi="Calibri"/>
                <w:b w:val="false"/>
                <w:bCs w:val="false"/>
                <w:i w:val="false"/>
                <w:iCs w:val="false"/>
                <w:color w:val="1B232E"/>
                <w:sz w:val="19"/>
                <w:szCs w:val="19"/>
              </w:rPr>
              <w:t xml:space="preserve">Possible provisional filings (unverified)</w:t>
            </w:r>
          </w:p>
          <w:p>
            <w:pPr>
              <w:pStyle w:val="ListParagraph"/>
              <w:numPr>
                <w:ilvl w:val="0"/>
                <w:numId w:val="2"/>
              </w:numPr>
              <w:spacing w:after="0" w:line="248"/>
            </w:pPr>
            <w:r>
              <w:rPr>
                <w:rFonts w:ascii="Calibri" w:cs="Calibri" w:eastAsia="Calibri" w:hAnsi="Calibri"/>
                <w:b w:val="false"/>
                <w:bCs w:val="false"/>
                <w:i w:val="false"/>
                <w:iCs w:val="false"/>
                <w:color w:val="1B232E"/>
                <w:sz w:val="19"/>
                <w:szCs w:val="19"/>
              </w:rPr>
              <w:t xml:space="preserve">Speed and focus as a dedicated team</w:t>
            </w:r>
          </w:p>
        </w:tc>
      </w:tr>
      <w:tr>
        <w:tc>
          <w:tcPr>
            <w:tcW w:type="dxa" w:w="260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Does not hold</w:t>
            </w:r>
          </w:p>
        </w:tc>
        <w:tc>
          <w:tcPr>
            <w:tcW w:type="dxa" w:w="676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pStyle w:val="ListParagraph"/>
              <w:numPr>
                <w:ilvl w:val="0"/>
                <w:numId w:val="2"/>
              </w:numPr>
              <w:spacing w:after="50" w:line="248"/>
            </w:pPr>
            <w:r>
              <w:rPr>
                <w:rFonts w:ascii="Calibri" w:cs="Calibri" w:eastAsia="Calibri" w:hAnsi="Calibri"/>
                <w:b w:val="false"/>
                <w:bCs w:val="false"/>
                <w:i w:val="false"/>
                <w:iCs w:val="false"/>
                <w:color w:val="1B232E"/>
                <w:sz w:val="19"/>
                <w:szCs w:val="19"/>
              </w:rPr>
              <w:t xml:space="preserve">No granted patents (founded February 2025)</w:t>
            </w:r>
          </w:p>
          <w:p>
            <w:pPr>
              <w:pStyle w:val="ListParagraph"/>
              <w:numPr>
                <w:ilvl w:val="0"/>
                <w:numId w:val="2"/>
              </w:numPr>
              <w:spacing w:after="50" w:line="248"/>
            </w:pPr>
            <w:r>
              <w:rPr>
                <w:rFonts w:ascii="Calibri" w:cs="Calibri" w:eastAsia="Calibri" w:hAnsi="Calibri"/>
                <w:b w:val="false"/>
                <w:bCs w:val="false"/>
                <w:i w:val="false"/>
                <w:iCs w:val="false"/>
                <w:color w:val="1B232E"/>
                <w:sz w:val="19"/>
                <w:szCs w:val="19"/>
              </w:rPr>
              <w:t xml:space="preserve">The founders' ISRO inventions belong to ISRO, so they are not portable</w:t>
            </w:r>
          </w:p>
          <w:p>
            <w:pPr>
              <w:pStyle w:val="ListParagraph"/>
              <w:numPr>
                <w:ilvl w:val="0"/>
                <w:numId w:val="2"/>
              </w:numPr>
              <w:spacing w:after="0" w:line="248"/>
            </w:pPr>
            <w:r>
              <w:rPr>
                <w:rFonts w:ascii="Calibri" w:cs="Calibri" w:eastAsia="Calibri" w:hAnsi="Calibri"/>
                <w:b w:val="false"/>
                <w:bCs w:val="false"/>
                <w:i w:val="false"/>
                <w:iCs w:val="false"/>
                <w:color w:val="1B232E"/>
                <w:sz w:val="19"/>
                <w:szCs w:val="19"/>
              </w:rPr>
              <w:t xml:space="preserve">No defensive portfolio against rivals</w:t>
            </w:r>
          </w:p>
        </w:tc>
      </w:tr>
      <w:tr>
        <w:tc>
          <w:tcPr>
            <w:tcW w:type="dxa" w:w="260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Freedom-to-operate risk</w:t>
            </w:r>
          </w:p>
        </w:tc>
        <w:tc>
          <w:tcPr>
            <w:tcW w:type="dxa" w:w="676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pStyle w:val="ListParagraph"/>
              <w:numPr>
                <w:ilvl w:val="0"/>
                <w:numId w:val="2"/>
              </w:numPr>
              <w:spacing w:after="50" w:line="248"/>
            </w:pPr>
            <w:r>
              <w:rPr>
                <w:rFonts w:ascii="Calibri" w:cs="Calibri" w:eastAsia="Calibri" w:hAnsi="Calibri"/>
                <w:b w:val="false"/>
                <w:bCs w:val="false"/>
                <w:i w:val="false"/>
                <w:iCs w:val="false"/>
                <w:color w:val="1B232E"/>
                <w:sz w:val="19"/>
                <w:szCs w:val="19"/>
              </w:rPr>
              <w:t xml:space="preserve">Busek holds an air-breathing Hall-thruster patent</w:t>
            </w:r>
          </w:p>
          <w:p>
            <w:pPr>
              <w:pStyle w:val="ListParagraph"/>
              <w:numPr>
                <w:ilvl w:val="0"/>
                <w:numId w:val="2"/>
              </w:numPr>
              <w:spacing w:after="50" w:line="248"/>
            </w:pPr>
            <w:r>
              <w:rPr>
                <w:rFonts w:ascii="Calibri" w:cs="Calibri" w:eastAsia="Calibri" w:hAnsi="Calibri"/>
                <w:b w:val="false"/>
                <w:bCs w:val="false"/>
                <w:i w:val="false"/>
                <w:iCs w:val="false"/>
                <w:color w:val="1B232E"/>
                <w:sz w:val="19"/>
                <w:szCs w:val="19"/>
              </w:rPr>
              <w:t xml:space="preserve">SITAEL and ESA hold deep RAM-EP know-how</w:t>
            </w:r>
          </w:p>
          <w:p>
            <w:pPr>
              <w:pStyle w:val="ListParagraph"/>
              <w:numPr>
                <w:ilvl w:val="0"/>
                <w:numId w:val="2"/>
              </w:numPr>
              <w:spacing w:after="50" w:line="248"/>
            </w:pPr>
            <w:r>
              <w:rPr>
                <w:rFonts w:ascii="Calibri" w:cs="Calibri" w:eastAsia="Calibri" w:hAnsi="Calibri"/>
                <w:b w:val="false"/>
                <w:bCs w:val="false"/>
                <w:i w:val="false"/>
                <w:iCs w:val="false"/>
                <w:color w:val="1B232E"/>
                <w:sz w:val="19"/>
                <w:szCs w:val="19"/>
              </w:rPr>
              <w:t xml:space="preserve">IRS Stuttgart leads intake and thruster IP</w:t>
            </w:r>
          </w:p>
          <w:p>
            <w:pPr>
              <w:pStyle w:val="ListParagraph"/>
              <w:numPr>
                <w:ilvl w:val="0"/>
                <w:numId w:val="2"/>
              </w:numPr>
              <w:spacing w:after="0" w:line="248"/>
            </w:pPr>
            <w:r>
              <w:rPr>
                <w:rFonts w:ascii="Calibri" w:cs="Calibri" w:eastAsia="Calibri" w:hAnsi="Calibri"/>
                <w:b w:val="false"/>
                <w:bCs w:val="false"/>
                <w:i w:val="false"/>
                <w:iCs w:val="false"/>
                <w:color w:val="1B232E"/>
                <w:sz w:val="19"/>
                <w:szCs w:val="19"/>
              </w:rPr>
              <w:t xml:space="preserve">Crowded prior art for a newcomer</w:t>
            </w:r>
          </w:p>
        </w:tc>
      </w:tr>
      <w:tr>
        <w:tc>
          <w:tcPr>
            <w:tcW w:type="dxa" w:w="260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Diligence asks</w:t>
            </w:r>
          </w:p>
        </w:tc>
        <w:tc>
          <w:tcPr>
            <w:tcW w:type="dxa" w:w="676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pStyle w:val="ListParagraph"/>
              <w:numPr>
                <w:ilvl w:val="0"/>
                <w:numId w:val="2"/>
              </w:numPr>
              <w:spacing w:after="50" w:line="248"/>
            </w:pPr>
            <w:r>
              <w:rPr>
                <w:rFonts w:ascii="Calibri" w:cs="Calibri" w:eastAsia="Calibri" w:hAnsi="Calibri"/>
                <w:b w:val="false"/>
                <w:bCs w:val="false"/>
                <w:i w:val="false"/>
                <w:iCs w:val="false"/>
                <w:color w:val="1B232E"/>
                <w:sz w:val="19"/>
                <w:szCs w:val="19"/>
              </w:rPr>
              <w:t xml:space="preserve">Confirm any filed patents or provisionals and their assignment</w:t>
            </w:r>
          </w:p>
          <w:p>
            <w:pPr>
              <w:pStyle w:val="ListParagraph"/>
              <w:numPr>
                <w:ilvl w:val="0"/>
                <w:numId w:val="2"/>
              </w:numPr>
              <w:spacing w:after="50" w:line="248"/>
            </w:pPr>
            <w:r>
              <w:rPr>
                <w:rFonts w:ascii="Calibri" w:cs="Calibri" w:eastAsia="Calibri" w:hAnsi="Calibri"/>
                <w:b w:val="false"/>
                <w:bCs w:val="false"/>
                <w:i w:val="false"/>
                <w:iCs w:val="false"/>
                <w:color w:val="1B232E"/>
                <w:sz w:val="19"/>
                <w:szCs w:val="19"/>
              </w:rPr>
              <w:t xml:space="preserve">Commission a freedom-to-operate review versus Busek and SITAEL</w:t>
            </w:r>
          </w:p>
          <w:p>
            <w:pPr>
              <w:pStyle w:val="ListParagraph"/>
              <w:numPr>
                <w:ilvl w:val="0"/>
                <w:numId w:val="2"/>
              </w:numPr>
              <w:spacing w:after="0" w:line="248"/>
            </w:pPr>
            <w:r>
              <w:rPr>
                <w:rFonts w:ascii="Calibri" w:cs="Calibri" w:eastAsia="Calibri" w:hAnsi="Calibri"/>
                <w:b w:val="false"/>
                <w:bCs w:val="false"/>
                <w:i w:val="false"/>
                <w:iCs w:val="false"/>
                <w:color w:val="1B232E"/>
                <w:sz w:val="19"/>
                <w:szCs w:val="19"/>
              </w:rPr>
              <w:t xml:space="preserve">Verify clean invention-assignment and non-compete terms relative to ISRO</w:t>
            </w:r>
          </w:p>
        </w:tc>
      </w:tr>
    </w:tbl>
    <w:p>
      <w:pPr>
        <w:spacing w:after="50"/>
      </w:pPr>
    </w:p>
    <w:p>
      <w:pPr>
        <w:pStyle w:val="Heading1"/>
        <w:pBdr>
          <w:bottom w:val="single" w:color="17B0BD" w:sz="6" w:space="4"/>
        </w:pBdr>
        <w:spacing w:after="160" w:before="320"/>
      </w:pPr>
      <w:r>
        <w:rPr>
          <w:rFonts w:ascii="Cambria" w:cs="Cambria" w:eastAsia="Cambria" w:hAnsi="Cambria"/>
          <w:b/>
          <w:bCs/>
          <w:color w:val="0E2A47"/>
          <w:sz w:val="32"/>
          <w:szCs w:val="32"/>
        </w:rPr>
        <w:t xml:space="preserve">9. Distribution and go-to-market</w:t>
      </w:r>
    </w:p>
    <w:p>
      <w:pPr>
        <w:spacing w:after="140" w:before="0" w:line="264"/>
      </w:pPr>
      <w:r>
        <w:rPr>
          <w:rFonts w:ascii="Calibri" w:cs="Calibri" w:eastAsia="Calibri" w:hAnsi="Calibri"/>
          <w:b w:val="false"/>
          <w:bCs w:val="false"/>
          <w:i w:val="false"/>
          <w:iCs w:val="false"/>
          <w:color w:val="1B232E"/>
          <w:sz w:val="21"/>
          <w:szCs w:val="21"/>
        </w:rPr>
        <w:t xml:space="preserve">Demand for Earth observation is concentrated in government. EO insiders estimate the market is roughly 50% US government, 25% allied government, and 25% commercial, so defense and intelligence is the anchor buyer. For Orbitt, distribution is government-gated and relationship-driven, and the most differentiated wedge is sovereign, ITAR-free demand from non-aligned states that cannot easily buy US or European VLEO technology.</w:t>
      </w:r>
    </w:p>
    <w:p>
      <w:pPr>
        <w:pStyle w:val="Heading3"/>
        <w:spacing w:after="80" w:before="160"/>
      </w:pPr>
      <w:r>
        <w:rPr>
          <w:rFonts w:ascii="Calibri" w:cs="Calibri" w:eastAsia="Calibri" w:hAnsi="Calibri"/>
          <w:b/>
          <w:bCs/>
          <w:color w:val="0E7C87"/>
          <w:sz w:val="22"/>
          <w:szCs w:val="22"/>
        </w:rPr>
        <w:t xml:space="preserve">9.1  Who actually pays for VLEO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4960"/>
      </w:tblGrid>
      <w:tr>
        <w:trPr>
          <w:tblHeader/>
        </w:trPr>
        <w:tc>
          <w:tcPr>
            <w:tcW w:type="dxa" w:w="2900"/>
            <w:tcBorders>
              <w:top w:val="single" w:color="C9D4DD" w:sz="1"/>
              <w:left w:val="single" w:color="C9D4DD" w:sz="1"/>
              <w:bottom w:val="single" w:color="C9D4DD" w:sz="1"/>
              <w:right w:val="single" w:color="C9D4DD" w:sz="1"/>
            </w:tcBorders>
            <w:shd w:fill="0E2A47" w:color="auto" w:val="clear"/>
            <w:tcMar>
              <w:top w:type="dxa" w:w="70"/>
              <w:left w:type="dxa" w:w="110"/>
              <w:bottom w:type="dxa" w:w="70"/>
              <w:right w:type="dxa" w:w="110"/>
            </w:tcMar>
            <w:vAlign w:val="center"/>
          </w:tcPr>
          <w:p>
            <w:pPr>
              <w:spacing w:after="0" w:line="248"/>
            </w:pPr>
            <w:r>
              <w:rPr>
                <w:rFonts w:ascii="Calibri" w:cs="Calibri" w:eastAsia="Calibri" w:hAnsi="Calibri"/>
                <w:b/>
                <w:bCs/>
                <w:i w:val="false"/>
                <w:iCs w:val="false"/>
                <w:color w:val="FFFFFF"/>
                <w:sz w:val="19"/>
                <w:szCs w:val="19"/>
              </w:rPr>
              <w:t xml:space="preserve">Segment</w:t>
            </w:r>
          </w:p>
        </w:tc>
        <w:tc>
          <w:tcPr>
            <w:tcW w:type="dxa" w:w="1500"/>
            <w:tcBorders>
              <w:top w:val="single" w:color="C9D4DD" w:sz="1"/>
              <w:left w:val="single" w:color="C9D4DD" w:sz="1"/>
              <w:bottom w:val="single" w:color="C9D4DD" w:sz="1"/>
              <w:right w:val="single" w:color="C9D4DD" w:sz="1"/>
            </w:tcBorders>
            <w:shd w:fill="0E2A47" w:color="auto" w:val="clear"/>
            <w:tcMar>
              <w:top w:type="dxa" w:w="70"/>
              <w:left w:type="dxa" w:w="110"/>
              <w:bottom w:type="dxa" w:w="70"/>
              <w:right w:type="dxa" w:w="110"/>
            </w:tcMar>
            <w:vAlign w:val="center"/>
          </w:tcPr>
          <w:p>
            <w:pPr>
              <w:spacing w:after="0" w:line="248"/>
            </w:pPr>
            <w:r>
              <w:rPr>
                <w:rFonts w:ascii="Calibri" w:cs="Calibri" w:eastAsia="Calibri" w:hAnsi="Calibri"/>
                <w:b/>
                <w:bCs/>
                <w:i w:val="false"/>
                <w:iCs w:val="false"/>
                <w:color w:val="FFFFFF"/>
                <w:sz w:val="19"/>
                <w:szCs w:val="19"/>
              </w:rPr>
              <w:t xml:space="preserve">Role</w:t>
            </w:r>
          </w:p>
        </w:tc>
        <w:tc>
          <w:tcPr>
            <w:tcW w:type="dxa" w:w="4960"/>
            <w:tcBorders>
              <w:top w:val="single" w:color="C9D4DD" w:sz="1"/>
              <w:left w:val="single" w:color="C9D4DD" w:sz="1"/>
              <w:bottom w:val="single" w:color="C9D4DD" w:sz="1"/>
              <w:right w:val="single" w:color="C9D4DD" w:sz="1"/>
            </w:tcBorders>
            <w:shd w:fill="0E2A47" w:color="auto" w:val="clear"/>
            <w:tcMar>
              <w:top w:type="dxa" w:w="70"/>
              <w:left w:type="dxa" w:w="110"/>
              <w:bottom w:type="dxa" w:w="70"/>
              <w:right w:type="dxa" w:w="110"/>
            </w:tcMar>
            <w:vAlign w:val="center"/>
          </w:tcPr>
          <w:p>
            <w:pPr>
              <w:spacing w:after="0" w:line="248"/>
            </w:pPr>
            <w:r>
              <w:rPr>
                <w:rFonts w:ascii="Calibri" w:cs="Calibri" w:eastAsia="Calibri" w:hAnsi="Calibri"/>
                <w:b/>
                <w:bCs/>
                <w:i w:val="false"/>
                <w:iCs w:val="false"/>
                <w:color w:val="FFFFFF"/>
                <w:sz w:val="19"/>
                <w:szCs w:val="19"/>
              </w:rPr>
              <w:t xml:space="preserve">Notes</w:t>
            </w:r>
          </w:p>
        </w:tc>
      </w:tr>
      <w:tr>
        <w:tc>
          <w:tcPr>
            <w:tcW w:type="dxa" w:w="290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Defense and intelligence</w:t>
            </w:r>
          </w:p>
        </w:tc>
        <w:tc>
          <w:tcPr>
            <w:tcW w:type="dxa" w:w="150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Anchor</w:t>
            </w:r>
          </w:p>
        </w:tc>
        <w:tc>
          <w:tcPr>
            <w:tcW w:type="dxa" w:w="496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About 75% of EO value is government; ISR drives demand for high-resolution, persistent coverage</w:t>
            </w:r>
          </w:p>
        </w:tc>
      </w:tr>
      <w:tr>
        <w:tc>
          <w:tcPr>
            <w:tcW w:type="dxa" w:w="290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Commercial EO data</w:t>
            </w:r>
          </w:p>
        </w:tc>
        <w:tc>
          <w:tcPr>
            <w:tcW w:type="dxa" w:w="150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Growing</w:t>
            </w:r>
          </w:p>
        </w:tc>
        <w:tc>
          <w:tcPr>
            <w:tcW w:type="dxa" w:w="496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Agriculture, insurance, energy and mapping, but commoditizing as prices fall</w:t>
            </w:r>
          </w:p>
        </w:tc>
      </w:tr>
      <w:tr>
        <w:tc>
          <w:tcPr>
            <w:tcW w:type="dxa" w:w="290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Low-latency comms</w:t>
            </w:r>
          </w:p>
        </w:tc>
        <w:tc>
          <w:tcPr>
            <w:tcW w:type="dxa" w:w="150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Emerging</w:t>
            </w:r>
          </w:p>
        </w:tc>
        <w:tc>
          <w:tcPr>
            <w:tcW w:type="dxa" w:w="496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VLEO roughly halves latency; a longer-dated use case</w:t>
            </w:r>
          </w:p>
        </w:tc>
      </w:tr>
      <w:tr>
        <w:tc>
          <w:tcPr>
            <w:tcW w:type="dxa" w:w="290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Satellite primes and payload hosts</w:t>
            </w:r>
          </w:p>
        </w:tc>
        <w:tc>
          <w:tcPr>
            <w:tcW w:type="dxa" w:w="150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Channel</w:t>
            </w:r>
          </w:p>
        </w:tc>
        <w:tc>
          <w:tcPr>
            <w:tcW w:type="dxa" w:w="496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Buy or integrate buses (for example TATA Advanced Systems); a channel, not an end-buyer</w:t>
            </w:r>
          </w:p>
        </w:tc>
      </w:tr>
    </w:tbl>
    <w:p>
      <w:pPr>
        <w:pStyle w:val="Heading3"/>
        <w:spacing w:after="80" w:before="160"/>
      </w:pPr>
      <w:r>
        <w:rPr>
          <w:rFonts w:ascii="Calibri" w:cs="Calibri" w:eastAsia="Calibri" w:hAnsi="Calibri"/>
          <w:b/>
          <w:bCs/>
          <w:color w:val="0E7C87"/>
          <w:sz w:val="22"/>
          <w:szCs w:val="22"/>
        </w:rPr>
        <w:t xml:space="preserve">9.2  How Orbitt would reach customers</w:t>
      </w:r>
    </w:p>
    <w:p>
      <w:pPr>
        <w:pStyle w:val="ListParagraph"/>
        <w:numPr>
          <w:ilvl w:val="0"/>
          <w:numId w:val="3"/>
        </w:numPr>
        <w:spacing w:after="80" w:line="260"/>
      </w:pPr>
      <w:r>
        <w:rPr>
          <w:rFonts w:ascii="Calibri" w:cs="Calibri" w:eastAsia="Calibri" w:hAnsi="Calibri"/>
          <w:b w:val="false"/>
          <w:bCs w:val="false"/>
          <w:i w:val="false"/>
          <w:iCs w:val="false"/>
          <w:color w:val="1B232E"/>
          <w:sz w:val="21"/>
          <w:szCs w:val="21"/>
        </w:rPr>
        <w:t xml:space="preserve">IN-SPACe authorization, the mandatory regulatory gate to launch from India</w:t>
      </w:r>
    </w:p>
    <w:p>
      <w:pPr>
        <w:pStyle w:val="ListParagraph"/>
        <w:numPr>
          <w:ilvl w:val="0"/>
          <w:numId w:val="3"/>
        </w:numPr>
        <w:spacing w:after="80" w:line="260"/>
      </w:pPr>
      <w:r>
        <w:rPr>
          <w:rFonts w:ascii="Calibri" w:cs="Calibri" w:eastAsia="Calibri" w:hAnsi="Calibri"/>
          <w:b w:val="false"/>
          <w:bCs w:val="false"/>
          <w:i w:val="false"/>
          <w:iCs w:val="false"/>
          <w:color w:val="1B232E"/>
          <w:sz w:val="21"/>
          <w:szCs w:val="21"/>
        </w:rPr>
        <w:t xml:space="preserve">Launch on ISRO PSLV, then the POEM demonstration, then commercial rideshare</w:t>
      </w:r>
    </w:p>
    <w:p>
      <w:pPr>
        <w:pStyle w:val="ListParagraph"/>
        <w:numPr>
          <w:ilvl w:val="0"/>
          <w:numId w:val="3"/>
        </w:numPr>
        <w:spacing w:after="80" w:line="260"/>
      </w:pPr>
      <w:r>
        <w:rPr>
          <w:rFonts w:ascii="Calibri" w:cs="Calibri" w:eastAsia="Calibri" w:hAnsi="Calibri"/>
          <w:b w:val="false"/>
          <w:bCs w:val="false"/>
          <w:i w:val="false"/>
          <w:iCs w:val="false"/>
          <w:color w:val="1B232E"/>
          <w:sz w:val="21"/>
          <w:szCs w:val="21"/>
        </w:rPr>
        <w:t xml:space="preserve">Test under ISRO facility memorandums of understanding</w:t>
      </w:r>
    </w:p>
    <w:p>
      <w:pPr>
        <w:pStyle w:val="ListParagraph"/>
        <w:numPr>
          <w:ilvl w:val="0"/>
          <w:numId w:val="3"/>
        </w:numPr>
        <w:spacing w:after="80" w:line="260"/>
      </w:pPr>
      <w:r>
        <w:rPr>
          <w:rFonts w:ascii="Calibri" w:cs="Calibri" w:eastAsia="Calibri" w:hAnsi="Calibri"/>
          <w:b w:val="false"/>
          <w:bCs w:val="false"/>
          <w:i w:val="false"/>
          <w:iCs w:val="false"/>
          <w:color w:val="1B232E"/>
          <w:sz w:val="21"/>
          <w:szCs w:val="21"/>
        </w:rPr>
        <w:t xml:space="preserve">Sell via payload partners (TATA Advanced Systems) and Indian defense (iDEX-type programs)</w:t>
      </w:r>
    </w:p>
    <w:p>
      <w:pPr>
        <w:pStyle w:val="ListParagraph"/>
        <w:numPr>
          <w:ilvl w:val="0"/>
          <w:numId w:val="3"/>
        </w:numPr>
        <w:spacing w:after="80" w:line="260"/>
      </w:pPr>
      <w:r>
        <w:rPr>
          <w:rFonts w:ascii="Calibri" w:cs="Calibri" w:eastAsia="Calibri" w:hAnsi="Calibri"/>
          <w:b w:val="false"/>
          <w:bCs w:val="false"/>
          <w:i w:val="false"/>
          <w:iCs w:val="false"/>
          <w:color w:val="1B232E"/>
          <w:sz w:val="21"/>
          <w:szCs w:val="21"/>
        </w:rPr>
        <w:t xml:space="preserve">Export ITAR-free to non-aligned states, the most differentiated wedge</w:t>
      </w:r>
    </w:p>
    <w:p>
      <w:pPr>
        <w:pStyle w:val="Heading3"/>
        <w:spacing w:after="80" w:before="160"/>
      </w:pPr>
      <w:r>
        <w:rPr>
          <w:rFonts w:ascii="Calibri" w:cs="Calibri" w:eastAsia="Calibri" w:hAnsi="Calibri"/>
          <w:b/>
          <w:bCs/>
          <w:color w:val="0E7C87"/>
          <w:sz w:val="22"/>
          <w:szCs w:val="22"/>
        </w:rPr>
        <w:t xml:space="preserve">9.3  Revenue models</w:t>
      </w:r>
    </w:p>
    <w:p>
      <w:pPr>
        <w:pStyle w:val="ListParagraph"/>
        <w:numPr>
          <w:ilvl w:val="0"/>
          <w:numId w:val="4"/>
        </w:numPr>
        <w:spacing w:after="70" w:line="260"/>
      </w:pPr>
      <w:r>
        <w:rPr>
          <w:rFonts w:ascii="Calibri" w:cs="Calibri" w:eastAsia="Calibri" w:hAnsi="Calibri"/>
          <w:b/>
          <w:bCs/>
          <w:i w:val="false"/>
          <w:iCs w:val="false"/>
          <w:color w:val="1B232E"/>
          <w:sz w:val="21"/>
          <w:szCs w:val="21"/>
        </w:rPr>
        <w:t xml:space="preserve">Platform or bus as a product. </w:t>
      </w:r>
      <w:r>
        <w:rPr>
          <w:rFonts w:ascii="Calibri" w:cs="Calibri" w:eastAsia="Calibri" w:hAnsi="Calibri"/>
          <w:b w:val="false"/>
          <w:bCs w:val="false"/>
          <w:i w:val="false"/>
          <w:iCs w:val="false"/>
          <w:color w:val="1B232E"/>
          <w:sz w:val="21"/>
          <w:szCs w:val="21"/>
        </w:rPr>
        <w:t xml:space="preserve">Sell or operate VLEO buses; recurring platform and operations revenue.</w:t>
      </w:r>
    </w:p>
    <w:p>
      <w:pPr>
        <w:pStyle w:val="ListParagraph"/>
        <w:numPr>
          <w:ilvl w:val="0"/>
          <w:numId w:val="4"/>
        </w:numPr>
        <w:spacing w:after="70" w:line="260"/>
      </w:pPr>
      <w:r>
        <w:rPr>
          <w:rFonts w:ascii="Calibri" w:cs="Calibri" w:eastAsia="Calibri" w:hAnsi="Calibri"/>
          <w:b/>
          <w:bCs/>
          <w:i w:val="false"/>
          <w:iCs w:val="false"/>
          <w:color w:val="1B232E"/>
          <w:sz w:val="21"/>
          <w:szCs w:val="21"/>
        </w:rPr>
        <w:t xml:space="preserve">Data as a service. </w:t>
      </w:r>
      <w:r>
        <w:rPr>
          <w:rFonts w:ascii="Calibri" w:cs="Calibri" w:eastAsia="Calibri" w:hAnsi="Calibri"/>
          <w:b w:val="false"/>
          <w:bCs w:val="false"/>
          <w:i w:val="false"/>
          <w:iCs w:val="false"/>
          <w:color w:val="1B232E"/>
          <w:sz w:val="21"/>
          <w:szCs w:val="21"/>
        </w:rPr>
        <w:t xml:space="preserve">Operate VLEO sensors and sell imagery or insights; higher margin, but a commoditizing market.</w:t>
      </w:r>
    </w:p>
    <w:p>
      <w:pPr>
        <w:pStyle w:val="ListParagraph"/>
        <w:numPr>
          <w:ilvl w:val="0"/>
          <w:numId w:val="4"/>
        </w:numPr>
        <w:spacing w:after="70" w:line="260"/>
      </w:pPr>
      <w:r>
        <w:rPr>
          <w:rFonts w:ascii="Calibri" w:cs="Calibri" w:eastAsia="Calibri" w:hAnsi="Calibri"/>
          <w:b/>
          <w:bCs/>
          <w:i w:val="false"/>
          <w:iCs w:val="false"/>
          <w:color w:val="1B232E"/>
          <w:sz w:val="21"/>
          <w:szCs w:val="21"/>
        </w:rPr>
        <w:t xml:space="preserve">Propulsion as a component. </w:t>
      </w:r>
      <w:r>
        <w:rPr>
          <w:rFonts w:ascii="Calibri" w:cs="Calibri" w:eastAsia="Calibri" w:hAnsi="Calibri"/>
          <w:b w:val="false"/>
          <w:bCs w:val="false"/>
          <w:i w:val="false"/>
          <w:iCs w:val="false"/>
          <w:color w:val="1B232E"/>
          <w:sz w:val="21"/>
          <w:szCs w:val="21"/>
        </w:rPr>
        <w:t xml:space="preserve">License or sell ABEP to other operators; smallest near-term revenue, strongest strategic optionality.</w:t>
      </w:r>
    </w:p>
    <w:p>
      <w:pPr>
        <w:spacing w:after="140" w:before="0" w:line="264"/>
      </w:pPr>
      <w:r>
        <w:rPr>
          <w:rFonts w:ascii="Calibri" w:cs="Calibri" w:eastAsia="Calibri" w:hAnsi="Calibri"/>
          <w:b/>
          <w:bCs/>
          <w:i w:val="false"/>
          <w:iCs w:val="false"/>
          <w:color w:val="1B232E"/>
          <w:sz w:val="21"/>
          <w:szCs w:val="21"/>
        </w:rPr>
        <w:t xml:space="preserve">Reality. </w:t>
      </w:r>
      <w:r>
        <w:rPr>
          <w:rFonts w:ascii="Calibri" w:cs="Calibri" w:eastAsia="Calibri" w:hAnsi="Calibri"/>
          <w:b w:val="false"/>
          <w:bCs w:val="false"/>
          <w:i w:val="false"/>
          <w:iCs w:val="false"/>
          <w:color w:val="1B232E"/>
          <w:sz w:val="21"/>
          <w:szCs w:val="21"/>
        </w:rPr>
        <w:t xml:space="preserve">Distribution is slow and relationship-driven. Orbitt has early payload talks but no signed contracts, while Bellatrix already holds NSIL and defense relationships. The sovereign, ITAR-free angle is the clearest path to a defensible customer base.</w:t>
      </w:r>
    </w:p>
    <w:p>
      <w:pPr>
        <w:spacing w:after="50"/>
      </w:pPr>
    </w:p>
    <w:p>
      <w:pPr>
        <w:pStyle w:val="Heading1"/>
        <w:pBdr>
          <w:bottom w:val="single" w:color="17B0BD" w:sz="6" w:space="4"/>
        </w:pBdr>
        <w:spacing w:after="160" w:before="320"/>
      </w:pPr>
      <w:r>
        <w:rPr>
          <w:rFonts w:ascii="Cambria" w:cs="Cambria" w:eastAsia="Cambria" w:hAnsi="Cambria"/>
          <w:b/>
          <w:bCs/>
          <w:color w:val="0E2A47"/>
          <w:sz w:val="32"/>
          <w:szCs w:val="32"/>
        </w:rPr>
        <w:t xml:space="preserve">10. Market sizing</w:t>
      </w:r>
    </w:p>
    <w:p>
      <w:pPr>
        <w:spacing w:after="140" w:before="0" w:line="264"/>
      </w:pPr>
      <w:r>
        <w:rPr>
          <w:rFonts w:ascii="Calibri" w:cs="Calibri" w:eastAsia="Calibri" w:hAnsi="Calibri"/>
          <w:b w:val="false"/>
          <w:bCs w:val="false"/>
          <w:i w:val="false"/>
          <w:iCs w:val="false"/>
          <w:color w:val="1B232E"/>
          <w:sz w:val="21"/>
          <w:szCs w:val="21"/>
        </w:rPr>
        <w:t xml:space="preserve">The headline space-economy number frames the prize but is not Orbitt's addressable market. The near-term wedge is the Earth observation data and services market, which is small, government-heavy and commoditizing, with VLEO as its fastest-growing slice.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860"/>
        <w:gridCol w:w="3000"/>
      </w:tblGrid>
      <w:tr>
        <w:trPr>
          <w:tblHeader/>
        </w:trPr>
        <w:tc>
          <w:tcPr>
            <w:tcW w:type="dxa" w:w="1500"/>
            <w:tcBorders>
              <w:top w:val="single" w:color="C9D4DD" w:sz="1"/>
              <w:left w:val="single" w:color="C9D4DD" w:sz="1"/>
              <w:bottom w:val="single" w:color="C9D4DD" w:sz="1"/>
              <w:right w:val="single" w:color="C9D4DD" w:sz="1"/>
            </w:tcBorders>
            <w:shd w:fill="0E2A47" w:color="auto" w:val="clear"/>
            <w:tcMar>
              <w:top w:type="dxa" w:w="70"/>
              <w:left w:type="dxa" w:w="110"/>
              <w:bottom w:type="dxa" w:w="70"/>
              <w:right w:type="dxa" w:w="110"/>
            </w:tcMar>
            <w:vAlign w:val="center"/>
          </w:tcPr>
          <w:p>
            <w:pPr>
              <w:spacing w:after="0" w:line="248"/>
            </w:pPr>
            <w:r>
              <w:rPr>
                <w:rFonts w:ascii="Calibri" w:cs="Calibri" w:eastAsia="Calibri" w:hAnsi="Calibri"/>
                <w:b/>
                <w:bCs/>
                <w:i w:val="false"/>
                <w:iCs w:val="false"/>
                <w:color w:val="FFFFFF"/>
                <w:sz w:val="19"/>
                <w:szCs w:val="19"/>
              </w:rPr>
              <w:t xml:space="preserve">Layer</w:t>
            </w:r>
          </w:p>
        </w:tc>
        <w:tc>
          <w:tcPr>
            <w:tcW w:type="dxa" w:w="4860"/>
            <w:tcBorders>
              <w:top w:val="single" w:color="C9D4DD" w:sz="1"/>
              <w:left w:val="single" w:color="C9D4DD" w:sz="1"/>
              <w:bottom w:val="single" w:color="C9D4DD" w:sz="1"/>
              <w:right w:val="single" w:color="C9D4DD" w:sz="1"/>
            </w:tcBorders>
            <w:shd w:fill="0E2A47" w:color="auto" w:val="clear"/>
            <w:tcMar>
              <w:top w:type="dxa" w:w="70"/>
              <w:left w:type="dxa" w:w="110"/>
              <w:bottom w:type="dxa" w:w="70"/>
              <w:right w:type="dxa" w:w="110"/>
            </w:tcMar>
            <w:vAlign w:val="center"/>
          </w:tcPr>
          <w:p>
            <w:pPr>
              <w:spacing w:after="0" w:line="248"/>
            </w:pPr>
            <w:r>
              <w:rPr>
                <w:rFonts w:ascii="Calibri" w:cs="Calibri" w:eastAsia="Calibri" w:hAnsi="Calibri"/>
                <w:b/>
                <w:bCs/>
                <w:i w:val="false"/>
                <w:iCs w:val="false"/>
                <w:color w:val="FFFFFF"/>
                <w:sz w:val="19"/>
                <w:szCs w:val="19"/>
              </w:rPr>
              <w:t xml:space="preserve">Definition</w:t>
            </w:r>
          </w:p>
        </w:tc>
        <w:tc>
          <w:tcPr>
            <w:tcW w:type="dxa" w:w="3000"/>
            <w:tcBorders>
              <w:top w:val="single" w:color="C9D4DD" w:sz="1"/>
              <w:left w:val="single" w:color="C9D4DD" w:sz="1"/>
              <w:bottom w:val="single" w:color="C9D4DD" w:sz="1"/>
              <w:right w:val="single" w:color="C9D4DD" w:sz="1"/>
            </w:tcBorders>
            <w:shd w:fill="0E2A47" w:color="auto" w:val="clear"/>
            <w:tcMar>
              <w:top w:type="dxa" w:w="70"/>
              <w:left w:type="dxa" w:w="110"/>
              <w:bottom w:type="dxa" w:w="70"/>
              <w:right w:type="dxa" w:w="110"/>
            </w:tcMar>
            <w:vAlign w:val="center"/>
          </w:tcPr>
          <w:p>
            <w:pPr>
              <w:spacing w:after="0" w:line="248"/>
            </w:pPr>
            <w:r>
              <w:rPr>
                <w:rFonts w:ascii="Calibri" w:cs="Calibri" w:eastAsia="Calibri" w:hAnsi="Calibri"/>
                <w:b/>
                <w:bCs/>
                <w:i w:val="false"/>
                <w:iCs w:val="false"/>
                <w:color w:val="FFFFFF"/>
                <w:sz w:val="19"/>
                <w:szCs w:val="19"/>
              </w:rPr>
              <w:t xml:space="preserve">Size</w:t>
            </w:r>
          </w:p>
        </w:tc>
      </w:tr>
      <w:tr>
        <w:tc>
          <w:tcPr>
            <w:tcW w:type="dxa" w:w="150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bCs/>
                <w:i w:val="false"/>
                <w:iCs w:val="false"/>
                <w:color w:val="1B232E"/>
                <w:sz w:val="19"/>
                <w:szCs w:val="19"/>
              </w:rPr>
              <w:t xml:space="preserve">TAM</w:t>
            </w:r>
          </w:p>
        </w:tc>
        <w:tc>
          <w:tcPr>
            <w:tcW w:type="dxa" w:w="486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Global space economy</w:t>
            </w:r>
          </w:p>
        </w:tc>
        <w:tc>
          <w:tcPr>
            <w:tcW w:type="dxa" w:w="300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$1.8T by 2035 (from $630B in 2023)</w:t>
            </w:r>
          </w:p>
        </w:tc>
      </w:tr>
      <w:tr>
        <w:tc>
          <w:tcPr>
            <w:tcW w:type="dxa" w:w="150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bCs/>
                <w:i w:val="false"/>
                <w:iCs w:val="false"/>
                <w:color w:val="1B232E"/>
                <w:sz w:val="19"/>
                <w:szCs w:val="19"/>
              </w:rPr>
              <w:t xml:space="preserve">SAM</w:t>
            </w:r>
          </w:p>
        </w:tc>
        <w:tc>
          <w:tcPr>
            <w:tcW w:type="dxa" w:w="486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Earth observation data and services</w:t>
            </w:r>
          </w:p>
        </w:tc>
        <w:tc>
          <w:tcPr>
            <w:tcW w:type="dxa" w:w="300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About $8B by 2033 (data $2.2B plus value-added services $3.2B in 2024)</w:t>
            </w:r>
          </w:p>
        </w:tc>
      </w:tr>
      <w:tr>
        <w:tc>
          <w:tcPr>
            <w:tcW w:type="dxa" w:w="150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bCs/>
                <w:i w:val="false"/>
                <w:iCs w:val="false"/>
                <w:color w:val="1B232E"/>
                <w:sz w:val="19"/>
                <w:szCs w:val="19"/>
              </w:rPr>
              <w:t xml:space="preserve">SOM</w:t>
            </w:r>
          </w:p>
        </w:tc>
        <w:tc>
          <w:tcPr>
            <w:tcW w:type="dxa" w:w="486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VLEO platforms and data</w:t>
            </w:r>
          </w:p>
        </w:tc>
        <w:tc>
          <w:tcPr>
            <w:tcW w:type="dxa" w:w="300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Early; more than 1,000 ULEO satellites projected by 2032</w:t>
            </w:r>
          </w:p>
        </w:tc>
      </w:tr>
    </w:tbl>
    <w:p>
      <w:pPr>
        <w:spacing w:after="30"/>
      </w:pPr>
    </w:p>
    <w:p>
      <w:pPr>
        <w:spacing w:after="140" w:before="0" w:line="264"/>
      </w:pPr>
      <w:r>
        <w:rPr>
          <w:rFonts w:ascii="Calibri" w:cs="Calibri" w:eastAsia="Calibri" w:hAnsi="Calibri"/>
          <w:b w:val="false"/>
          <w:bCs w:val="false"/>
          <w:i w:val="false"/>
          <w:iCs w:val="false"/>
          <w:color w:val="1B232E"/>
          <w:sz w:val="21"/>
          <w:szCs w:val="21"/>
        </w:rPr>
        <w:t xml:space="preserve">Read it with discipline. EO data is small and roughly 75% government, and raw imagery is commoditizing as supply grows. India targets a domestic space economy of about $44B by 2033, backed by IN-SPACe non-dilutive funds. VLEO is the fastest-growing slice at roughly an 11% compound annual growth rate, and sovereign services are a recognized niche, which is where Orbitt's positioning is most relevant.</w:t>
      </w:r>
    </w:p>
    <w:p>
      <w:pPr>
        <w:spacing w:after="50"/>
      </w:pPr>
    </w:p>
    <w:p>
      <w:pPr>
        <w:pStyle w:val="Heading1"/>
        <w:pBdr>
          <w:bottom w:val="single" w:color="17B0BD" w:sz="6" w:space="4"/>
        </w:pBdr>
        <w:spacing w:after="160" w:before="320"/>
      </w:pPr>
      <w:r>
        <w:rPr>
          <w:rFonts w:ascii="Cambria" w:cs="Cambria" w:eastAsia="Cambria" w:hAnsi="Cambria"/>
          <w:b/>
          <w:bCs/>
          <w:color w:val="0E2A47"/>
          <w:sz w:val="32"/>
          <w:szCs w:val="32"/>
        </w:rPr>
        <w:t xml:space="preserve">11. Traction, metrics and financials</w:t>
      </w:r>
    </w:p>
    <w:p>
      <w:pPr>
        <w:spacing w:after="140" w:before="0" w:line="264"/>
      </w:pPr>
      <w:r>
        <w:rPr>
          <w:rFonts w:ascii="Calibri" w:cs="Calibri" w:eastAsia="Calibri" w:hAnsi="Calibri"/>
          <w:b w:val="false"/>
          <w:bCs w:val="false"/>
          <w:i w:val="false"/>
          <w:iCs w:val="false"/>
          <w:color w:val="1B232E"/>
          <w:sz w:val="21"/>
          <w:szCs w:val="21"/>
        </w:rPr>
        <w:t xml:space="preserve">Orbitt's $1M pre-seed buys roughly 12 to 18 months of runway against milestones it has not yet hit. The snapshot below and the scorecard that follows summarize where the company stands today. Any return scenarios are illustrative at this stage.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9D4DD" w:sz="1"/>
              <w:left w:val="single" w:color="C9D4DD" w:sz="1"/>
              <w:bottom w:val="single" w:color="C9D4DD" w:sz="1"/>
              <w:right w:val="single" w:color="C9D4DD" w:sz="1"/>
            </w:tcBorders>
            <w:shd w:fill="0E2A47" w:color="auto" w:val="clear"/>
            <w:tcMar>
              <w:top w:type="dxa" w:w="70"/>
              <w:left w:type="dxa" w:w="110"/>
              <w:bottom w:type="dxa" w:w="70"/>
              <w:right w:type="dxa" w:w="110"/>
            </w:tcMar>
            <w:vAlign w:val="center"/>
          </w:tcPr>
          <w:p>
            <w:pPr>
              <w:spacing w:after="0" w:line="248"/>
            </w:pPr>
            <w:r>
              <w:rPr>
                <w:rFonts w:ascii="Calibri" w:cs="Calibri" w:eastAsia="Calibri" w:hAnsi="Calibri"/>
                <w:b/>
                <w:bCs/>
                <w:i w:val="false"/>
                <w:iCs w:val="false"/>
                <w:color w:val="FFFFFF"/>
                <w:sz w:val="19"/>
                <w:szCs w:val="19"/>
              </w:rPr>
              <w:t xml:space="preserve">Pre-seed raised</w:t>
            </w:r>
          </w:p>
        </w:tc>
        <w:tc>
          <w:tcPr>
            <w:tcW w:type="dxa" w:w="2340"/>
            <w:tcBorders>
              <w:top w:val="single" w:color="C9D4DD" w:sz="1"/>
              <w:left w:val="single" w:color="C9D4DD" w:sz="1"/>
              <w:bottom w:val="single" w:color="C9D4DD" w:sz="1"/>
              <w:right w:val="single" w:color="C9D4DD" w:sz="1"/>
            </w:tcBorders>
            <w:shd w:fill="0E2A47" w:color="auto" w:val="clear"/>
            <w:tcMar>
              <w:top w:type="dxa" w:w="70"/>
              <w:left w:type="dxa" w:w="110"/>
              <w:bottom w:type="dxa" w:w="70"/>
              <w:right w:type="dxa" w:w="110"/>
            </w:tcMar>
            <w:vAlign w:val="center"/>
          </w:tcPr>
          <w:p>
            <w:pPr>
              <w:spacing w:after="0" w:line="248"/>
            </w:pPr>
            <w:r>
              <w:rPr>
                <w:rFonts w:ascii="Calibri" w:cs="Calibri" w:eastAsia="Calibri" w:hAnsi="Calibri"/>
                <w:b/>
                <w:bCs/>
                <w:i w:val="false"/>
                <w:iCs w:val="false"/>
                <w:color w:val="FFFFFF"/>
                <w:sz w:val="19"/>
                <w:szCs w:val="19"/>
              </w:rPr>
              <w:t xml:space="preserve">Founder ownership</w:t>
            </w:r>
          </w:p>
        </w:tc>
        <w:tc>
          <w:tcPr>
            <w:tcW w:type="dxa" w:w="2340"/>
            <w:tcBorders>
              <w:top w:val="single" w:color="C9D4DD" w:sz="1"/>
              <w:left w:val="single" w:color="C9D4DD" w:sz="1"/>
              <w:bottom w:val="single" w:color="C9D4DD" w:sz="1"/>
              <w:right w:val="single" w:color="C9D4DD" w:sz="1"/>
            </w:tcBorders>
            <w:shd w:fill="0E2A47" w:color="auto" w:val="clear"/>
            <w:tcMar>
              <w:top w:type="dxa" w:w="70"/>
              <w:left w:type="dxa" w:w="110"/>
              <w:bottom w:type="dxa" w:w="70"/>
              <w:right w:type="dxa" w:w="110"/>
            </w:tcMar>
            <w:vAlign w:val="center"/>
          </w:tcPr>
          <w:p>
            <w:pPr>
              <w:spacing w:after="0" w:line="248"/>
            </w:pPr>
            <w:r>
              <w:rPr>
                <w:rFonts w:ascii="Calibri" w:cs="Calibri" w:eastAsia="Calibri" w:hAnsi="Calibri"/>
                <w:b/>
                <w:bCs/>
                <w:i w:val="false"/>
                <w:iCs w:val="false"/>
                <w:color w:val="FFFFFF"/>
                <w:sz w:val="19"/>
                <w:szCs w:val="19"/>
              </w:rPr>
              <w:t xml:space="preserve">Investors</w:t>
            </w:r>
          </w:p>
        </w:tc>
        <w:tc>
          <w:tcPr>
            <w:tcW w:type="dxa" w:w="2340"/>
            <w:tcBorders>
              <w:top w:val="single" w:color="C9D4DD" w:sz="1"/>
              <w:left w:val="single" w:color="C9D4DD" w:sz="1"/>
              <w:bottom w:val="single" w:color="C9D4DD" w:sz="1"/>
              <w:right w:val="single" w:color="C9D4DD" w:sz="1"/>
            </w:tcBorders>
            <w:shd w:fill="0E2A47" w:color="auto" w:val="clear"/>
            <w:tcMar>
              <w:top w:type="dxa" w:w="70"/>
              <w:left w:type="dxa" w:w="110"/>
              <w:bottom w:type="dxa" w:w="70"/>
              <w:right w:type="dxa" w:w="110"/>
            </w:tcMar>
            <w:vAlign w:val="center"/>
          </w:tcPr>
          <w:p>
            <w:pPr>
              <w:spacing w:after="0" w:line="248"/>
            </w:pPr>
            <w:r>
              <w:rPr>
                <w:rFonts w:ascii="Calibri" w:cs="Calibri" w:eastAsia="Calibri" w:hAnsi="Calibri"/>
                <w:b/>
                <w:bCs/>
                <w:i w:val="false"/>
                <w:iCs w:val="false"/>
                <w:color w:val="FFFFFF"/>
                <w:sz w:val="19"/>
                <w:szCs w:val="19"/>
              </w:rPr>
              <w:t xml:space="preserve">Cash runway</w:t>
            </w:r>
          </w:p>
        </w:tc>
      </w:tr>
      <w:tr>
        <w:tc>
          <w:tcPr>
            <w:tcW w:type="dxa" w:w="234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jc w:val="center"/>
            </w:pPr>
            <w:r>
              <w:rPr>
                <w:rFonts w:ascii="Calibri" w:cs="Calibri" w:eastAsia="Calibri" w:hAnsi="Calibri"/>
                <w:b/>
                <w:bCs/>
                <w:i w:val="false"/>
                <w:iCs w:val="false"/>
                <w:color w:val="0E7C87"/>
                <w:sz w:val="22"/>
                <w:szCs w:val="22"/>
              </w:rPr>
              <w:t xml:space="preserve">$1M</w:t>
            </w:r>
          </w:p>
        </w:tc>
        <w:tc>
          <w:tcPr>
            <w:tcW w:type="dxa" w:w="234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jc w:val="center"/>
            </w:pPr>
            <w:r>
              <w:rPr>
                <w:rFonts w:ascii="Calibri" w:cs="Calibri" w:eastAsia="Calibri" w:hAnsi="Calibri"/>
                <w:b/>
                <w:bCs/>
                <w:i w:val="false"/>
                <w:iCs w:val="false"/>
                <w:color w:val="0E7C87"/>
                <w:sz w:val="22"/>
                <w:szCs w:val="22"/>
              </w:rPr>
              <w:t xml:space="preserve">~70%</w:t>
            </w:r>
          </w:p>
        </w:tc>
        <w:tc>
          <w:tcPr>
            <w:tcW w:type="dxa" w:w="234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jc w:val="center"/>
            </w:pPr>
            <w:r>
              <w:rPr>
                <w:rFonts w:ascii="Calibri" w:cs="Calibri" w:eastAsia="Calibri" w:hAnsi="Calibri"/>
                <w:b/>
                <w:bCs/>
                <w:i w:val="false"/>
                <w:iCs w:val="false"/>
                <w:color w:val="0E2A47"/>
                <w:sz w:val="22"/>
                <w:szCs w:val="22"/>
              </w:rPr>
              <w:t xml:space="preserve">6</w:t>
            </w:r>
          </w:p>
        </w:tc>
        <w:tc>
          <w:tcPr>
            <w:tcW w:type="dxa" w:w="234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jc w:val="center"/>
            </w:pPr>
            <w:r>
              <w:rPr>
                <w:rFonts w:ascii="Calibri" w:cs="Calibri" w:eastAsia="Calibri" w:hAnsi="Calibri"/>
                <w:b/>
                <w:bCs/>
                <w:i w:val="false"/>
                <w:iCs w:val="false"/>
                <w:color w:val="0E2A47"/>
                <w:sz w:val="22"/>
                <w:szCs w:val="22"/>
              </w:rPr>
              <w:t xml:space="preserve">12 to 18 months</w:t>
            </w:r>
          </w:p>
        </w:tc>
      </w:tr>
    </w:tbl>
    <w:p>
      <w:pPr>
        <w:spacing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4360"/>
        <w:gridCol w:w="1900"/>
      </w:tblGrid>
      <w:tr>
        <w:trPr>
          <w:tblHeader/>
        </w:trPr>
        <w:tc>
          <w:tcPr>
            <w:tcW w:type="dxa" w:w="3100"/>
            <w:tcBorders>
              <w:top w:val="single" w:color="C9D4DD" w:sz="1"/>
              <w:left w:val="single" w:color="C9D4DD" w:sz="1"/>
              <w:bottom w:val="single" w:color="C9D4DD" w:sz="1"/>
              <w:right w:val="single" w:color="C9D4DD" w:sz="1"/>
            </w:tcBorders>
            <w:shd w:fill="0E2A47" w:color="auto" w:val="clear"/>
            <w:tcMar>
              <w:top w:type="dxa" w:w="70"/>
              <w:left w:type="dxa" w:w="110"/>
              <w:bottom w:type="dxa" w:w="70"/>
              <w:right w:type="dxa" w:w="110"/>
            </w:tcMar>
            <w:vAlign w:val="center"/>
          </w:tcPr>
          <w:p>
            <w:pPr>
              <w:spacing w:after="0" w:line="248"/>
            </w:pPr>
            <w:r>
              <w:rPr>
                <w:rFonts w:ascii="Calibri" w:cs="Calibri" w:eastAsia="Calibri" w:hAnsi="Calibri"/>
                <w:b/>
                <w:bCs/>
                <w:i w:val="false"/>
                <w:iCs w:val="false"/>
                <w:color w:val="FFFFFF"/>
                <w:sz w:val="19"/>
                <w:szCs w:val="19"/>
              </w:rPr>
              <w:t xml:space="preserve">KPI a VC tracks at this stage</w:t>
            </w:r>
          </w:p>
        </w:tc>
        <w:tc>
          <w:tcPr>
            <w:tcW w:type="dxa" w:w="4360"/>
            <w:tcBorders>
              <w:top w:val="single" w:color="C9D4DD" w:sz="1"/>
              <w:left w:val="single" w:color="C9D4DD" w:sz="1"/>
              <w:bottom w:val="single" w:color="C9D4DD" w:sz="1"/>
              <w:right w:val="single" w:color="C9D4DD" w:sz="1"/>
            </w:tcBorders>
            <w:shd w:fill="0E2A47" w:color="auto" w:val="clear"/>
            <w:tcMar>
              <w:top w:type="dxa" w:w="70"/>
              <w:left w:type="dxa" w:w="110"/>
              <w:bottom w:type="dxa" w:w="70"/>
              <w:right w:type="dxa" w:w="110"/>
            </w:tcMar>
            <w:vAlign w:val="center"/>
          </w:tcPr>
          <w:p>
            <w:pPr>
              <w:spacing w:after="0" w:line="248"/>
            </w:pPr>
            <w:r>
              <w:rPr>
                <w:rFonts w:ascii="Calibri" w:cs="Calibri" w:eastAsia="Calibri" w:hAnsi="Calibri"/>
                <w:b/>
                <w:bCs/>
                <w:i w:val="false"/>
                <w:iCs w:val="false"/>
                <w:color w:val="FFFFFF"/>
                <w:sz w:val="19"/>
                <w:szCs w:val="19"/>
              </w:rPr>
              <w:t xml:space="preserve">Current status</w:t>
            </w:r>
          </w:p>
        </w:tc>
        <w:tc>
          <w:tcPr>
            <w:tcW w:type="dxa" w:w="1900"/>
            <w:tcBorders>
              <w:top w:val="single" w:color="C9D4DD" w:sz="1"/>
              <w:left w:val="single" w:color="C9D4DD" w:sz="1"/>
              <w:bottom w:val="single" w:color="C9D4DD" w:sz="1"/>
              <w:right w:val="single" w:color="C9D4DD" w:sz="1"/>
            </w:tcBorders>
            <w:shd w:fill="0E2A47" w:color="auto" w:val="clear"/>
            <w:tcMar>
              <w:top w:type="dxa" w:w="70"/>
              <w:left w:type="dxa" w:w="110"/>
              <w:bottom w:type="dxa" w:w="70"/>
              <w:right w:type="dxa" w:w="110"/>
            </w:tcMar>
            <w:vAlign w:val="center"/>
          </w:tcPr>
          <w:p>
            <w:pPr>
              <w:spacing w:after="0" w:line="248"/>
            </w:pPr>
            <w:r>
              <w:rPr>
                <w:rFonts w:ascii="Calibri" w:cs="Calibri" w:eastAsia="Calibri" w:hAnsi="Calibri"/>
                <w:b/>
                <w:bCs/>
                <w:i w:val="false"/>
                <w:iCs w:val="false"/>
                <w:color w:val="FFFFFF"/>
                <w:sz w:val="19"/>
                <w:szCs w:val="19"/>
              </w:rPr>
              <w:t xml:space="preserve">Read</w:t>
            </w:r>
          </w:p>
        </w:tc>
      </w:tr>
      <w:tr>
        <w:tc>
          <w:tcPr>
            <w:tcW w:type="dxa" w:w="310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Technical milestone (TRL)</w:t>
            </w:r>
          </w:p>
        </w:tc>
        <w:tc>
          <w:tcPr>
            <w:tcW w:type="dxa" w:w="436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Cathode tested in a vacuum; integrated ABEP pending</w:t>
            </w:r>
          </w:p>
        </w:tc>
        <w:tc>
          <w:tcPr>
            <w:tcW w:type="dxa" w:w="190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Early</w:t>
            </w:r>
          </w:p>
        </w:tc>
      </w:tr>
      <w:tr>
        <w:tc>
          <w:tcPr>
            <w:tcW w:type="dxa" w:w="310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In-orbit demonstration</w:t>
            </w:r>
          </w:p>
        </w:tc>
        <w:tc>
          <w:tcPr>
            <w:tcW w:type="dxa" w:w="436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PSLV-POEM demo targeted; no slot or authorization yet</w:t>
            </w:r>
          </w:p>
        </w:tc>
        <w:tc>
          <w:tcPr>
            <w:tcW w:type="dxa" w:w="190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Pending</w:t>
            </w:r>
          </w:p>
        </w:tc>
      </w:tr>
      <w:tr>
        <w:tc>
          <w:tcPr>
            <w:tcW w:type="dxa" w:w="310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Non-dilutive capital</w:t>
            </w:r>
          </w:p>
        </w:tc>
        <w:tc>
          <w:tcPr>
            <w:tcW w:type="dxa" w:w="436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IN-SPACe facility talks; no grant secured</w:t>
            </w:r>
          </w:p>
        </w:tc>
        <w:tc>
          <w:tcPr>
            <w:tcW w:type="dxa" w:w="190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None yet</w:t>
            </w:r>
          </w:p>
        </w:tc>
      </w:tr>
      <w:tr>
        <w:tc>
          <w:tcPr>
            <w:tcW w:type="dxa" w:w="310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Commercial pipeline</w:t>
            </w:r>
          </w:p>
        </w:tc>
        <w:tc>
          <w:tcPr>
            <w:tcW w:type="dxa" w:w="436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Early talks (for example TATA Advanced); no binding LOI</w:t>
            </w:r>
          </w:p>
        </w:tc>
        <w:tc>
          <w:tcPr>
            <w:tcW w:type="dxa" w:w="190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Nascent</w:t>
            </w:r>
          </w:p>
        </w:tc>
      </w:tr>
      <w:tr>
        <w:tc>
          <w:tcPr>
            <w:tcW w:type="dxa" w:w="310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Team build-out</w:t>
            </w:r>
          </w:p>
        </w:tc>
        <w:tc>
          <w:tcPr>
            <w:tcW w:type="dxa" w:w="436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Hiring 8 to 10 core engineers from the pre-seed</w:t>
            </w:r>
          </w:p>
        </w:tc>
        <w:tc>
          <w:tcPr>
            <w:tcW w:type="dxa" w:w="190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In progress</w:t>
            </w:r>
          </w:p>
        </w:tc>
      </w:tr>
    </w:tbl>
    <w:p>
      <w:pPr>
        <w:spacing w:after="50"/>
      </w:pPr>
    </w:p>
    <w:p>
      <w:pPr>
        <w:pStyle w:val="Heading1"/>
        <w:pBdr>
          <w:bottom w:val="single" w:color="17B0BD" w:sz="6" w:space="4"/>
        </w:pBdr>
        <w:spacing w:after="160" w:before="320"/>
      </w:pPr>
      <w:r>
        <w:rPr>
          <w:rFonts w:ascii="Cambria" w:cs="Cambria" w:eastAsia="Cambria" w:hAnsi="Cambria"/>
          <w:b/>
          <w:bCs/>
          <w:color w:val="0E2A47"/>
          <w:sz w:val="32"/>
          <w:szCs w:val="32"/>
        </w:rPr>
        <w:t xml:space="preserve">12. Risk assessment</w:t>
      </w:r>
    </w:p>
    <w:p>
      <w:pPr>
        <w:spacing w:after="140" w:before="0" w:line="264"/>
      </w:pPr>
      <w:r>
        <w:rPr>
          <w:rFonts w:ascii="Calibri" w:cs="Calibri" w:eastAsia="Calibri" w:hAnsi="Calibri"/>
          <w:b w:val="false"/>
          <w:bCs w:val="false"/>
          <w:i w:val="false"/>
          <w:iCs w:val="false"/>
          <w:color w:val="1B232E"/>
          <w:sz w:val="21"/>
          <w:szCs w:val="21"/>
        </w:rPr>
        <w:t xml:space="preserve">Technical, competitive and financing risks are all high, and they concentrate on the same point: unproven propulsion. The binding risk is that fuel-free propulsion has not been demonstrated commercially anywhere, and a better-funded domestic rival could reach the same milestone first.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60"/>
        <w:gridCol w:w="3700"/>
      </w:tblGrid>
      <w:tr>
        <w:trPr>
          <w:tblHeader/>
        </w:trPr>
        <w:tc>
          <w:tcPr>
            <w:tcW w:type="dxa" w:w="1900"/>
            <w:tcBorders>
              <w:top w:val="single" w:color="C9D4DD" w:sz="1"/>
              <w:left w:val="single" w:color="C9D4DD" w:sz="1"/>
              <w:bottom w:val="single" w:color="C9D4DD" w:sz="1"/>
              <w:right w:val="single" w:color="C9D4DD" w:sz="1"/>
            </w:tcBorders>
            <w:shd w:fill="0E2A47" w:color="auto" w:val="clear"/>
            <w:tcMar>
              <w:top w:type="dxa" w:w="70"/>
              <w:left w:type="dxa" w:w="110"/>
              <w:bottom w:type="dxa" w:w="70"/>
              <w:right w:type="dxa" w:w="110"/>
            </w:tcMar>
            <w:vAlign w:val="center"/>
          </w:tcPr>
          <w:p>
            <w:pPr>
              <w:spacing w:after="0" w:line="248"/>
            </w:pPr>
            <w:r>
              <w:rPr>
                <w:rFonts w:ascii="Calibri" w:cs="Calibri" w:eastAsia="Calibri" w:hAnsi="Calibri"/>
                <w:b/>
                <w:bCs/>
                <w:i w:val="false"/>
                <w:iCs w:val="false"/>
                <w:color w:val="FFFFFF"/>
                <w:sz w:val="19"/>
                <w:szCs w:val="19"/>
              </w:rPr>
              <w:t xml:space="preserve">Risk area</w:t>
            </w:r>
          </w:p>
        </w:tc>
        <w:tc>
          <w:tcPr>
            <w:tcW w:type="dxa" w:w="3760"/>
            <w:tcBorders>
              <w:top w:val="single" w:color="C9D4DD" w:sz="1"/>
              <w:left w:val="single" w:color="C9D4DD" w:sz="1"/>
              <w:bottom w:val="single" w:color="C9D4DD" w:sz="1"/>
              <w:right w:val="single" w:color="C9D4DD" w:sz="1"/>
            </w:tcBorders>
            <w:shd w:fill="0E2A47" w:color="auto" w:val="clear"/>
            <w:tcMar>
              <w:top w:type="dxa" w:w="70"/>
              <w:left w:type="dxa" w:w="110"/>
              <w:bottom w:type="dxa" w:w="70"/>
              <w:right w:type="dxa" w:w="110"/>
            </w:tcMar>
            <w:vAlign w:val="center"/>
          </w:tcPr>
          <w:p>
            <w:pPr>
              <w:spacing w:after="0" w:line="248"/>
            </w:pPr>
            <w:r>
              <w:rPr>
                <w:rFonts w:ascii="Calibri" w:cs="Calibri" w:eastAsia="Calibri" w:hAnsi="Calibri"/>
                <w:b/>
                <w:bCs/>
                <w:i w:val="false"/>
                <w:iCs w:val="false"/>
                <w:color w:val="FFFFFF"/>
                <w:sz w:val="19"/>
                <w:szCs w:val="19"/>
              </w:rPr>
              <w:t xml:space="preserve">Key concern</w:t>
            </w:r>
          </w:p>
        </w:tc>
        <w:tc>
          <w:tcPr>
            <w:tcW w:type="dxa" w:w="3700"/>
            <w:tcBorders>
              <w:top w:val="single" w:color="C9D4DD" w:sz="1"/>
              <w:left w:val="single" w:color="C9D4DD" w:sz="1"/>
              <w:bottom w:val="single" w:color="C9D4DD" w:sz="1"/>
              <w:right w:val="single" w:color="C9D4DD" w:sz="1"/>
            </w:tcBorders>
            <w:shd w:fill="0E2A47" w:color="auto" w:val="clear"/>
            <w:tcMar>
              <w:top w:type="dxa" w:w="70"/>
              <w:left w:type="dxa" w:w="110"/>
              <w:bottom w:type="dxa" w:w="70"/>
              <w:right w:type="dxa" w:w="110"/>
            </w:tcMar>
            <w:vAlign w:val="center"/>
          </w:tcPr>
          <w:p>
            <w:pPr>
              <w:spacing w:after="0" w:line="248"/>
            </w:pPr>
            <w:r>
              <w:rPr>
                <w:rFonts w:ascii="Calibri" w:cs="Calibri" w:eastAsia="Calibri" w:hAnsi="Calibri"/>
                <w:b/>
                <w:bCs/>
                <w:i w:val="false"/>
                <w:iCs w:val="false"/>
                <w:color w:val="FFFFFF"/>
                <w:sz w:val="19"/>
                <w:szCs w:val="19"/>
              </w:rPr>
              <w:t xml:space="preserve">Mitigant and diligence</w:t>
            </w:r>
          </w:p>
        </w:tc>
      </w:tr>
      <w:tr>
        <w:tc>
          <w:tcPr>
            <w:tcW w:type="dxa" w:w="190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Technical</w:t>
            </w:r>
          </w:p>
        </w:tc>
        <w:tc>
          <w:tcPr>
            <w:tcW w:type="dxa" w:w="376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Air-breathing EP unproven at scale; drag, atomic oxygen and short life</w:t>
            </w:r>
          </w:p>
        </w:tc>
        <w:tc>
          <w:tcPr>
            <w:tcW w:type="dxa" w:w="370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Independent design review; stage-gate from ground test to orbit</w:t>
            </w:r>
          </w:p>
        </w:tc>
      </w:tr>
      <w:tr>
        <w:tc>
          <w:tcPr>
            <w:tcW w:type="dxa" w:w="190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Competitive</w:t>
            </w:r>
          </w:p>
        </w:tc>
        <w:tc>
          <w:tcPr>
            <w:tcW w:type="dxa" w:w="376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Better-funded global primes and a flight-proven Bellatrix</w:t>
            </w:r>
          </w:p>
        </w:tc>
        <w:tc>
          <w:tcPr>
            <w:tcW w:type="dxa" w:w="370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Require a differentiated edge, not parity, before committing</w:t>
            </w:r>
          </w:p>
        </w:tc>
      </w:tr>
      <w:tr>
        <w:tc>
          <w:tcPr>
            <w:tcW w:type="dxa" w:w="190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Market</w:t>
            </w:r>
          </w:p>
        </w:tc>
        <w:tc>
          <w:tcPr>
            <w:tcW w:type="dxa" w:w="376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EO data is small, about 75% government, and commoditizing</w:t>
            </w:r>
          </w:p>
        </w:tc>
        <w:tc>
          <w:tcPr>
            <w:tcW w:type="dxa" w:w="370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Favor sovereign demand, platform and propulsion over pure imagery</w:t>
            </w:r>
          </w:p>
        </w:tc>
      </w:tr>
      <w:tr>
        <w:tc>
          <w:tcPr>
            <w:tcW w:type="dxa" w:w="190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Financing</w:t>
            </w:r>
          </w:p>
        </w:tc>
        <w:tc>
          <w:tcPr>
            <w:tcW w:type="dxa" w:w="376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Capital-intensive; $1M is sub-scale; long time to revenue</w:t>
            </w:r>
          </w:p>
        </w:tc>
        <w:tc>
          <w:tcPr>
            <w:tcW w:type="dxa" w:w="370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Confirm non-dilutive runway; milestone-based tranches</w:t>
            </w:r>
          </w:p>
        </w:tc>
      </w:tr>
      <w:tr>
        <w:tc>
          <w:tcPr>
            <w:tcW w:type="dxa" w:w="190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Regulatory</w:t>
            </w:r>
          </w:p>
        </w:tc>
        <w:tc>
          <w:tcPr>
            <w:tcW w:type="dxa" w:w="376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IN-SPACe authorization, POEM slot, spectrum and export rules</w:t>
            </w:r>
          </w:p>
        </w:tc>
        <w:tc>
          <w:tcPr>
            <w:tcW w:type="dxa" w:w="370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Verify authorization status before any check</w:t>
            </w:r>
          </w:p>
        </w:tc>
      </w:tr>
      <w:tr>
        <w:tc>
          <w:tcPr>
            <w:tcW w:type="dxa" w:w="190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Key-person</w:t>
            </w:r>
          </w:p>
        </w:tc>
        <w:tc>
          <w:tcPr>
            <w:tcW w:type="dxa" w:w="376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Two-founder, sub-15 team; reliance on ISRO expertise</w:t>
            </w:r>
          </w:p>
        </w:tc>
        <w:tc>
          <w:tcPr>
            <w:tcW w:type="dxa" w:w="370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Founder vesting; key-hire plan; reference checks</w:t>
            </w:r>
          </w:p>
        </w:tc>
      </w:tr>
    </w:tbl>
    <w:p>
      <w:pPr>
        <w:spacing w:after="50"/>
      </w:pPr>
    </w:p>
    <w:p>
      <w:pPr>
        <w:pStyle w:val="Heading1"/>
        <w:pBdr>
          <w:bottom w:val="single" w:color="17B0BD" w:sz="6" w:space="4"/>
        </w:pBdr>
        <w:spacing w:after="160" w:before="320"/>
      </w:pPr>
      <w:r>
        <w:rPr>
          <w:rFonts w:ascii="Cambria" w:cs="Cambria" w:eastAsia="Cambria" w:hAnsi="Cambria"/>
          <w:b/>
          <w:bCs/>
          <w:color w:val="0E2A47"/>
          <w:sz w:val="32"/>
          <w:szCs w:val="32"/>
        </w:rPr>
        <w:t xml:space="preserve">13. Recommendation and decision gates</w:t>
      </w:r>
    </w:p>
    <w:p>
      <w:pPr>
        <w:spacing w:after="140" w:before="0" w:line="264"/>
      </w:pPr>
      <w:r>
        <w:rPr>
          <w:rFonts w:ascii="Calibri" w:cs="Calibri" w:eastAsia="Calibri" w:hAnsi="Calibri"/>
          <w:b w:val="false"/>
          <w:bCs w:val="false"/>
          <w:i w:val="false"/>
          <w:iCs w:val="false"/>
          <w:color w:val="1B232E"/>
          <w:sz w:val="21"/>
          <w:szCs w:val="21"/>
        </w:rPr>
        <w:t xml:space="preserve">We recommend a </w:t>
      </w:r>
      <w:r>
        <w:rPr>
          <w:rFonts w:ascii="Calibri" w:cs="Calibri" w:eastAsia="Calibri" w:hAnsi="Calibri"/>
          <w:b/>
          <w:bCs/>
          <w:i w:val="false"/>
          <w:iCs w:val="false"/>
          <w:color w:val="1B232E"/>
          <w:sz w:val="21"/>
          <w:szCs w:val="21"/>
        </w:rPr>
        <w:t xml:space="preserve">watchlist hold</w:t>
      </w:r>
      <w:r>
        <w:rPr>
          <w:rFonts w:ascii="Calibri" w:cs="Calibri" w:eastAsia="Calibri" w:hAnsi="Calibri"/>
          <w:b w:val="false"/>
          <w:bCs w:val="false"/>
          <w:i w:val="false"/>
          <w:iCs w:val="false"/>
          <w:color w:val="1B232E"/>
          <w:sz w:val="21"/>
          <w:szCs w:val="21"/>
        </w:rPr>
        <w:t xml:space="preserve">. Pass on leading a priced round now, and hold on an active watchlist with a small optional ticket released only on demonstrated differentiation and the milestones below. Complete technical, IP (freedom-to-operate), regulatory and reference diligence before any commitment.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D4DD" w:sz="1"/>
              <w:left w:val="single" w:color="C9D4DD" w:sz="1"/>
              <w:bottom w:val="single" w:color="C9D4DD" w:sz="1"/>
              <w:right w:val="single" w:color="C9D4DD" w:sz="1"/>
            </w:tcBorders>
            <w:shd w:fill="0E2A47" w:color="auto" w:val="clear"/>
            <w:tcMar>
              <w:top w:type="dxa" w:w="70"/>
              <w:left w:type="dxa" w:w="110"/>
              <w:bottom w:type="dxa" w:w="70"/>
              <w:right w:type="dxa" w:w="110"/>
            </w:tcMar>
            <w:vAlign w:val="center"/>
          </w:tcPr>
          <w:p>
            <w:pPr>
              <w:spacing w:after="0" w:line="248"/>
            </w:pPr>
            <w:r>
              <w:rPr>
                <w:rFonts w:ascii="Calibri" w:cs="Calibri" w:eastAsia="Calibri" w:hAnsi="Calibri"/>
                <w:b/>
                <w:bCs/>
                <w:i w:val="false"/>
                <w:iCs w:val="false"/>
                <w:color w:val="FFFFFF"/>
                <w:sz w:val="19"/>
                <w:szCs w:val="19"/>
              </w:rPr>
              <w:t xml:space="preserve">Upgrade triggers (move to invest)</w:t>
            </w:r>
          </w:p>
        </w:tc>
        <w:tc>
          <w:tcPr>
            <w:tcW w:type="dxa" w:w="4680"/>
            <w:tcBorders>
              <w:top w:val="single" w:color="C9D4DD" w:sz="1"/>
              <w:left w:val="single" w:color="C9D4DD" w:sz="1"/>
              <w:bottom w:val="single" w:color="C9D4DD" w:sz="1"/>
              <w:right w:val="single" w:color="C9D4DD" w:sz="1"/>
            </w:tcBorders>
            <w:shd w:fill="0E2A47" w:color="auto" w:val="clear"/>
            <w:tcMar>
              <w:top w:type="dxa" w:w="70"/>
              <w:left w:type="dxa" w:w="110"/>
              <w:bottom w:type="dxa" w:w="70"/>
              <w:right w:type="dxa" w:w="110"/>
            </w:tcMar>
            <w:vAlign w:val="center"/>
          </w:tcPr>
          <w:p>
            <w:pPr>
              <w:spacing w:after="0" w:line="248"/>
            </w:pPr>
            <w:r>
              <w:rPr>
                <w:rFonts w:ascii="Calibri" w:cs="Calibri" w:eastAsia="Calibri" w:hAnsi="Calibri"/>
                <w:b/>
                <w:bCs/>
                <w:i w:val="false"/>
                <w:iCs w:val="false"/>
                <w:color w:val="FFFFFF"/>
                <w:sz w:val="19"/>
                <w:szCs w:val="19"/>
              </w:rPr>
              <w:t xml:space="preserve">Downgrade triggers (move to drop)</w:t>
            </w:r>
          </w:p>
        </w:tc>
      </w:tr>
      <w:tr>
        <w:tc>
          <w:tcPr>
            <w:tcW w:type="dxa" w:w="468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A differentiated air-breathing result (thrust-to-power or durability), not parity</w:t>
            </w:r>
          </w:p>
        </w:tc>
        <w:tc>
          <w:tcPr>
            <w:tcW w:type="dxa" w:w="468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Bellatrix or a prime reaches commercial air-breathing flight first</w:t>
            </w:r>
          </w:p>
        </w:tc>
      </w:tr>
      <w:tr>
        <w:tc>
          <w:tcPr>
            <w:tcW w:type="dxa" w:w="468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Integrated intake and thruster shown in a vacuum chamber</w:t>
            </w:r>
          </w:p>
        </w:tc>
        <w:tc>
          <w:tcPr>
            <w:tcW w:type="dxa" w:w="468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The POEM demonstration slips beyond 2027</w:t>
            </w:r>
          </w:p>
        </w:tc>
      </w:tr>
      <w:tr>
        <w:tc>
          <w:tcPr>
            <w:tcW w:type="dxa" w:w="468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IN-SPACe authorization and a confirmed PSLV-POEM slot</w:t>
            </w:r>
          </w:p>
        </w:tc>
        <w:tc>
          <w:tcPr>
            <w:tcW w:type="dxa" w:w="4680"/>
            <w:tcBorders>
              <w:top w:val="single" w:color="C9D4DD" w:sz="1"/>
              <w:left w:val="single" w:color="C9D4DD" w:sz="1"/>
              <w:bottom w:val="single" w:color="C9D4DD" w:sz="1"/>
              <w:right w:val="single" w:color="C9D4DD" w:sz="1"/>
            </w:tcBorders>
            <w:shd w:fill="FFFFFF"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Inability to raise a seed extension or secure non-dilutive capital</w:t>
            </w:r>
          </w:p>
        </w:tc>
      </w:tr>
      <w:tr>
        <w:tc>
          <w:tcPr>
            <w:tcW w:type="dxa" w:w="468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A binding LOI or paid pilot from a sovereign or defense customer</w:t>
            </w:r>
          </w:p>
        </w:tc>
        <w:tc>
          <w:tcPr>
            <w:tcW w:type="dxa" w:w="4680"/>
            <w:tcBorders>
              <w:top w:val="single" w:color="C9D4DD" w:sz="1"/>
              <w:left w:val="single" w:color="C9D4DD" w:sz="1"/>
              <w:bottom w:val="single" w:color="C9D4DD" w:sz="1"/>
              <w:right w:val="single" w:color="C9D4DD" w:sz="1"/>
            </w:tcBorders>
            <w:shd w:fill="EEF4F7" w:color="auto" w:val="clear"/>
            <w:tcMar>
              <w:top w:type="dxa" w:w="60"/>
              <w:left w:type="dxa" w:w="110"/>
              <w:bottom w:type="dxa" w:w="60"/>
              <w:right w:type="dxa" w:w="110"/>
            </w:tcMar>
            <w:vAlign w:val="center"/>
          </w:tcPr>
          <w:p>
            <w:pPr>
              <w:spacing w:after="0" w:line="248"/>
            </w:pPr>
            <w:r>
              <w:rPr>
                <w:rFonts w:ascii="Calibri" w:cs="Calibri" w:eastAsia="Calibri" w:hAnsi="Calibri"/>
                <w:b w:val="false"/>
                <w:bCs w:val="false"/>
                <w:i w:val="false"/>
                <w:iCs w:val="false"/>
                <w:color w:val="1B232E"/>
                <w:sz w:val="19"/>
                <w:szCs w:val="19"/>
              </w:rPr>
              <w:t xml:space="preserve">Loss of either founder</w:t>
            </w:r>
          </w:p>
        </w:tc>
      </w:tr>
    </w:tbl>
    <w:p>
      <w:pPr>
        <w:spacing w:after="30"/>
      </w:pPr>
    </w:p>
    <w:p>
      <w:pPr>
        <w:pStyle w:val="Heading3"/>
        <w:spacing w:after="80" w:before="160"/>
      </w:pPr>
      <w:r>
        <w:rPr>
          <w:rFonts w:ascii="Calibri" w:cs="Calibri" w:eastAsia="Calibri" w:hAnsi="Calibri"/>
          <w:b/>
          <w:bCs/>
          <w:color w:val="0E7C87"/>
          <w:sz w:val="22"/>
          <w:szCs w:val="22"/>
        </w:rPr>
        <w:t xml:space="preserve">The four milestones that would release a ticket</w:t>
      </w:r>
    </w:p>
    <w:p>
      <w:pPr>
        <w:pStyle w:val="ListParagraph"/>
        <w:numPr>
          <w:ilvl w:val="0"/>
          <w:numId w:val="5"/>
        </w:numPr>
        <w:spacing w:after="80" w:line="260"/>
      </w:pPr>
      <w:r>
        <w:rPr>
          <w:rFonts w:ascii="Calibri" w:cs="Calibri" w:eastAsia="Calibri" w:hAnsi="Calibri"/>
          <w:b w:val="false"/>
          <w:bCs w:val="false"/>
          <w:i w:val="false"/>
          <w:iCs w:val="false"/>
          <w:color w:val="1B232E"/>
          <w:sz w:val="21"/>
          <w:szCs w:val="21"/>
        </w:rPr>
        <w:t xml:space="preserve">A differentiated air-breathing result, not parity with rivals</w:t>
      </w:r>
    </w:p>
    <w:p>
      <w:pPr>
        <w:pStyle w:val="ListParagraph"/>
        <w:numPr>
          <w:ilvl w:val="0"/>
          <w:numId w:val="5"/>
        </w:numPr>
        <w:spacing w:after="80" w:line="260"/>
      </w:pPr>
      <w:r>
        <w:rPr>
          <w:rFonts w:ascii="Calibri" w:cs="Calibri" w:eastAsia="Calibri" w:hAnsi="Calibri"/>
          <w:b w:val="false"/>
          <w:bCs w:val="false"/>
          <w:i w:val="false"/>
          <w:iCs w:val="false"/>
          <w:color w:val="1B232E"/>
          <w:sz w:val="21"/>
          <w:szCs w:val="21"/>
        </w:rPr>
        <w:t xml:space="preserve">An integrated intake and thruster demonstrated in a vacuum chamber</w:t>
      </w:r>
    </w:p>
    <w:p>
      <w:pPr>
        <w:pStyle w:val="ListParagraph"/>
        <w:numPr>
          <w:ilvl w:val="0"/>
          <w:numId w:val="5"/>
        </w:numPr>
        <w:spacing w:after="80" w:line="260"/>
      </w:pPr>
      <w:r>
        <w:rPr>
          <w:rFonts w:ascii="Calibri" w:cs="Calibri" w:eastAsia="Calibri" w:hAnsi="Calibri"/>
          <w:b w:val="false"/>
          <w:bCs w:val="false"/>
          <w:i w:val="false"/>
          <w:iCs w:val="false"/>
          <w:color w:val="1B232E"/>
          <w:sz w:val="21"/>
          <w:szCs w:val="21"/>
        </w:rPr>
        <w:t xml:space="preserve">IN-SPACe authorization plus a confirmed PSLV-POEM slot</w:t>
      </w:r>
    </w:p>
    <w:p>
      <w:pPr>
        <w:pStyle w:val="ListParagraph"/>
        <w:numPr>
          <w:ilvl w:val="0"/>
          <w:numId w:val="5"/>
        </w:numPr>
        <w:spacing w:after="80" w:line="260"/>
      </w:pPr>
      <w:r>
        <w:rPr>
          <w:rFonts w:ascii="Calibri" w:cs="Calibri" w:eastAsia="Calibri" w:hAnsi="Calibri"/>
          <w:b w:val="false"/>
          <w:bCs w:val="false"/>
          <w:i w:val="false"/>
          <w:iCs w:val="false"/>
          <w:color w:val="1B232E"/>
          <w:sz w:val="21"/>
          <w:szCs w:val="21"/>
        </w:rPr>
        <w:t xml:space="preserve">A binding LOI or paid pilot from a sovereign or defense customer</w:t>
      </w:r>
    </w:p>
    <w:p>
      <w:pPr>
        <w:spacing w:after="50"/>
      </w:pPr>
    </w:p>
    <w:p>
      <w:pPr>
        <w:pStyle w:val="Heading1"/>
        <w:pBdr>
          <w:bottom w:val="single" w:color="17B0BD" w:sz="6" w:space="4"/>
        </w:pBdr>
        <w:spacing w:after="160" w:before="320"/>
      </w:pPr>
      <w:r>
        <w:rPr>
          <w:rFonts w:ascii="Cambria" w:cs="Cambria" w:eastAsia="Cambria" w:hAnsi="Cambria"/>
          <w:b/>
          <w:bCs/>
          <w:color w:val="0E2A47"/>
          <w:sz w:val="32"/>
          <w:szCs w:val="32"/>
        </w:rPr>
        <w:t xml:space="preserve">14. Sources</w:t>
      </w:r>
    </w:p>
    <w:p>
      <w:pPr>
        <w:spacing w:after="140" w:before="0" w:line="264"/>
      </w:pPr>
      <w:r>
        <w:rPr>
          <w:rFonts w:ascii="Calibri" w:cs="Calibri" w:eastAsia="Calibri" w:hAnsi="Calibri"/>
          <w:b w:val="false"/>
          <w:bCs w:val="false"/>
          <w:i w:val="false"/>
          <w:iCs w:val="false"/>
          <w:color w:val="1B232E"/>
          <w:sz w:val="21"/>
          <w:szCs w:val="21"/>
        </w:rPr>
        <w:t xml:space="preserve">Sources include web search results and LLM-provided knowledge. Web Search rows include verified links; LLM Provided rows do not. Please review and independently verify critical figures before external use.</w:t>
      </w:r>
    </w:p>
    <w:p>
      <w:pPr>
        <w:spacing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80"/>
        <w:gridCol w:w="2700"/>
        <w:gridCol w:w="1280"/>
        <w:gridCol w:w="1700"/>
      </w:tblGrid>
      <w:tr>
        <w:trPr>
          <w:tblHeader/>
        </w:trPr>
        <w:tc>
          <w:tcPr>
            <w:tcW w:type="dxa" w:w="3680"/>
            <w:tcBorders>
              <w:top w:val="single" w:color="C9D4DD" w:sz="1"/>
              <w:left w:val="single" w:color="C9D4DD" w:sz="1"/>
              <w:bottom w:val="single" w:color="C9D4DD" w:sz="1"/>
              <w:right w:val="single" w:color="C9D4DD" w:sz="1"/>
            </w:tcBorders>
            <w:shd w:fill="0E2A47" w:color="auto" w:val="clear"/>
            <w:tcMar>
              <w:top w:type="dxa" w:w="70"/>
              <w:left w:type="dxa" w:w="110"/>
              <w:bottom w:type="dxa" w:w="70"/>
              <w:right w:type="dxa" w:w="110"/>
            </w:tcMar>
            <w:vAlign w:val="center"/>
          </w:tcPr>
          <w:p>
            <w:pPr>
              <w:spacing w:after="0" w:line="244"/>
            </w:pPr>
            <w:r>
              <w:rPr>
                <w:rFonts w:ascii="Calibri" w:cs="Calibri" w:eastAsia="Calibri" w:hAnsi="Calibri"/>
                <w:b/>
                <w:bCs/>
                <w:i w:val="false"/>
                <w:iCs w:val="false"/>
                <w:color w:val="FFFFFF"/>
                <w:sz w:val="19"/>
                <w:szCs w:val="19"/>
              </w:rPr>
              <w:t xml:space="preserve">Data point</w:t>
            </w:r>
          </w:p>
        </w:tc>
        <w:tc>
          <w:tcPr>
            <w:tcW w:type="dxa" w:w="2700"/>
            <w:tcBorders>
              <w:top w:val="single" w:color="C9D4DD" w:sz="1"/>
              <w:left w:val="single" w:color="C9D4DD" w:sz="1"/>
              <w:bottom w:val="single" w:color="C9D4DD" w:sz="1"/>
              <w:right w:val="single" w:color="C9D4DD" w:sz="1"/>
            </w:tcBorders>
            <w:shd w:fill="0E2A47" w:color="auto" w:val="clear"/>
            <w:tcMar>
              <w:top w:type="dxa" w:w="70"/>
              <w:left w:type="dxa" w:w="110"/>
              <w:bottom w:type="dxa" w:w="70"/>
              <w:right w:type="dxa" w:w="110"/>
            </w:tcMar>
            <w:vAlign w:val="center"/>
          </w:tcPr>
          <w:p>
            <w:pPr>
              <w:spacing w:after="0" w:line="244"/>
            </w:pPr>
            <w:r>
              <w:rPr>
                <w:rFonts w:ascii="Calibri" w:cs="Calibri" w:eastAsia="Calibri" w:hAnsi="Calibri"/>
                <w:b/>
                <w:bCs/>
                <w:i w:val="false"/>
                <w:iCs w:val="false"/>
                <w:color w:val="FFFFFF"/>
                <w:sz w:val="19"/>
                <w:szCs w:val="19"/>
              </w:rPr>
              <w:t xml:space="preserve">Source</w:t>
            </w:r>
          </w:p>
        </w:tc>
        <w:tc>
          <w:tcPr>
            <w:tcW w:type="dxa" w:w="1280"/>
            <w:tcBorders>
              <w:top w:val="single" w:color="C9D4DD" w:sz="1"/>
              <w:left w:val="single" w:color="C9D4DD" w:sz="1"/>
              <w:bottom w:val="single" w:color="C9D4DD" w:sz="1"/>
              <w:right w:val="single" w:color="C9D4DD" w:sz="1"/>
            </w:tcBorders>
            <w:shd w:fill="0E2A47" w:color="auto" w:val="clear"/>
            <w:tcMar>
              <w:top w:type="dxa" w:w="70"/>
              <w:left w:type="dxa" w:w="110"/>
              <w:bottom w:type="dxa" w:w="70"/>
              <w:right w:type="dxa" w:w="110"/>
            </w:tcMar>
            <w:vAlign w:val="center"/>
          </w:tcPr>
          <w:p>
            <w:pPr>
              <w:spacing w:after="0" w:line="244"/>
            </w:pPr>
            <w:r>
              <w:rPr>
                <w:rFonts w:ascii="Calibri" w:cs="Calibri" w:eastAsia="Calibri" w:hAnsi="Calibri"/>
                <w:b/>
                <w:bCs/>
                <w:i w:val="false"/>
                <w:iCs w:val="false"/>
                <w:color w:val="FFFFFF"/>
                <w:sz w:val="19"/>
                <w:szCs w:val="19"/>
              </w:rPr>
              <w:t xml:space="preserve">Category</w:t>
            </w:r>
          </w:p>
        </w:tc>
        <w:tc>
          <w:tcPr>
            <w:tcW w:type="dxa" w:w="1700"/>
            <w:tcBorders>
              <w:top w:val="single" w:color="C9D4DD" w:sz="1"/>
              <w:left w:val="single" w:color="C9D4DD" w:sz="1"/>
              <w:bottom w:val="single" w:color="C9D4DD" w:sz="1"/>
              <w:right w:val="single" w:color="C9D4DD" w:sz="1"/>
            </w:tcBorders>
            <w:shd w:fill="0E2A47" w:color="auto" w:val="clear"/>
            <w:tcMar>
              <w:top w:type="dxa" w:w="70"/>
              <w:left w:type="dxa" w:w="110"/>
              <w:bottom w:type="dxa" w:w="70"/>
              <w:right w:type="dxa" w:w="110"/>
            </w:tcMar>
            <w:vAlign w:val="center"/>
          </w:tcPr>
          <w:p>
            <w:pPr>
              <w:spacing w:after="0" w:line="244"/>
            </w:pPr>
            <w:r>
              <w:rPr>
                <w:rFonts w:ascii="Calibri" w:cs="Calibri" w:eastAsia="Calibri" w:hAnsi="Calibri"/>
                <w:b/>
                <w:bCs/>
                <w:i w:val="false"/>
                <w:iCs w:val="false"/>
                <w:color w:val="FFFFFF"/>
                <w:sz w:val="19"/>
                <w:szCs w:val="19"/>
              </w:rPr>
              <w:t xml:space="preserve">Link</w:t>
            </w:r>
          </w:p>
        </w:tc>
      </w:tr>
      <w:tr>
        <w:tc>
          <w:tcPr>
            <w:tcW w:type="dxa" w:w="3680"/>
            <w:tcBorders>
              <w:top w:val="single" w:color="C9D4DD" w:sz="1"/>
              <w:left w:val="single" w:color="C9D4DD" w:sz="1"/>
              <w:bottom w:val="single" w:color="C9D4DD" w:sz="1"/>
              <w:right w:val="single" w:color="C9D4DD" w:sz="1"/>
            </w:tcBorders>
            <w:shd w:fill="FFFFFF" w:color="auto" w:val="clear"/>
            <w:tcMar>
              <w:top w:type="dxa" w:w="55"/>
              <w:left w:type="dxa" w:w="100"/>
              <w:bottom w:type="dxa" w:w="55"/>
              <w:right w:type="dxa" w:w="100"/>
            </w:tcMar>
            <w:vAlign w:val="center"/>
          </w:tcPr>
          <w:p>
            <w:pPr>
              <w:spacing w:after="0" w:line="244"/>
            </w:pPr>
            <w:r>
              <w:rPr>
                <w:rFonts w:ascii="Calibri" w:cs="Calibri" w:eastAsia="Calibri" w:hAnsi="Calibri"/>
                <w:b w:val="false"/>
                <w:bCs w:val="false"/>
                <w:i w:val="false"/>
                <w:iCs w:val="false"/>
                <w:color w:val="1B232E"/>
                <w:sz w:val="18"/>
                <w:szCs w:val="18"/>
              </w:rPr>
              <w:t xml:space="preserve">Orbitt $1M pre-seed; ex-ISRO founders; ABEP; 200 kg bus</w:t>
            </w:r>
          </w:p>
        </w:tc>
        <w:tc>
          <w:tcPr>
            <w:tcW w:type="dxa" w:w="2700"/>
            <w:tcBorders>
              <w:top w:val="single" w:color="C9D4DD" w:sz="1"/>
              <w:left w:val="single" w:color="C9D4DD" w:sz="1"/>
              <w:bottom w:val="single" w:color="C9D4DD" w:sz="1"/>
              <w:right w:val="single" w:color="C9D4DD" w:sz="1"/>
            </w:tcBorders>
            <w:shd w:fill="FFFFFF" w:color="auto" w:val="clear"/>
            <w:tcMar>
              <w:top w:type="dxa" w:w="55"/>
              <w:left w:type="dxa" w:w="100"/>
              <w:bottom w:type="dxa" w:w="55"/>
              <w:right w:type="dxa" w:w="100"/>
            </w:tcMar>
            <w:vAlign w:val="center"/>
          </w:tcPr>
          <w:p>
            <w:pPr>
              <w:spacing w:after="0" w:line="244"/>
            </w:pPr>
            <w:r>
              <w:rPr>
                <w:rFonts w:ascii="Calibri" w:cs="Calibri" w:eastAsia="Calibri" w:hAnsi="Calibri"/>
                <w:b w:val="false"/>
                <w:bCs w:val="false"/>
                <w:i w:val="false"/>
                <w:iCs w:val="false"/>
                <w:color w:val="1B232E"/>
                <w:sz w:val="18"/>
                <w:szCs w:val="18"/>
              </w:rPr>
              <w:t xml:space="preserve">Indian Startup News (28 May 2025)</w:t>
            </w:r>
          </w:p>
        </w:tc>
        <w:tc>
          <w:tcPr>
            <w:tcW w:type="dxa" w:w="1280"/>
            <w:tcBorders>
              <w:top w:val="single" w:color="C9D4DD" w:sz="1"/>
              <w:left w:val="single" w:color="C9D4DD" w:sz="1"/>
              <w:bottom w:val="single" w:color="C9D4DD" w:sz="1"/>
              <w:right w:val="single" w:color="C9D4DD" w:sz="1"/>
            </w:tcBorders>
            <w:shd w:fill="FFFFFF" w:color="auto" w:val="clear"/>
            <w:tcMar>
              <w:top w:type="dxa" w:w="55"/>
              <w:left w:type="dxa" w:w="100"/>
              <w:bottom w:type="dxa" w:w="55"/>
              <w:right w:type="dxa" w:w="100"/>
            </w:tcMar>
            <w:vAlign w:val="center"/>
          </w:tcPr>
          <w:p>
            <w:pPr>
              <w:spacing w:after="0" w:line="244"/>
            </w:pPr>
            <w:r>
              <w:rPr>
                <w:rFonts w:ascii="Calibri" w:cs="Calibri" w:eastAsia="Calibri" w:hAnsi="Calibri"/>
                <w:b w:val="false"/>
                <w:bCs w:val="false"/>
                <w:i w:val="false"/>
                <w:iCs w:val="false"/>
                <w:color w:val="1B232E"/>
                <w:sz w:val="18"/>
                <w:szCs w:val="18"/>
              </w:rPr>
              <w:t xml:space="preserve">Web Search</w:t>
            </w:r>
          </w:p>
        </w:tc>
        <w:tc>
          <w:tcPr>
            <w:tcW w:type="dxa" w:w="1700"/>
            <w:tcBorders>
              <w:top w:val="single" w:color="C9D4DD" w:sz="1"/>
              <w:left w:val="single" w:color="C9D4DD" w:sz="1"/>
              <w:bottom w:val="single" w:color="C9D4DD" w:sz="1"/>
              <w:right w:val="single" w:color="C9D4DD" w:sz="1"/>
            </w:tcBorders>
            <w:shd w:fill="FFFFFF" w:color="auto" w:val="clear"/>
            <w:tcMar>
              <w:top w:type="dxa" w:w="55"/>
              <w:left w:type="dxa" w:w="100"/>
              <w:bottom w:type="dxa" w:w="55"/>
              <w:right w:type="dxa" w:w="100"/>
            </w:tcMar>
            <w:vAlign w:val="center"/>
          </w:tcPr>
          <w:p>
            <w:pPr>
              <w:spacing w:after="0" w:line="244"/>
            </w:pPr>
            <w:hyperlink w:history="1" r:id="rIdouow3cplw13wycnevosxi">
              <w:r>
                <w:rPr>
                  <w:rStyle w:val="Hyperlink"/>
                  <w:sz w:val="17"/>
                  <w:szCs w:val="17"/>
                </w:rPr>
                <w:t xml:space="preserve">indianstartupnews.com</w:t>
              </w:r>
            </w:hyperlink>
          </w:p>
        </w:tc>
      </w:tr>
      <w:tr>
        <w:tc>
          <w:tcPr>
            <w:tcW w:type="dxa" w:w="3680"/>
            <w:tcBorders>
              <w:top w:val="single" w:color="C9D4DD" w:sz="1"/>
              <w:left w:val="single" w:color="C9D4DD" w:sz="1"/>
              <w:bottom w:val="single" w:color="C9D4DD" w:sz="1"/>
              <w:right w:val="single" w:color="C9D4DD" w:sz="1"/>
            </w:tcBorders>
            <w:shd w:fill="EEF4F7" w:color="auto" w:val="clear"/>
            <w:tcMar>
              <w:top w:type="dxa" w:w="55"/>
              <w:left w:type="dxa" w:w="100"/>
              <w:bottom w:type="dxa" w:w="55"/>
              <w:right w:type="dxa" w:w="100"/>
            </w:tcMar>
            <w:vAlign w:val="center"/>
          </w:tcPr>
          <w:p>
            <w:pPr>
              <w:spacing w:after="0" w:line="244"/>
            </w:pPr>
            <w:r>
              <w:rPr>
                <w:rFonts w:ascii="Calibri" w:cs="Calibri" w:eastAsia="Calibri" w:hAnsi="Calibri"/>
                <w:b w:val="false"/>
                <w:bCs w:val="false"/>
                <w:i w:val="false"/>
                <w:iCs w:val="false"/>
                <w:color w:val="1B232E"/>
                <w:sz w:val="18"/>
                <w:szCs w:val="18"/>
              </w:rPr>
              <w:t xml:space="preserve">Distribution: TATA Advanced Systems talks; IN-SPACe and ISRO MoUs</w:t>
            </w:r>
          </w:p>
        </w:tc>
        <w:tc>
          <w:tcPr>
            <w:tcW w:type="dxa" w:w="2700"/>
            <w:tcBorders>
              <w:top w:val="single" w:color="C9D4DD" w:sz="1"/>
              <w:left w:val="single" w:color="C9D4DD" w:sz="1"/>
              <w:bottom w:val="single" w:color="C9D4DD" w:sz="1"/>
              <w:right w:val="single" w:color="C9D4DD" w:sz="1"/>
            </w:tcBorders>
            <w:shd w:fill="EEF4F7" w:color="auto" w:val="clear"/>
            <w:tcMar>
              <w:top w:type="dxa" w:w="55"/>
              <w:left w:type="dxa" w:w="100"/>
              <w:bottom w:type="dxa" w:w="55"/>
              <w:right w:type="dxa" w:w="100"/>
            </w:tcMar>
            <w:vAlign w:val="center"/>
          </w:tcPr>
          <w:p>
            <w:pPr>
              <w:spacing w:after="0" w:line="244"/>
            </w:pPr>
            <w:r>
              <w:rPr>
                <w:rFonts w:ascii="Calibri" w:cs="Calibri" w:eastAsia="Calibri" w:hAnsi="Calibri"/>
                <w:b w:val="false"/>
                <w:bCs w:val="false"/>
                <w:i w:val="false"/>
                <w:iCs w:val="false"/>
                <w:color w:val="1B232E"/>
                <w:sz w:val="18"/>
                <w:szCs w:val="18"/>
              </w:rPr>
              <w:t xml:space="preserve">BW Businessworld (28 May 2025)</w:t>
            </w:r>
          </w:p>
        </w:tc>
        <w:tc>
          <w:tcPr>
            <w:tcW w:type="dxa" w:w="1280"/>
            <w:tcBorders>
              <w:top w:val="single" w:color="C9D4DD" w:sz="1"/>
              <w:left w:val="single" w:color="C9D4DD" w:sz="1"/>
              <w:bottom w:val="single" w:color="C9D4DD" w:sz="1"/>
              <w:right w:val="single" w:color="C9D4DD" w:sz="1"/>
            </w:tcBorders>
            <w:shd w:fill="EEF4F7" w:color="auto" w:val="clear"/>
            <w:tcMar>
              <w:top w:type="dxa" w:w="55"/>
              <w:left w:type="dxa" w:w="100"/>
              <w:bottom w:type="dxa" w:w="55"/>
              <w:right w:type="dxa" w:w="100"/>
            </w:tcMar>
            <w:vAlign w:val="center"/>
          </w:tcPr>
          <w:p>
            <w:pPr>
              <w:spacing w:after="0" w:line="244"/>
            </w:pPr>
            <w:r>
              <w:rPr>
                <w:rFonts w:ascii="Calibri" w:cs="Calibri" w:eastAsia="Calibri" w:hAnsi="Calibri"/>
                <w:b w:val="false"/>
                <w:bCs w:val="false"/>
                <w:i w:val="false"/>
                <w:iCs w:val="false"/>
                <w:color w:val="1B232E"/>
                <w:sz w:val="18"/>
                <w:szCs w:val="18"/>
              </w:rPr>
              <w:t xml:space="preserve">Web Search</w:t>
            </w:r>
          </w:p>
        </w:tc>
        <w:tc>
          <w:tcPr>
            <w:tcW w:type="dxa" w:w="1700"/>
            <w:tcBorders>
              <w:top w:val="single" w:color="C9D4DD" w:sz="1"/>
              <w:left w:val="single" w:color="C9D4DD" w:sz="1"/>
              <w:bottom w:val="single" w:color="C9D4DD" w:sz="1"/>
              <w:right w:val="single" w:color="C9D4DD" w:sz="1"/>
            </w:tcBorders>
            <w:shd w:fill="EEF4F7" w:color="auto" w:val="clear"/>
            <w:tcMar>
              <w:top w:type="dxa" w:w="55"/>
              <w:left w:type="dxa" w:w="100"/>
              <w:bottom w:type="dxa" w:w="55"/>
              <w:right w:type="dxa" w:w="100"/>
            </w:tcMar>
            <w:vAlign w:val="center"/>
          </w:tcPr>
          <w:p>
            <w:pPr>
              <w:spacing w:after="0" w:line="244"/>
            </w:pPr>
            <w:hyperlink w:history="1" r:id="rIdahbcvxbawvzzkjq-jfkoc">
              <w:r>
                <w:rPr>
                  <w:rStyle w:val="Hyperlink"/>
                  <w:sz w:val="17"/>
                  <w:szCs w:val="17"/>
                </w:rPr>
                <w:t xml:space="preserve">businessworld.in</w:t>
              </w:r>
            </w:hyperlink>
          </w:p>
        </w:tc>
      </w:tr>
      <w:tr>
        <w:tc>
          <w:tcPr>
            <w:tcW w:type="dxa" w:w="3680"/>
            <w:tcBorders>
              <w:top w:val="single" w:color="C9D4DD" w:sz="1"/>
              <w:left w:val="single" w:color="C9D4DD" w:sz="1"/>
              <w:bottom w:val="single" w:color="C9D4DD" w:sz="1"/>
              <w:right w:val="single" w:color="C9D4DD" w:sz="1"/>
            </w:tcBorders>
            <w:shd w:fill="FFFFFF" w:color="auto" w:val="clear"/>
            <w:tcMar>
              <w:top w:type="dxa" w:w="55"/>
              <w:left w:type="dxa" w:w="100"/>
              <w:bottom w:type="dxa" w:w="55"/>
              <w:right w:type="dxa" w:w="100"/>
            </w:tcMar>
            <w:vAlign w:val="center"/>
          </w:tcPr>
          <w:p>
            <w:pPr>
              <w:spacing w:after="0" w:line="244"/>
            </w:pPr>
            <w:r>
              <w:rPr>
                <w:rFonts w:ascii="Calibri" w:cs="Calibri" w:eastAsia="Calibri" w:hAnsi="Calibri"/>
                <w:b w:val="false"/>
                <w:bCs w:val="false"/>
                <w:i w:val="false"/>
                <w:iCs w:val="false"/>
                <w:color w:val="1B232E"/>
                <w:sz w:val="18"/>
                <w:szCs w:val="18"/>
              </w:rPr>
              <w:t xml:space="preserve">ABEP concept: intake collects and compresses air; thruster ionizes and accelerates it</w:t>
            </w:r>
          </w:p>
        </w:tc>
        <w:tc>
          <w:tcPr>
            <w:tcW w:type="dxa" w:w="2700"/>
            <w:tcBorders>
              <w:top w:val="single" w:color="C9D4DD" w:sz="1"/>
              <w:left w:val="single" w:color="C9D4DD" w:sz="1"/>
              <w:bottom w:val="single" w:color="C9D4DD" w:sz="1"/>
              <w:right w:val="single" w:color="C9D4DD" w:sz="1"/>
            </w:tcBorders>
            <w:shd w:fill="FFFFFF" w:color="auto" w:val="clear"/>
            <w:tcMar>
              <w:top w:type="dxa" w:w="55"/>
              <w:left w:type="dxa" w:w="100"/>
              <w:bottom w:type="dxa" w:w="55"/>
              <w:right w:type="dxa" w:w="100"/>
            </w:tcMar>
            <w:vAlign w:val="center"/>
          </w:tcPr>
          <w:p>
            <w:pPr>
              <w:spacing w:after="0" w:line="244"/>
            </w:pPr>
            <w:r>
              <w:rPr>
                <w:rFonts w:ascii="Calibri" w:cs="Calibri" w:eastAsia="Calibri" w:hAnsi="Calibri"/>
                <w:b w:val="false"/>
                <w:bCs w:val="false"/>
                <w:i w:val="false"/>
                <w:iCs w:val="false"/>
                <w:color w:val="1B232E"/>
                <w:sz w:val="18"/>
                <w:szCs w:val="18"/>
              </w:rPr>
              <w:t xml:space="preserve">Journal of Electric Propulsion review (2022)</w:t>
            </w:r>
          </w:p>
        </w:tc>
        <w:tc>
          <w:tcPr>
            <w:tcW w:type="dxa" w:w="1280"/>
            <w:tcBorders>
              <w:top w:val="single" w:color="C9D4DD" w:sz="1"/>
              <w:left w:val="single" w:color="C9D4DD" w:sz="1"/>
              <w:bottom w:val="single" w:color="C9D4DD" w:sz="1"/>
              <w:right w:val="single" w:color="C9D4DD" w:sz="1"/>
            </w:tcBorders>
            <w:shd w:fill="FFFFFF" w:color="auto" w:val="clear"/>
            <w:tcMar>
              <w:top w:type="dxa" w:w="55"/>
              <w:left w:type="dxa" w:w="100"/>
              <w:bottom w:type="dxa" w:w="55"/>
              <w:right w:type="dxa" w:w="100"/>
            </w:tcMar>
            <w:vAlign w:val="center"/>
          </w:tcPr>
          <w:p>
            <w:pPr>
              <w:spacing w:after="0" w:line="244"/>
            </w:pPr>
            <w:r>
              <w:rPr>
                <w:rFonts w:ascii="Calibri" w:cs="Calibri" w:eastAsia="Calibri" w:hAnsi="Calibri"/>
                <w:b w:val="false"/>
                <w:bCs w:val="false"/>
                <w:i w:val="false"/>
                <w:iCs w:val="false"/>
                <w:color w:val="1B232E"/>
                <w:sz w:val="18"/>
                <w:szCs w:val="18"/>
              </w:rPr>
              <w:t xml:space="preserve">Web Search</w:t>
            </w:r>
          </w:p>
        </w:tc>
        <w:tc>
          <w:tcPr>
            <w:tcW w:type="dxa" w:w="1700"/>
            <w:tcBorders>
              <w:top w:val="single" w:color="C9D4DD" w:sz="1"/>
              <w:left w:val="single" w:color="C9D4DD" w:sz="1"/>
              <w:bottom w:val="single" w:color="C9D4DD" w:sz="1"/>
              <w:right w:val="single" w:color="C9D4DD" w:sz="1"/>
            </w:tcBorders>
            <w:shd w:fill="FFFFFF" w:color="auto" w:val="clear"/>
            <w:tcMar>
              <w:top w:type="dxa" w:w="55"/>
              <w:left w:type="dxa" w:w="100"/>
              <w:bottom w:type="dxa" w:w="55"/>
              <w:right w:type="dxa" w:w="100"/>
            </w:tcMar>
            <w:vAlign w:val="center"/>
          </w:tcPr>
          <w:p>
            <w:pPr>
              <w:spacing w:after="0" w:line="244"/>
            </w:pPr>
            <w:hyperlink w:history="1" r:id="rIdyjqtpkue7ovp-brmtcmux">
              <w:r>
                <w:rPr>
                  <w:rStyle w:val="Hyperlink"/>
                  <w:sz w:val="17"/>
                  <w:szCs w:val="17"/>
                </w:rPr>
                <w:t xml:space="preserve">link.springer.com</w:t>
              </w:r>
            </w:hyperlink>
          </w:p>
        </w:tc>
      </w:tr>
      <w:tr>
        <w:tc>
          <w:tcPr>
            <w:tcW w:type="dxa" w:w="3680"/>
            <w:tcBorders>
              <w:top w:val="single" w:color="C9D4DD" w:sz="1"/>
              <w:left w:val="single" w:color="C9D4DD" w:sz="1"/>
              <w:bottom w:val="single" w:color="C9D4DD" w:sz="1"/>
              <w:right w:val="single" w:color="C9D4DD" w:sz="1"/>
            </w:tcBorders>
            <w:shd w:fill="EEF4F7" w:color="auto" w:val="clear"/>
            <w:tcMar>
              <w:top w:type="dxa" w:w="55"/>
              <w:left w:type="dxa" w:w="100"/>
              <w:bottom w:type="dxa" w:w="55"/>
              <w:right w:type="dxa" w:w="100"/>
            </w:tcMar>
            <w:vAlign w:val="center"/>
          </w:tcPr>
          <w:p>
            <w:pPr>
              <w:spacing w:after="0" w:line="244"/>
            </w:pPr>
            <w:r>
              <w:rPr>
                <w:rFonts w:ascii="Calibri" w:cs="Calibri" w:eastAsia="Calibri" w:hAnsi="Calibri"/>
                <w:b w:val="false"/>
                <w:bCs w:val="false"/>
                <w:i w:val="false"/>
                <w:iCs w:val="false"/>
                <w:color w:val="1B232E"/>
                <w:sz w:val="18"/>
                <w:szCs w:val="18"/>
              </w:rPr>
              <w:t xml:space="preserve">Atomic oxygen erodes electrodes; electrodeless thrusters and robust materials needed</w:t>
            </w:r>
          </w:p>
        </w:tc>
        <w:tc>
          <w:tcPr>
            <w:tcW w:type="dxa" w:w="2700"/>
            <w:tcBorders>
              <w:top w:val="single" w:color="C9D4DD" w:sz="1"/>
              <w:left w:val="single" w:color="C9D4DD" w:sz="1"/>
              <w:bottom w:val="single" w:color="C9D4DD" w:sz="1"/>
              <w:right w:val="single" w:color="C9D4DD" w:sz="1"/>
            </w:tcBorders>
            <w:shd w:fill="EEF4F7" w:color="auto" w:val="clear"/>
            <w:tcMar>
              <w:top w:type="dxa" w:w="55"/>
              <w:left w:type="dxa" w:w="100"/>
              <w:bottom w:type="dxa" w:w="55"/>
              <w:right w:type="dxa" w:w="100"/>
            </w:tcMar>
            <w:vAlign w:val="center"/>
          </w:tcPr>
          <w:p>
            <w:pPr>
              <w:spacing w:after="0" w:line="244"/>
            </w:pPr>
            <w:r>
              <w:rPr>
                <w:rFonts w:ascii="Calibri" w:cs="Calibri" w:eastAsia="Calibri" w:hAnsi="Calibri"/>
                <w:b w:val="false"/>
                <w:bCs w:val="false"/>
                <w:i w:val="false"/>
                <w:iCs w:val="false"/>
                <w:color w:val="1B232E"/>
                <w:sz w:val="18"/>
                <w:szCs w:val="18"/>
              </w:rPr>
              <w:t xml:space="preserve">npj Microgravity review (2026)</w:t>
            </w:r>
          </w:p>
        </w:tc>
        <w:tc>
          <w:tcPr>
            <w:tcW w:type="dxa" w:w="1280"/>
            <w:tcBorders>
              <w:top w:val="single" w:color="C9D4DD" w:sz="1"/>
              <w:left w:val="single" w:color="C9D4DD" w:sz="1"/>
              <w:bottom w:val="single" w:color="C9D4DD" w:sz="1"/>
              <w:right w:val="single" w:color="C9D4DD" w:sz="1"/>
            </w:tcBorders>
            <w:shd w:fill="EEF4F7" w:color="auto" w:val="clear"/>
            <w:tcMar>
              <w:top w:type="dxa" w:w="55"/>
              <w:left w:type="dxa" w:w="100"/>
              <w:bottom w:type="dxa" w:w="55"/>
              <w:right w:type="dxa" w:w="100"/>
            </w:tcMar>
            <w:vAlign w:val="center"/>
          </w:tcPr>
          <w:p>
            <w:pPr>
              <w:spacing w:after="0" w:line="244"/>
            </w:pPr>
            <w:r>
              <w:rPr>
                <w:rFonts w:ascii="Calibri" w:cs="Calibri" w:eastAsia="Calibri" w:hAnsi="Calibri"/>
                <w:b w:val="false"/>
                <w:bCs w:val="false"/>
                <w:i w:val="false"/>
                <w:iCs w:val="false"/>
                <w:color w:val="1B232E"/>
                <w:sz w:val="18"/>
                <w:szCs w:val="18"/>
              </w:rPr>
              <w:t xml:space="preserve">LLM Provided</w:t>
            </w:r>
          </w:p>
        </w:tc>
        <w:tc>
          <w:tcPr>
            <w:tcW w:type="dxa" w:w="1700"/>
            <w:tcBorders>
              <w:top w:val="single" w:color="C9D4DD" w:sz="1"/>
              <w:left w:val="single" w:color="C9D4DD" w:sz="1"/>
              <w:bottom w:val="single" w:color="C9D4DD" w:sz="1"/>
              <w:right w:val="single" w:color="C9D4DD" w:sz="1"/>
            </w:tcBorders>
            <w:shd w:fill="EEF4F7" w:color="auto" w:val="clear"/>
            <w:tcMar>
              <w:top w:type="dxa" w:w="55"/>
              <w:left w:type="dxa" w:w="100"/>
              <w:bottom w:type="dxa" w:w="55"/>
              <w:right w:type="dxa" w:w="100"/>
            </w:tcMar>
            <w:vAlign w:val="center"/>
          </w:tcPr>
          <w:p>
            <w:pPr>
              <w:spacing w:after="0" w:line="244"/>
            </w:pPr>
            <w:r>
              <w:rPr>
                <w:rFonts w:ascii="Calibri" w:cs="Calibri" w:eastAsia="Calibri" w:hAnsi="Calibri"/>
                <w:b w:val="false"/>
                <w:bCs w:val="false"/>
                <w:i w:val="false"/>
                <w:iCs w:val="false"/>
                <w:color w:val="5E6B7A"/>
                <w:sz w:val="18"/>
                <w:szCs w:val="18"/>
              </w:rPr>
              <w:t xml:space="preserve">n/a</w:t>
            </w:r>
          </w:p>
        </w:tc>
      </w:tr>
      <w:tr>
        <w:tc>
          <w:tcPr>
            <w:tcW w:type="dxa" w:w="3680"/>
            <w:tcBorders>
              <w:top w:val="single" w:color="C9D4DD" w:sz="1"/>
              <w:left w:val="single" w:color="C9D4DD" w:sz="1"/>
              <w:bottom w:val="single" w:color="C9D4DD" w:sz="1"/>
              <w:right w:val="single" w:color="C9D4DD" w:sz="1"/>
            </w:tcBorders>
            <w:shd w:fill="FFFFFF" w:color="auto" w:val="clear"/>
            <w:tcMar>
              <w:top w:type="dxa" w:w="55"/>
              <w:left w:type="dxa" w:w="100"/>
              <w:bottom w:type="dxa" w:w="55"/>
              <w:right w:type="dxa" w:w="100"/>
            </w:tcMar>
            <w:vAlign w:val="center"/>
          </w:tcPr>
          <w:p>
            <w:pPr>
              <w:spacing w:after="0" w:line="244"/>
            </w:pPr>
            <w:r>
              <w:rPr>
                <w:rFonts w:ascii="Calibri" w:cs="Calibri" w:eastAsia="Calibri" w:hAnsi="Calibri"/>
                <w:b w:val="false"/>
                <w:bCs w:val="false"/>
                <w:i w:val="false"/>
                <w:iCs w:val="false"/>
                <w:color w:val="1B232E"/>
                <w:sz w:val="18"/>
                <w:szCs w:val="18"/>
              </w:rPr>
              <w:t xml:space="preserve">SITAEL and ESA RAM-EP: world-first air-breathing firing (2017); no break-even</w:t>
            </w:r>
          </w:p>
        </w:tc>
        <w:tc>
          <w:tcPr>
            <w:tcW w:type="dxa" w:w="2700"/>
            <w:tcBorders>
              <w:top w:val="single" w:color="C9D4DD" w:sz="1"/>
              <w:left w:val="single" w:color="C9D4DD" w:sz="1"/>
              <w:bottom w:val="single" w:color="C9D4DD" w:sz="1"/>
              <w:right w:val="single" w:color="C9D4DD" w:sz="1"/>
            </w:tcBorders>
            <w:shd w:fill="FFFFFF" w:color="auto" w:val="clear"/>
            <w:tcMar>
              <w:top w:type="dxa" w:w="55"/>
              <w:left w:type="dxa" w:w="100"/>
              <w:bottom w:type="dxa" w:w="55"/>
              <w:right w:type="dxa" w:w="100"/>
            </w:tcMar>
            <w:vAlign w:val="center"/>
          </w:tcPr>
          <w:p>
            <w:pPr>
              <w:spacing w:after="0" w:line="244"/>
            </w:pPr>
            <w:r>
              <w:rPr>
                <w:rFonts w:ascii="Calibri" w:cs="Calibri" w:eastAsia="Calibri" w:hAnsi="Calibri"/>
                <w:b w:val="false"/>
                <w:bCs w:val="false"/>
                <w:i w:val="false"/>
                <w:iCs w:val="false"/>
                <w:color w:val="1B232E"/>
                <w:sz w:val="18"/>
                <w:szCs w:val="18"/>
              </w:rPr>
              <w:t xml:space="preserve">ESA (March 2018)</w:t>
            </w:r>
          </w:p>
        </w:tc>
        <w:tc>
          <w:tcPr>
            <w:tcW w:type="dxa" w:w="1280"/>
            <w:tcBorders>
              <w:top w:val="single" w:color="C9D4DD" w:sz="1"/>
              <w:left w:val="single" w:color="C9D4DD" w:sz="1"/>
              <w:bottom w:val="single" w:color="C9D4DD" w:sz="1"/>
              <w:right w:val="single" w:color="C9D4DD" w:sz="1"/>
            </w:tcBorders>
            <w:shd w:fill="FFFFFF" w:color="auto" w:val="clear"/>
            <w:tcMar>
              <w:top w:type="dxa" w:w="55"/>
              <w:left w:type="dxa" w:w="100"/>
              <w:bottom w:type="dxa" w:w="55"/>
              <w:right w:type="dxa" w:w="100"/>
            </w:tcMar>
            <w:vAlign w:val="center"/>
          </w:tcPr>
          <w:p>
            <w:pPr>
              <w:spacing w:after="0" w:line="244"/>
            </w:pPr>
            <w:r>
              <w:rPr>
                <w:rFonts w:ascii="Calibri" w:cs="Calibri" w:eastAsia="Calibri" w:hAnsi="Calibri"/>
                <w:b w:val="false"/>
                <w:bCs w:val="false"/>
                <w:i w:val="false"/>
                <w:iCs w:val="false"/>
                <w:color w:val="1B232E"/>
                <w:sz w:val="18"/>
                <w:szCs w:val="18"/>
              </w:rPr>
              <w:t xml:space="preserve">Web Search</w:t>
            </w:r>
          </w:p>
        </w:tc>
        <w:tc>
          <w:tcPr>
            <w:tcW w:type="dxa" w:w="1700"/>
            <w:tcBorders>
              <w:top w:val="single" w:color="C9D4DD" w:sz="1"/>
              <w:left w:val="single" w:color="C9D4DD" w:sz="1"/>
              <w:bottom w:val="single" w:color="C9D4DD" w:sz="1"/>
              <w:right w:val="single" w:color="C9D4DD" w:sz="1"/>
            </w:tcBorders>
            <w:shd w:fill="FFFFFF" w:color="auto" w:val="clear"/>
            <w:tcMar>
              <w:top w:type="dxa" w:w="55"/>
              <w:left w:type="dxa" w:w="100"/>
              <w:bottom w:type="dxa" w:w="55"/>
              <w:right w:type="dxa" w:w="100"/>
            </w:tcMar>
            <w:vAlign w:val="center"/>
          </w:tcPr>
          <w:p>
            <w:pPr>
              <w:spacing w:after="0" w:line="244"/>
            </w:pPr>
            <w:hyperlink w:history="1" r:id="rIdxhfwzjafxjkuysaz7xmlt">
              <w:r>
                <w:rPr>
                  <w:rStyle w:val="Hyperlink"/>
                  <w:sz w:val="17"/>
                  <w:szCs w:val="17"/>
                </w:rPr>
                <w:t xml:space="preserve">esa.int</w:t>
              </w:r>
            </w:hyperlink>
          </w:p>
        </w:tc>
      </w:tr>
      <w:tr>
        <w:tc>
          <w:tcPr>
            <w:tcW w:type="dxa" w:w="3680"/>
            <w:tcBorders>
              <w:top w:val="single" w:color="C9D4DD" w:sz="1"/>
              <w:left w:val="single" w:color="C9D4DD" w:sz="1"/>
              <w:bottom w:val="single" w:color="C9D4DD" w:sz="1"/>
              <w:right w:val="single" w:color="C9D4DD" w:sz="1"/>
            </w:tcBorders>
            <w:shd w:fill="EEF4F7" w:color="auto" w:val="clear"/>
            <w:tcMar>
              <w:top w:type="dxa" w:w="55"/>
              <w:left w:type="dxa" w:w="100"/>
              <w:bottom w:type="dxa" w:w="55"/>
              <w:right w:type="dxa" w:w="100"/>
            </w:tcMar>
            <w:vAlign w:val="center"/>
          </w:tcPr>
          <w:p>
            <w:pPr>
              <w:spacing w:after="0" w:line="244"/>
            </w:pPr>
            <w:r>
              <w:rPr>
                <w:rFonts w:ascii="Calibri" w:cs="Calibri" w:eastAsia="Calibri" w:hAnsi="Calibri"/>
                <w:b w:val="false"/>
                <w:bCs w:val="false"/>
                <w:i w:val="false"/>
                <w:iCs w:val="false"/>
                <w:color w:val="1B232E"/>
                <w:sz w:val="18"/>
                <w:szCs w:val="18"/>
              </w:rPr>
              <w:t xml:space="preserve">Redwire SabreSat for DARPA Otter: about $44M; one year-plus flight goal; never flown at scale</w:t>
            </w:r>
          </w:p>
        </w:tc>
        <w:tc>
          <w:tcPr>
            <w:tcW w:type="dxa" w:w="2700"/>
            <w:tcBorders>
              <w:top w:val="single" w:color="C9D4DD" w:sz="1"/>
              <w:left w:val="single" w:color="C9D4DD" w:sz="1"/>
              <w:bottom w:val="single" w:color="C9D4DD" w:sz="1"/>
              <w:right w:val="single" w:color="C9D4DD" w:sz="1"/>
            </w:tcBorders>
            <w:shd w:fill="EEF4F7" w:color="auto" w:val="clear"/>
            <w:tcMar>
              <w:top w:type="dxa" w:w="55"/>
              <w:left w:type="dxa" w:w="100"/>
              <w:bottom w:type="dxa" w:w="55"/>
              <w:right w:type="dxa" w:w="100"/>
            </w:tcMar>
            <w:vAlign w:val="center"/>
          </w:tcPr>
          <w:p>
            <w:pPr>
              <w:spacing w:after="0" w:line="244"/>
            </w:pPr>
            <w:r>
              <w:rPr>
                <w:rFonts w:ascii="Calibri" w:cs="Calibri" w:eastAsia="Calibri" w:hAnsi="Calibri"/>
                <w:b w:val="false"/>
                <w:bCs w:val="false"/>
                <w:i w:val="false"/>
                <w:iCs w:val="false"/>
                <w:color w:val="1B232E"/>
                <w:sz w:val="18"/>
                <w:szCs w:val="18"/>
              </w:rPr>
              <w:t xml:space="preserve">Aerospace Global News; Satellite Today (2025)</w:t>
            </w:r>
          </w:p>
        </w:tc>
        <w:tc>
          <w:tcPr>
            <w:tcW w:type="dxa" w:w="1280"/>
            <w:tcBorders>
              <w:top w:val="single" w:color="C9D4DD" w:sz="1"/>
              <w:left w:val="single" w:color="C9D4DD" w:sz="1"/>
              <w:bottom w:val="single" w:color="C9D4DD" w:sz="1"/>
              <w:right w:val="single" w:color="C9D4DD" w:sz="1"/>
            </w:tcBorders>
            <w:shd w:fill="EEF4F7" w:color="auto" w:val="clear"/>
            <w:tcMar>
              <w:top w:type="dxa" w:w="55"/>
              <w:left w:type="dxa" w:w="100"/>
              <w:bottom w:type="dxa" w:w="55"/>
              <w:right w:type="dxa" w:w="100"/>
            </w:tcMar>
            <w:vAlign w:val="center"/>
          </w:tcPr>
          <w:p>
            <w:pPr>
              <w:spacing w:after="0" w:line="244"/>
            </w:pPr>
            <w:r>
              <w:rPr>
                <w:rFonts w:ascii="Calibri" w:cs="Calibri" w:eastAsia="Calibri" w:hAnsi="Calibri"/>
                <w:b w:val="false"/>
                <w:bCs w:val="false"/>
                <w:i w:val="false"/>
                <w:iCs w:val="false"/>
                <w:color w:val="1B232E"/>
                <w:sz w:val="18"/>
                <w:szCs w:val="18"/>
              </w:rPr>
              <w:t xml:space="preserve">Web Search</w:t>
            </w:r>
          </w:p>
        </w:tc>
        <w:tc>
          <w:tcPr>
            <w:tcW w:type="dxa" w:w="1700"/>
            <w:tcBorders>
              <w:top w:val="single" w:color="C9D4DD" w:sz="1"/>
              <w:left w:val="single" w:color="C9D4DD" w:sz="1"/>
              <w:bottom w:val="single" w:color="C9D4DD" w:sz="1"/>
              <w:right w:val="single" w:color="C9D4DD" w:sz="1"/>
            </w:tcBorders>
            <w:shd w:fill="EEF4F7" w:color="auto" w:val="clear"/>
            <w:tcMar>
              <w:top w:type="dxa" w:w="55"/>
              <w:left w:type="dxa" w:w="100"/>
              <w:bottom w:type="dxa" w:w="55"/>
              <w:right w:type="dxa" w:w="100"/>
            </w:tcMar>
            <w:vAlign w:val="center"/>
          </w:tcPr>
          <w:p>
            <w:pPr>
              <w:spacing w:after="0" w:line="244"/>
            </w:pPr>
            <w:hyperlink w:history="1" r:id="rIdfj9a8lvwat8kuvbhzvvn2">
              <w:r>
                <w:rPr>
                  <w:rStyle w:val="Hyperlink"/>
                  <w:sz w:val="17"/>
                  <w:szCs w:val="17"/>
                </w:rPr>
                <w:t xml:space="preserve">aerospaceglobalnews.com</w:t>
              </w:r>
            </w:hyperlink>
          </w:p>
        </w:tc>
      </w:tr>
      <w:tr>
        <w:tc>
          <w:tcPr>
            <w:tcW w:type="dxa" w:w="3680"/>
            <w:tcBorders>
              <w:top w:val="single" w:color="C9D4DD" w:sz="1"/>
              <w:left w:val="single" w:color="C9D4DD" w:sz="1"/>
              <w:bottom w:val="single" w:color="C9D4DD" w:sz="1"/>
              <w:right w:val="single" w:color="C9D4DD" w:sz="1"/>
            </w:tcBorders>
            <w:shd w:fill="FFFFFF" w:color="auto" w:val="clear"/>
            <w:tcMar>
              <w:top w:type="dxa" w:w="55"/>
              <w:left w:type="dxa" w:w="100"/>
              <w:bottom w:type="dxa" w:w="55"/>
              <w:right w:type="dxa" w:w="100"/>
            </w:tcMar>
            <w:vAlign w:val="center"/>
          </w:tcPr>
          <w:p>
            <w:pPr>
              <w:spacing w:after="0" w:line="244"/>
            </w:pPr>
            <w:r>
              <w:rPr>
                <w:rFonts w:ascii="Calibri" w:cs="Calibri" w:eastAsia="Calibri" w:hAnsi="Calibri"/>
                <w:b w:val="false"/>
                <w:bCs w:val="false"/>
                <w:i w:val="false"/>
                <w:iCs w:val="false"/>
                <w:color w:val="1B232E"/>
                <w:sz w:val="18"/>
                <w:szCs w:val="18"/>
              </w:rPr>
              <w:t xml:space="preserve">Busek holds an air-breathing Hall-thruster patent (prior art)</w:t>
            </w:r>
          </w:p>
        </w:tc>
        <w:tc>
          <w:tcPr>
            <w:tcW w:type="dxa" w:w="2700"/>
            <w:tcBorders>
              <w:top w:val="single" w:color="C9D4DD" w:sz="1"/>
              <w:left w:val="single" w:color="C9D4DD" w:sz="1"/>
              <w:bottom w:val="single" w:color="C9D4DD" w:sz="1"/>
              <w:right w:val="single" w:color="C9D4DD" w:sz="1"/>
            </w:tcBorders>
            <w:shd w:fill="FFFFFF" w:color="auto" w:val="clear"/>
            <w:tcMar>
              <w:top w:type="dxa" w:w="55"/>
              <w:left w:type="dxa" w:w="100"/>
              <w:bottom w:type="dxa" w:w="55"/>
              <w:right w:type="dxa" w:w="100"/>
            </w:tcMar>
            <w:vAlign w:val="center"/>
          </w:tcPr>
          <w:p>
            <w:pPr>
              <w:spacing w:after="0" w:line="244"/>
            </w:pPr>
            <w:r>
              <w:rPr>
                <w:rFonts w:ascii="Calibri" w:cs="Calibri" w:eastAsia="Calibri" w:hAnsi="Calibri"/>
                <w:b w:val="false"/>
                <w:bCs w:val="false"/>
                <w:i w:val="false"/>
                <w:iCs w:val="false"/>
                <w:color w:val="1B232E"/>
                <w:sz w:val="18"/>
                <w:szCs w:val="18"/>
              </w:rPr>
              <w:t xml:space="preserve">Aerospace Corp CSPS review (2021)</w:t>
            </w:r>
          </w:p>
        </w:tc>
        <w:tc>
          <w:tcPr>
            <w:tcW w:type="dxa" w:w="1280"/>
            <w:tcBorders>
              <w:top w:val="single" w:color="C9D4DD" w:sz="1"/>
              <w:left w:val="single" w:color="C9D4DD" w:sz="1"/>
              <w:bottom w:val="single" w:color="C9D4DD" w:sz="1"/>
              <w:right w:val="single" w:color="C9D4DD" w:sz="1"/>
            </w:tcBorders>
            <w:shd w:fill="FFFFFF" w:color="auto" w:val="clear"/>
            <w:tcMar>
              <w:top w:type="dxa" w:w="55"/>
              <w:left w:type="dxa" w:w="100"/>
              <w:bottom w:type="dxa" w:w="55"/>
              <w:right w:type="dxa" w:w="100"/>
            </w:tcMar>
            <w:vAlign w:val="center"/>
          </w:tcPr>
          <w:p>
            <w:pPr>
              <w:spacing w:after="0" w:line="244"/>
            </w:pPr>
            <w:r>
              <w:rPr>
                <w:rFonts w:ascii="Calibri" w:cs="Calibri" w:eastAsia="Calibri" w:hAnsi="Calibri"/>
                <w:b w:val="false"/>
                <w:bCs w:val="false"/>
                <w:i w:val="false"/>
                <w:iCs w:val="false"/>
                <w:color w:val="1B232E"/>
                <w:sz w:val="18"/>
                <w:szCs w:val="18"/>
              </w:rPr>
              <w:t xml:space="preserve">LLM Provided</w:t>
            </w:r>
          </w:p>
        </w:tc>
        <w:tc>
          <w:tcPr>
            <w:tcW w:type="dxa" w:w="1700"/>
            <w:tcBorders>
              <w:top w:val="single" w:color="C9D4DD" w:sz="1"/>
              <w:left w:val="single" w:color="C9D4DD" w:sz="1"/>
              <w:bottom w:val="single" w:color="C9D4DD" w:sz="1"/>
              <w:right w:val="single" w:color="C9D4DD" w:sz="1"/>
            </w:tcBorders>
            <w:shd w:fill="FFFFFF" w:color="auto" w:val="clear"/>
            <w:tcMar>
              <w:top w:type="dxa" w:w="55"/>
              <w:left w:type="dxa" w:w="100"/>
              <w:bottom w:type="dxa" w:w="55"/>
              <w:right w:type="dxa" w:w="100"/>
            </w:tcMar>
            <w:vAlign w:val="center"/>
          </w:tcPr>
          <w:p>
            <w:pPr>
              <w:spacing w:after="0" w:line="244"/>
            </w:pPr>
            <w:r>
              <w:rPr>
                <w:rFonts w:ascii="Calibri" w:cs="Calibri" w:eastAsia="Calibri" w:hAnsi="Calibri"/>
                <w:b w:val="false"/>
                <w:bCs w:val="false"/>
                <w:i w:val="false"/>
                <w:iCs w:val="false"/>
                <w:color w:val="5E6B7A"/>
                <w:sz w:val="18"/>
                <w:szCs w:val="18"/>
              </w:rPr>
              <w:t xml:space="preserve">n/a</w:t>
            </w:r>
          </w:p>
        </w:tc>
      </w:tr>
      <w:tr>
        <w:tc>
          <w:tcPr>
            <w:tcW w:type="dxa" w:w="3680"/>
            <w:tcBorders>
              <w:top w:val="single" w:color="C9D4DD" w:sz="1"/>
              <w:left w:val="single" w:color="C9D4DD" w:sz="1"/>
              <w:bottom w:val="single" w:color="C9D4DD" w:sz="1"/>
              <w:right w:val="single" w:color="C9D4DD" w:sz="1"/>
            </w:tcBorders>
            <w:shd w:fill="EEF4F7" w:color="auto" w:val="clear"/>
            <w:tcMar>
              <w:top w:type="dxa" w:w="55"/>
              <w:left w:type="dxa" w:w="100"/>
              <w:bottom w:type="dxa" w:w="55"/>
              <w:right w:type="dxa" w:w="100"/>
            </w:tcMar>
            <w:vAlign w:val="center"/>
          </w:tcPr>
          <w:p>
            <w:pPr>
              <w:spacing w:after="0" w:line="244"/>
            </w:pPr>
            <w:r>
              <w:rPr>
                <w:rFonts w:ascii="Calibri" w:cs="Calibri" w:eastAsia="Calibri" w:hAnsi="Calibri"/>
                <w:b w:val="false"/>
                <w:bCs w:val="false"/>
                <w:i w:val="false"/>
                <w:iCs w:val="false"/>
                <w:color w:val="1B232E"/>
                <w:sz w:val="18"/>
                <w:szCs w:val="18"/>
              </w:rPr>
              <w:t xml:space="preserve">Bellatrix Project 200 ULEO air-intake EP; 200 kg-class; ground-tested</w:t>
            </w:r>
          </w:p>
        </w:tc>
        <w:tc>
          <w:tcPr>
            <w:tcW w:type="dxa" w:w="2700"/>
            <w:tcBorders>
              <w:top w:val="single" w:color="C9D4DD" w:sz="1"/>
              <w:left w:val="single" w:color="C9D4DD" w:sz="1"/>
              <w:bottom w:val="single" w:color="C9D4DD" w:sz="1"/>
              <w:right w:val="single" w:color="C9D4DD" w:sz="1"/>
            </w:tcBorders>
            <w:shd w:fill="EEF4F7" w:color="auto" w:val="clear"/>
            <w:tcMar>
              <w:top w:type="dxa" w:w="55"/>
              <w:left w:type="dxa" w:w="100"/>
              <w:bottom w:type="dxa" w:w="55"/>
              <w:right w:type="dxa" w:w="100"/>
            </w:tcMar>
            <w:vAlign w:val="center"/>
          </w:tcPr>
          <w:p>
            <w:pPr>
              <w:spacing w:after="0" w:line="244"/>
            </w:pPr>
            <w:r>
              <w:rPr>
                <w:rFonts w:ascii="Calibri" w:cs="Calibri" w:eastAsia="Calibri" w:hAnsi="Calibri"/>
                <w:b w:val="false"/>
                <w:bCs w:val="false"/>
                <w:i w:val="false"/>
                <w:iCs w:val="false"/>
                <w:color w:val="1B232E"/>
                <w:sz w:val="18"/>
                <w:szCs w:val="18"/>
              </w:rPr>
              <w:t xml:space="preserve">Bellatrix Aerospace (2024)</w:t>
            </w:r>
          </w:p>
        </w:tc>
        <w:tc>
          <w:tcPr>
            <w:tcW w:type="dxa" w:w="1280"/>
            <w:tcBorders>
              <w:top w:val="single" w:color="C9D4DD" w:sz="1"/>
              <w:left w:val="single" w:color="C9D4DD" w:sz="1"/>
              <w:bottom w:val="single" w:color="C9D4DD" w:sz="1"/>
              <w:right w:val="single" w:color="C9D4DD" w:sz="1"/>
            </w:tcBorders>
            <w:shd w:fill="EEF4F7" w:color="auto" w:val="clear"/>
            <w:tcMar>
              <w:top w:type="dxa" w:w="55"/>
              <w:left w:type="dxa" w:w="100"/>
              <w:bottom w:type="dxa" w:w="55"/>
              <w:right w:type="dxa" w:w="100"/>
            </w:tcMar>
            <w:vAlign w:val="center"/>
          </w:tcPr>
          <w:p>
            <w:pPr>
              <w:spacing w:after="0" w:line="244"/>
            </w:pPr>
            <w:r>
              <w:rPr>
                <w:rFonts w:ascii="Calibri" w:cs="Calibri" w:eastAsia="Calibri" w:hAnsi="Calibri"/>
                <w:b w:val="false"/>
                <w:bCs w:val="false"/>
                <w:i w:val="false"/>
                <w:iCs w:val="false"/>
                <w:color w:val="1B232E"/>
                <w:sz w:val="18"/>
                <w:szCs w:val="18"/>
              </w:rPr>
              <w:t xml:space="preserve">Web Search</w:t>
            </w:r>
          </w:p>
        </w:tc>
        <w:tc>
          <w:tcPr>
            <w:tcW w:type="dxa" w:w="1700"/>
            <w:tcBorders>
              <w:top w:val="single" w:color="C9D4DD" w:sz="1"/>
              <w:left w:val="single" w:color="C9D4DD" w:sz="1"/>
              <w:bottom w:val="single" w:color="C9D4DD" w:sz="1"/>
              <w:right w:val="single" w:color="C9D4DD" w:sz="1"/>
            </w:tcBorders>
            <w:shd w:fill="EEF4F7" w:color="auto" w:val="clear"/>
            <w:tcMar>
              <w:top w:type="dxa" w:w="55"/>
              <w:left w:type="dxa" w:w="100"/>
              <w:bottom w:type="dxa" w:w="55"/>
              <w:right w:type="dxa" w:w="100"/>
            </w:tcMar>
            <w:vAlign w:val="center"/>
          </w:tcPr>
          <w:p>
            <w:pPr>
              <w:spacing w:after="0" w:line="244"/>
            </w:pPr>
            <w:hyperlink w:history="1" r:id="rIdl5ysk_jqb4ef4ydnw1gm8">
              <w:r>
                <w:rPr>
                  <w:rStyle w:val="Hyperlink"/>
                  <w:sz w:val="17"/>
                  <w:szCs w:val="17"/>
                </w:rPr>
                <w:t xml:space="preserve">bellatrix.aero</w:t>
              </w:r>
            </w:hyperlink>
          </w:p>
        </w:tc>
      </w:tr>
      <w:tr>
        <w:tc>
          <w:tcPr>
            <w:tcW w:type="dxa" w:w="3680"/>
            <w:tcBorders>
              <w:top w:val="single" w:color="C9D4DD" w:sz="1"/>
              <w:left w:val="single" w:color="C9D4DD" w:sz="1"/>
              <w:bottom w:val="single" w:color="C9D4DD" w:sz="1"/>
              <w:right w:val="single" w:color="C9D4DD" w:sz="1"/>
            </w:tcBorders>
            <w:shd w:fill="FFFFFF" w:color="auto" w:val="clear"/>
            <w:tcMar>
              <w:top w:type="dxa" w:w="55"/>
              <w:left w:type="dxa" w:w="100"/>
              <w:bottom w:type="dxa" w:w="55"/>
              <w:right w:type="dxa" w:w="100"/>
            </w:tcMar>
            <w:vAlign w:val="center"/>
          </w:tcPr>
          <w:p>
            <w:pPr>
              <w:spacing w:after="0" w:line="244"/>
            </w:pPr>
            <w:r>
              <w:rPr>
                <w:rFonts w:ascii="Calibri" w:cs="Calibri" w:eastAsia="Calibri" w:hAnsi="Calibri"/>
                <w:b w:val="false"/>
                <w:bCs w:val="false"/>
                <w:i w:val="false"/>
                <w:iCs w:val="false"/>
                <w:color w:val="1B232E"/>
                <w:sz w:val="18"/>
                <w:szCs w:val="18"/>
              </w:rPr>
              <w:t xml:space="preserve">Bellatrix Harbinger in orbit (2026); POEM heritage; ~$31M+ incl $20M; $76M factory</w:t>
            </w:r>
          </w:p>
        </w:tc>
        <w:tc>
          <w:tcPr>
            <w:tcW w:type="dxa" w:w="2700"/>
            <w:tcBorders>
              <w:top w:val="single" w:color="C9D4DD" w:sz="1"/>
              <w:left w:val="single" w:color="C9D4DD" w:sz="1"/>
              <w:bottom w:val="single" w:color="C9D4DD" w:sz="1"/>
              <w:right w:val="single" w:color="C9D4DD" w:sz="1"/>
            </w:tcBorders>
            <w:shd w:fill="FFFFFF" w:color="auto" w:val="clear"/>
            <w:tcMar>
              <w:top w:type="dxa" w:w="55"/>
              <w:left w:type="dxa" w:w="100"/>
              <w:bottom w:type="dxa" w:w="55"/>
              <w:right w:type="dxa" w:w="100"/>
            </w:tcMar>
            <w:vAlign w:val="center"/>
          </w:tcPr>
          <w:p>
            <w:pPr>
              <w:spacing w:after="0" w:line="244"/>
            </w:pPr>
            <w:r>
              <w:rPr>
                <w:rFonts w:ascii="Calibri" w:cs="Calibri" w:eastAsia="Calibri" w:hAnsi="Calibri"/>
                <w:b w:val="false"/>
                <w:bCs w:val="false"/>
                <w:i w:val="false"/>
                <w:iCs w:val="false"/>
                <w:color w:val="1B232E"/>
                <w:sz w:val="18"/>
                <w:szCs w:val="18"/>
              </w:rPr>
              <w:t xml:space="preserve">Wikipedia; News9 (2026)</w:t>
            </w:r>
          </w:p>
        </w:tc>
        <w:tc>
          <w:tcPr>
            <w:tcW w:type="dxa" w:w="1280"/>
            <w:tcBorders>
              <w:top w:val="single" w:color="C9D4DD" w:sz="1"/>
              <w:left w:val="single" w:color="C9D4DD" w:sz="1"/>
              <w:bottom w:val="single" w:color="C9D4DD" w:sz="1"/>
              <w:right w:val="single" w:color="C9D4DD" w:sz="1"/>
            </w:tcBorders>
            <w:shd w:fill="FFFFFF" w:color="auto" w:val="clear"/>
            <w:tcMar>
              <w:top w:type="dxa" w:w="55"/>
              <w:left w:type="dxa" w:w="100"/>
              <w:bottom w:type="dxa" w:w="55"/>
              <w:right w:type="dxa" w:w="100"/>
            </w:tcMar>
            <w:vAlign w:val="center"/>
          </w:tcPr>
          <w:p>
            <w:pPr>
              <w:spacing w:after="0" w:line="244"/>
            </w:pPr>
            <w:r>
              <w:rPr>
                <w:rFonts w:ascii="Calibri" w:cs="Calibri" w:eastAsia="Calibri" w:hAnsi="Calibri"/>
                <w:b w:val="false"/>
                <w:bCs w:val="false"/>
                <w:i w:val="false"/>
                <w:iCs w:val="false"/>
                <w:color w:val="1B232E"/>
                <w:sz w:val="18"/>
                <w:szCs w:val="18"/>
              </w:rPr>
              <w:t xml:space="preserve">Web Search</w:t>
            </w:r>
          </w:p>
        </w:tc>
        <w:tc>
          <w:tcPr>
            <w:tcW w:type="dxa" w:w="1700"/>
            <w:tcBorders>
              <w:top w:val="single" w:color="C9D4DD" w:sz="1"/>
              <w:left w:val="single" w:color="C9D4DD" w:sz="1"/>
              <w:bottom w:val="single" w:color="C9D4DD" w:sz="1"/>
              <w:right w:val="single" w:color="C9D4DD" w:sz="1"/>
            </w:tcBorders>
            <w:shd w:fill="FFFFFF" w:color="auto" w:val="clear"/>
            <w:tcMar>
              <w:top w:type="dxa" w:w="55"/>
              <w:left w:type="dxa" w:w="100"/>
              <w:bottom w:type="dxa" w:w="55"/>
              <w:right w:type="dxa" w:w="100"/>
            </w:tcMar>
            <w:vAlign w:val="center"/>
          </w:tcPr>
          <w:p>
            <w:pPr>
              <w:spacing w:after="0" w:line="244"/>
            </w:pPr>
            <w:hyperlink w:history="1" r:id="rIdup-d5fp1vkrojlhikqldn">
              <w:r>
                <w:rPr>
                  <w:rStyle w:val="Hyperlink"/>
                  <w:sz w:val="17"/>
                  <w:szCs w:val="17"/>
                </w:rPr>
                <w:t xml:space="preserve">en.wikipedia.org (Bellatrix)</w:t>
              </w:r>
            </w:hyperlink>
          </w:p>
        </w:tc>
      </w:tr>
      <w:tr>
        <w:tc>
          <w:tcPr>
            <w:tcW w:type="dxa" w:w="3680"/>
            <w:tcBorders>
              <w:top w:val="single" w:color="C9D4DD" w:sz="1"/>
              <w:left w:val="single" w:color="C9D4DD" w:sz="1"/>
              <w:bottom w:val="single" w:color="C9D4DD" w:sz="1"/>
              <w:right w:val="single" w:color="C9D4DD" w:sz="1"/>
            </w:tcBorders>
            <w:shd w:fill="EEF4F7" w:color="auto" w:val="clear"/>
            <w:tcMar>
              <w:top w:type="dxa" w:w="55"/>
              <w:left w:type="dxa" w:w="100"/>
              <w:bottom w:type="dxa" w:w="55"/>
              <w:right w:type="dxa" w:w="100"/>
            </w:tcMar>
            <w:vAlign w:val="center"/>
          </w:tcPr>
          <w:p>
            <w:pPr>
              <w:spacing w:after="0" w:line="244"/>
            </w:pPr>
            <w:r>
              <w:rPr>
                <w:rFonts w:ascii="Calibri" w:cs="Calibri" w:eastAsia="Calibri" w:hAnsi="Calibri"/>
                <w:b w:val="false"/>
                <w:bCs w:val="false"/>
                <w:i w:val="false"/>
                <w:iCs w:val="false"/>
                <w:color w:val="1B232E"/>
                <w:sz w:val="18"/>
                <w:szCs w:val="18"/>
              </w:rPr>
              <w:t xml:space="preserve">Albedo ~$97M; Clarity-1 flown (2025); VLEO-bus pivot; NRO and AFRL contracts</w:t>
            </w:r>
          </w:p>
        </w:tc>
        <w:tc>
          <w:tcPr>
            <w:tcW w:type="dxa" w:w="2700"/>
            <w:tcBorders>
              <w:top w:val="single" w:color="C9D4DD" w:sz="1"/>
              <w:left w:val="single" w:color="C9D4DD" w:sz="1"/>
              <w:bottom w:val="single" w:color="C9D4DD" w:sz="1"/>
              <w:right w:val="single" w:color="C9D4DD" w:sz="1"/>
            </w:tcBorders>
            <w:shd w:fill="EEF4F7" w:color="auto" w:val="clear"/>
            <w:tcMar>
              <w:top w:type="dxa" w:w="55"/>
              <w:left w:type="dxa" w:w="100"/>
              <w:bottom w:type="dxa" w:w="55"/>
              <w:right w:type="dxa" w:w="100"/>
            </w:tcMar>
            <w:vAlign w:val="center"/>
          </w:tcPr>
          <w:p>
            <w:pPr>
              <w:spacing w:after="0" w:line="244"/>
            </w:pPr>
            <w:r>
              <w:rPr>
                <w:rFonts w:ascii="Calibri" w:cs="Calibri" w:eastAsia="Calibri" w:hAnsi="Calibri"/>
                <w:b w:val="false"/>
                <w:bCs w:val="false"/>
                <w:i w:val="false"/>
                <w:iCs w:val="false"/>
                <w:color w:val="1B232E"/>
                <w:sz w:val="18"/>
                <w:szCs w:val="18"/>
              </w:rPr>
              <w:t xml:space="preserve">Wikipedia; Business Wire</w:t>
            </w:r>
          </w:p>
        </w:tc>
        <w:tc>
          <w:tcPr>
            <w:tcW w:type="dxa" w:w="1280"/>
            <w:tcBorders>
              <w:top w:val="single" w:color="C9D4DD" w:sz="1"/>
              <w:left w:val="single" w:color="C9D4DD" w:sz="1"/>
              <w:bottom w:val="single" w:color="C9D4DD" w:sz="1"/>
              <w:right w:val="single" w:color="C9D4DD" w:sz="1"/>
            </w:tcBorders>
            <w:shd w:fill="EEF4F7" w:color="auto" w:val="clear"/>
            <w:tcMar>
              <w:top w:type="dxa" w:w="55"/>
              <w:left w:type="dxa" w:w="100"/>
              <w:bottom w:type="dxa" w:w="55"/>
              <w:right w:type="dxa" w:w="100"/>
            </w:tcMar>
            <w:vAlign w:val="center"/>
          </w:tcPr>
          <w:p>
            <w:pPr>
              <w:spacing w:after="0" w:line="244"/>
            </w:pPr>
            <w:r>
              <w:rPr>
                <w:rFonts w:ascii="Calibri" w:cs="Calibri" w:eastAsia="Calibri" w:hAnsi="Calibri"/>
                <w:b w:val="false"/>
                <w:bCs w:val="false"/>
                <w:i w:val="false"/>
                <w:iCs w:val="false"/>
                <w:color w:val="1B232E"/>
                <w:sz w:val="18"/>
                <w:szCs w:val="18"/>
              </w:rPr>
              <w:t xml:space="preserve">Web Search</w:t>
            </w:r>
          </w:p>
        </w:tc>
        <w:tc>
          <w:tcPr>
            <w:tcW w:type="dxa" w:w="1700"/>
            <w:tcBorders>
              <w:top w:val="single" w:color="C9D4DD" w:sz="1"/>
              <w:left w:val="single" w:color="C9D4DD" w:sz="1"/>
              <w:bottom w:val="single" w:color="C9D4DD" w:sz="1"/>
              <w:right w:val="single" w:color="C9D4DD" w:sz="1"/>
            </w:tcBorders>
            <w:shd w:fill="EEF4F7" w:color="auto" w:val="clear"/>
            <w:tcMar>
              <w:top w:type="dxa" w:w="55"/>
              <w:left w:type="dxa" w:w="100"/>
              <w:bottom w:type="dxa" w:w="55"/>
              <w:right w:type="dxa" w:w="100"/>
            </w:tcMar>
            <w:vAlign w:val="center"/>
          </w:tcPr>
          <w:p>
            <w:pPr>
              <w:spacing w:after="0" w:line="244"/>
            </w:pPr>
            <w:hyperlink w:history="1" r:id="rIdnbws27btydnjx481cic_n">
              <w:r>
                <w:rPr>
                  <w:rStyle w:val="Hyperlink"/>
                  <w:sz w:val="17"/>
                  <w:szCs w:val="17"/>
                </w:rPr>
                <w:t xml:space="preserve">en.wikipedia.org (Albedo)</w:t>
              </w:r>
            </w:hyperlink>
          </w:p>
        </w:tc>
      </w:tr>
      <w:tr>
        <w:tc>
          <w:tcPr>
            <w:tcW w:type="dxa" w:w="3680"/>
            <w:tcBorders>
              <w:top w:val="single" w:color="C9D4DD" w:sz="1"/>
              <w:left w:val="single" w:color="C9D4DD" w:sz="1"/>
              <w:bottom w:val="single" w:color="C9D4DD" w:sz="1"/>
              <w:right w:val="single" w:color="C9D4DD" w:sz="1"/>
            </w:tcBorders>
            <w:shd w:fill="FFFFFF" w:color="auto" w:val="clear"/>
            <w:tcMar>
              <w:top w:type="dxa" w:w="55"/>
              <w:left w:type="dxa" w:w="100"/>
              <w:bottom w:type="dxa" w:w="55"/>
              <w:right w:type="dxa" w:w="100"/>
            </w:tcMar>
            <w:vAlign w:val="center"/>
          </w:tcPr>
          <w:p>
            <w:pPr>
              <w:spacing w:after="0" w:line="244"/>
            </w:pPr>
            <w:r>
              <w:rPr>
                <w:rFonts w:ascii="Calibri" w:cs="Calibri" w:eastAsia="Calibri" w:hAnsi="Calibri"/>
                <w:b w:val="false"/>
                <w:bCs w:val="false"/>
                <w:i w:val="false"/>
                <w:iCs w:val="false"/>
                <w:color w:val="1B232E"/>
                <w:sz w:val="18"/>
                <w:szCs w:val="18"/>
              </w:rPr>
              <w:t xml:space="preserve">EO demand about 50% US gov, 25% allied, 25% commercial; government is the anchor</w:t>
            </w:r>
          </w:p>
        </w:tc>
        <w:tc>
          <w:tcPr>
            <w:tcW w:type="dxa" w:w="2700"/>
            <w:tcBorders>
              <w:top w:val="single" w:color="C9D4DD" w:sz="1"/>
              <w:left w:val="single" w:color="C9D4DD" w:sz="1"/>
              <w:bottom w:val="single" w:color="C9D4DD" w:sz="1"/>
              <w:right w:val="single" w:color="C9D4DD" w:sz="1"/>
            </w:tcBorders>
            <w:shd w:fill="FFFFFF" w:color="auto" w:val="clear"/>
            <w:tcMar>
              <w:top w:type="dxa" w:w="55"/>
              <w:left w:type="dxa" w:w="100"/>
              <w:bottom w:type="dxa" w:w="55"/>
              <w:right w:type="dxa" w:w="100"/>
            </w:tcMar>
            <w:vAlign w:val="center"/>
          </w:tcPr>
          <w:p>
            <w:pPr>
              <w:spacing w:after="0" w:line="244"/>
            </w:pPr>
            <w:r>
              <w:rPr>
                <w:rFonts w:ascii="Calibri" w:cs="Calibri" w:eastAsia="Calibri" w:hAnsi="Calibri"/>
                <w:b w:val="false"/>
                <w:bCs w:val="false"/>
                <w:i w:val="false"/>
                <w:iCs w:val="false"/>
                <w:color w:val="1B232E"/>
                <w:sz w:val="18"/>
                <w:szCs w:val="18"/>
              </w:rPr>
              <w:t xml:space="preserve">Payload; SpaceNexus (2024 to 2026)</w:t>
            </w:r>
          </w:p>
        </w:tc>
        <w:tc>
          <w:tcPr>
            <w:tcW w:type="dxa" w:w="1280"/>
            <w:tcBorders>
              <w:top w:val="single" w:color="C9D4DD" w:sz="1"/>
              <w:left w:val="single" w:color="C9D4DD" w:sz="1"/>
              <w:bottom w:val="single" w:color="C9D4DD" w:sz="1"/>
              <w:right w:val="single" w:color="C9D4DD" w:sz="1"/>
            </w:tcBorders>
            <w:shd w:fill="FFFFFF" w:color="auto" w:val="clear"/>
            <w:tcMar>
              <w:top w:type="dxa" w:w="55"/>
              <w:left w:type="dxa" w:w="100"/>
              <w:bottom w:type="dxa" w:w="55"/>
              <w:right w:type="dxa" w:w="100"/>
            </w:tcMar>
            <w:vAlign w:val="center"/>
          </w:tcPr>
          <w:p>
            <w:pPr>
              <w:spacing w:after="0" w:line="244"/>
            </w:pPr>
            <w:r>
              <w:rPr>
                <w:rFonts w:ascii="Calibri" w:cs="Calibri" w:eastAsia="Calibri" w:hAnsi="Calibri"/>
                <w:b w:val="false"/>
                <w:bCs w:val="false"/>
                <w:i w:val="false"/>
                <w:iCs w:val="false"/>
                <w:color w:val="1B232E"/>
                <w:sz w:val="18"/>
                <w:szCs w:val="18"/>
              </w:rPr>
              <w:t xml:space="preserve">Web Search</w:t>
            </w:r>
          </w:p>
        </w:tc>
        <w:tc>
          <w:tcPr>
            <w:tcW w:type="dxa" w:w="1700"/>
            <w:tcBorders>
              <w:top w:val="single" w:color="C9D4DD" w:sz="1"/>
              <w:left w:val="single" w:color="C9D4DD" w:sz="1"/>
              <w:bottom w:val="single" w:color="C9D4DD" w:sz="1"/>
              <w:right w:val="single" w:color="C9D4DD" w:sz="1"/>
            </w:tcBorders>
            <w:shd w:fill="FFFFFF" w:color="auto" w:val="clear"/>
            <w:tcMar>
              <w:top w:type="dxa" w:w="55"/>
              <w:left w:type="dxa" w:w="100"/>
              <w:bottom w:type="dxa" w:w="55"/>
              <w:right w:type="dxa" w:w="100"/>
            </w:tcMar>
            <w:vAlign w:val="center"/>
          </w:tcPr>
          <w:p>
            <w:pPr>
              <w:spacing w:after="0" w:line="244"/>
            </w:pPr>
            <w:hyperlink w:history="1" r:id="rId2-qyo_jateadbc24_aom9">
              <w:r>
                <w:rPr>
                  <w:rStyle w:val="Hyperlink"/>
                  <w:sz w:val="17"/>
                  <w:szCs w:val="17"/>
                </w:rPr>
                <w:t xml:space="preserve">payloadspace.com</w:t>
              </w:r>
            </w:hyperlink>
          </w:p>
        </w:tc>
      </w:tr>
      <w:tr>
        <w:tc>
          <w:tcPr>
            <w:tcW w:type="dxa" w:w="3680"/>
            <w:tcBorders>
              <w:top w:val="single" w:color="C9D4DD" w:sz="1"/>
              <w:left w:val="single" w:color="C9D4DD" w:sz="1"/>
              <w:bottom w:val="single" w:color="C9D4DD" w:sz="1"/>
              <w:right w:val="single" w:color="C9D4DD" w:sz="1"/>
            </w:tcBorders>
            <w:shd w:fill="EEF4F7" w:color="auto" w:val="clear"/>
            <w:tcMar>
              <w:top w:type="dxa" w:w="55"/>
              <w:left w:type="dxa" w:w="100"/>
              <w:bottom w:type="dxa" w:w="55"/>
              <w:right w:type="dxa" w:w="100"/>
            </w:tcMar>
            <w:vAlign w:val="center"/>
          </w:tcPr>
          <w:p>
            <w:pPr>
              <w:spacing w:after="0" w:line="244"/>
            </w:pPr>
            <w:r>
              <w:rPr>
                <w:rFonts w:ascii="Calibri" w:cs="Calibri" w:eastAsia="Calibri" w:hAnsi="Calibri"/>
                <w:b w:val="false"/>
                <w:bCs w:val="false"/>
                <w:i w:val="false"/>
                <w:iCs w:val="false"/>
                <w:color w:val="1B232E"/>
                <w:sz w:val="18"/>
                <w:szCs w:val="18"/>
              </w:rPr>
              <w:t xml:space="preserve">VLEO about 11% CAGR; share to high-teens by 2030; LEO 66% of EO revenue 2024</w:t>
            </w:r>
          </w:p>
        </w:tc>
        <w:tc>
          <w:tcPr>
            <w:tcW w:type="dxa" w:w="2700"/>
            <w:tcBorders>
              <w:top w:val="single" w:color="C9D4DD" w:sz="1"/>
              <w:left w:val="single" w:color="C9D4DD" w:sz="1"/>
              <w:bottom w:val="single" w:color="C9D4DD" w:sz="1"/>
              <w:right w:val="single" w:color="C9D4DD" w:sz="1"/>
            </w:tcBorders>
            <w:shd w:fill="EEF4F7" w:color="auto" w:val="clear"/>
            <w:tcMar>
              <w:top w:type="dxa" w:w="55"/>
              <w:left w:type="dxa" w:w="100"/>
              <w:bottom w:type="dxa" w:w="55"/>
              <w:right w:type="dxa" w:w="100"/>
            </w:tcMar>
            <w:vAlign w:val="center"/>
          </w:tcPr>
          <w:p>
            <w:pPr>
              <w:spacing w:after="0" w:line="244"/>
            </w:pPr>
            <w:r>
              <w:rPr>
                <w:rFonts w:ascii="Calibri" w:cs="Calibri" w:eastAsia="Calibri" w:hAnsi="Calibri"/>
                <w:b w:val="false"/>
                <w:bCs w:val="false"/>
                <w:i w:val="false"/>
                <w:iCs w:val="false"/>
                <w:color w:val="1B232E"/>
                <w:sz w:val="18"/>
                <w:szCs w:val="18"/>
              </w:rPr>
              <w:t xml:space="preserve">Mordor Intelligence (2025)</w:t>
            </w:r>
          </w:p>
        </w:tc>
        <w:tc>
          <w:tcPr>
            <w:tcW w:type="dxa" w:w="1280"/>
            <w:tcBorders>
              <w:top w:val="single" w:color="C9D4DD" w:sz="1"/>
              <w:left w:val="single" w:color="C9D4DD" w:sz="1"/>
              <w:bottom w:val="single" w:color="C9D4DD" w:sz="1"/>
              <w:right w:val="single" w:color="C9D4DD" w:sz="1"/>
            </w:tcBorders>
            <w:shd w:fill="EEF4F7" w:color="auto" w:val="clear"/>
            <w:tcMar>
              <w:top w:type="dxa" w:w="55"/>
              <w:left w:type="dxa" w:w="100"/>
              <w:bottom w:type="dxa" w:w="55"/>
              <w:right w:type="dxa" w:w="100"/>
            </w:tcMar>
            <w:vAlign w:val="center"/>
          </w:tcPr>
          <w:p>
            <w:pPr>
              <w:spacing w:after="0" w:line="244"/>
            </w:pPr>
            <w:r>
              <w:rPr>
                <w:rFonts w:ascii="Calibri" w:cs="Calibri" w:eastAsia="Calibri" w:hAnsi="Calibri"/>
                <w:b w:val="false"/>
                <w:bCs w:val="false"/>
                <w:i w:val="false"/>
                <w:iCs w:val="false"/>
                <w:color w:val="1B232E"/>
                <w:sz w:val="18"/>
                <w:szCs w:val="18"/>
              </w:rPr>
              <w:t xml:space="preserve">LLM Provided</w:t>
            </w:r>
          </w:p>
        </w:tc>
        <w:tc>
          <w:tcPr>
            <w:tcW w:type="dxa" w:w="1700"/>
            <w:tcBorders>
              <w:top w:val="single" w:color="C9D4DD" w:sz="1"/>
              <w:left w:val="single" w:color="C9D4DD" w:sz="1"/>
              <w:bottom w:val="single" w:color="C9D4DD" w:sz="1"/>
              <w:right w:val="single" w:color="C9D4DD" w:sz="1"/>
            </w:tcBorders>
            <w:shd w:fill="EEF4F7" w:color="auto" w:val="clear"/>
            <w:tcMar>
              <w:top w:type="dxa" w:w="55"/>
              <w:left w:type="dxa" w:w="100"/>
              <w:bottom w:type="dxa" w:w="55"/>
              <w:right w:type="dxa" w:w="100"/>
            </w:tcMar>
            <w:vAlign w:val="center"/>
          </w:tcPr>
          <w:p>
            <w:pPr>
              <w:spacing w:after="0" w:line="244"/>
            </w:pPr>
            <w:r>
              <w:rPr>
                <w:rFonts w:ascii="Calibri" w:cs="Calibri" w:eastAsia="Calibri" w:hAnsi="Calibri"/>
                <w:b w:val="false"/>
                <w:bCs w:val="false"/>
                <w:i w:val="false"/>
                <w:iCs w:val="false"/>
                <w:color w:val="5E6B7A"/>
                <w:sz w:val="18"/>
                <w:szCs w:val="18"/>
              </w:rPr>
              <w:t xml:space="preserve">n/a</w:t>
            </w:r>
          </w:p>
        </w:tc>
      </w:tr>
      <w:tr>
        <w:tc>
          <w:tcPr>
            <w:tcW w:type="dxa" w:w="3680"/>
            <w:tcBorders>
              <w:top w:val="single" w:color="C9D4DD" w:sz="1"/>
              <w:left w:val="single" w:color="C9D4DD" w:sz="1"/>
              <w:bottom w:val="single" w:color="C9D4DD" w:sz="1"/>
              <w:right w:val="single" w:color="C9D4DD" w:sz="1"/>
            </w:tcBorders>
            <w:shd w:fill="FFFFFF" w:color="auto" w:val="clear"/>
            <w:tcMar>
              <w:top w:type="dxa" w:w="55"/>
              <w:left w:type="dxa" w:w="100"/>
              <w:bottom w:type="dxa" w:w="55"/>
              <w:right w:type="dxa" w:w="100"/>
            </w:tcMar>
            <w:vAlign w:val="center"/>
          </w:tcPr>
          <w:p>
            <w:pPr>
              <w:spacing w:after="0" w:line="244"/>
            </w:pPr>
            <w:r>
              <w:rPr>
                <w:rFonts w:ascii="Calibri" w:cs="Calibri" w:eastAsia="Calibri" w:hAnsi="Calibri"/>
                <w:b w:val="false"/>
                <w:bCs w:val="false"/>
                <w:i w:val="false"/>
                <w:iCs w:val="false"/>
                <w:color w:val="1B232E"/>
                <w:sz w:val="18"/>
                <w:szCs w:val="18"/>
              </w:rPr>
              <w:t xml:space="preserve">Global space economy $1.8T by 2035 (from $630B in 2023)</w:t>
            </w:r>
          </w:p>
        </w:tc>
        <w:tc>
          <w:tcPr>
            <w:tcW w:type="dxa" w:w="2700"/>
            <w:tcBorders>
              <w:top w:val="single" w:color="C9D4DD" w:sz="1"/>
              <w:left w:val="single" w:color="C9D4DD" w:sz="1"/>
              <w:bottom w:val="single" w:color="C9D4DD" w:sz="1"/>
              <w:right w:val="single" w:color="C9D4DD" w:sz="1"/>
            </w:tcBorders>
            <w:shd w:fill="FFFFFF" w:color="auto" w:val="clear"/>
            <w:tcMar>
              <w:top w:type="dxa" w:w="55"/>
              <w:left w:type="dxa" w:w="100"/>
              <w:bottom w:type="dxa" w:w="55"/>
              <w:right w:type="dxa" w:w="100"/>
            </w:tcMar>
            <w:vAlign w:val="center"/>
          </w:tcPr>
          <w:p>
            <w:pPr>
              <w:spacing w:after="0" w:line="244"/>
            </w:pPr>
            <w:r>
              <w:rPr>
                <w:rFonts w:ascii="Calibri" w:cs="Calibri" w:eastAsia="Calibri" w:hAnsi="Calibri"/>
                <w:b w:val="false"/>
                <w:bCs w:val="false"/>
                <w:i w:val="false"/>
                <w:iCs w:val="false"/>
                <w:color w:val="1B232E"/>
                <w:sz w:val="18"/>
                <w:szCs w:val="18"/>
              </w:rPr>
              <w:t xml:space="preserve">WEF and McKinsey (April 2024)</w:t>
            </w:r>
          </w:p>
        </w:tc>
        <w:tc>
          <w:tcPr>
            <w:tcW w:type="dxa" w:w="1280"/>
            <w:tcBorders>
              <w:top w:val="single" w:color="C9D4DD" w:sz="1"/>
              <w:left w:val="single" w:color="C9D4DD" w:sz="1"/>
              <w:bottom w:val="single" w:color="C9D4DD" w:sz="1"/>
              <w:right w:val="single" w:color="C9D4DD" w:sz="1"/>
            </w:tcBorders>
            <w:shd w:fill="FFFFFF" w:color="auto" w:val="clear"/>
            <w:tcMar>
              <w:top w:type="dxa" w:w="55"/>
              <w:left w:type="dxa" w:w="100"/>
              <w:bottom w:type="dxa" w:w="55"/>
              <w:right w:type="dxa" w:w="100"/>
            </w:tcMar>
            <w:vAlign w:val="center"/>
          </w:tcPr>
          <w:p>
            <w:pPr>
              <w:spacing w:after="0" w:line="244"/>
            </w:pPr>
            <w:r>
              <w:rPr>
                <w:rFonts w:ascii="Calibri" w:cs="Calibri" w:eastAsia="Calibri" w:hAnsi="Calibri"/>
                <w:b w:val="false"/>
                <w:bCs w:val="false"/>
                <w:i w:val="false"/>
                <w:iCs w:val="false"/>
                <w:color w:val="1B232E"/>
                <w:sz w:val="18"/>
                <w:szCs w:val="18"/>
              </w:rPr>
              <w:t xml:space="preserve">Web Search</w:t>
            </w:r>
          </w:p>
        </w:tc>
        <w:tc>
          <w:tcPr>
            <w:tcW w:type="dxa" w:w="1700"/>
            <w:tcBorders>
              <w:top w:val="single" w:color="C9D4DD" w:sz="1"/>
              <w:left w:val="single" w:color="C9D4DD" w:sz="1"/>
              <w:bottom w:val="single" w:color="C9D4DD" w:sz="1"/>
              <w:right w:val="single" w:color="C9D4DD" w:sz="1"/>
            </w:tcBorders>
            <w:shd w:fill="FFFFFF" w:color="auto" w:val="clear"/>
            <w:tcMar>
              <w:top w:type="dxa" w:w="55"/>
              <w:left w:type="dxa" w:w="100"/>
              <w:bottom w:type="dxa" w:w="55"/>
              <w:right w:type="dxa" w:w="100"/>
            </w:tcMar>
            <w:vAlign w:val="center"/>
          </w:tcPr>
          <w:p>
            <w:pPr>
              <w:spacing w:after="0" w:line="244"/>
            </w:pPr>
            <w:hyperlink w:history="1" r:id="rId9b8_t8r3lbd2dzj_epnot">
              <w:r>
                <w:rPr>
                  <w:rStyle w:val="Hyperlink"/>
                  <w:sz w:val="17"/>
                  <w:szCs w:val="17"/>
                </w:rPr>
                <w:t xml:space="preserve">weforum.org</w:t>
              </w:r>
            </w:hyperlink>
          </w:p>
        </w:tc>
      </w:tr>
      <w:tr>
        <w:tc>
          <w:tcPr>
            <w:tcW w:type="dxa" w:w="3680"/>
            <w:tcBorders>
              <w:top w:val="single" w:color="C9D4DD" w:sz="1"/>
              <w:left w:val="single" w:color="C9D4DD" w:sz="1"/>
              <w:bottom w:val="single" w:color="C9D4DD" w:sz="1"/>
              <w:right w:val="single" w:color="C9D4DD" w:sz="1"/>
            </w:tcBorders>
            <w:shd w:fill="EEF4F7" w:color="auto" w:val="clear"/>
            <w:tcMar>
              <w:top w:type="dxa" w:w="55"/>
              <w:left w:type="dxa" w:w="100"/>
              <w:bottom w:type="dxa" w:w="55"/>
              <w:right w:type="dxa" w:w="100"/>
            </w:tcMar>
            <w:vAlign w:val="center"/>
          </w:tcPr>
          <w:p>
            <w:pPr>
              <w:spacing w:after="0" w:line="244"/>
            </w:pPr>
            <w:r>
              <w:rPr>
                <w:rFonts w:ascii="Calibri" w:cs="Calibri" w:eastAsia="Calibri" w:hAnsi="Calibri"/>
                <w:b w:val="false"/>
                <w:bCs w:val="false"/>
                <w:i w:val="false"/>
                <w:iCs w:val="false"/>
                <w:color w:val="1B232E"/>
                <w:sz w:val="18"/>
                <w:szCs w:val="18"/>
              </w:rPr>
              <w:t xml:space="preserve">EO data and services about $8B (data $2.2B plus value-added services $3.2B, 2024)</w:t>
            </w:r>
          </w:p>
        </w:tc>
        <w:tc>
          <w:tcPr>
            <w:tcW w:type="dxa" w:w="2700"/>
            <w:tcBorders>
              <w:top w:val="single" w:color="C9D4DD" w:sz="1"/>
              <w:left w:val="single" w:color="C9D4DD" w:sz="1"/>
              <w:bottom w:val="single" w:color="C9D4DD" w:sz="1"/>
              <w:right w:val="single" w:color="C9D4DD" w:sz="1"/>
            </w:tcBorders>
            <w:shd w:fill="EEF4F7" w:color="auto" w:val="clear"/>
            <w:tcMar>
              <w:top w:type="dxa" w:w="55"/>
              <w:left w:type="dxa" w:w="100"/>
              <w:bottom w:type="dxa" w:w="55"/>
              <w:right w:type="dxa" w:w="100"/>
            </w:tcMar>
            <w:vAlign w:val="center"/>
          </w:tcPr>
          <w:p>
            <w:pPr>
              <w:spacing w:after="0" w:line="244"/>
            </w:pPr>
            <w:r>
              <w:rPr>
                <w:rFonts w:ascii="Calibri" w:cs="Calibri" w:eastAsia="Calibri" w:hAnsi="Calibri"/>
                <w:b w:val="false"/>
                <w:bCs w:val="false"/>
                <w:i w:val="false"/>
                <w:iCs w:val="false"/>
                <w:color w:val="1B232E"/>
                <w:sz w:val="18"/>
                <w:szCs w:val="18"/>
              </w:rPr>
              <w:t xml:space="preserve">Novaspace / Euroconsult (2024)</w:t>
            </w:r>
          </w:p>
        </w:tc>
        <w:tc>
          <w:tcPr>
            <w:tcW w:type="dxa" w:w="1280"/>
            <w:tcBorders>
              <w:top w:val="single" w:color="C9D4DD" w:sz="1"/>
              <w:left w:val="single" w:color="C9D4DD" w:sz="1"/>
              <w:bottom w:val="single" w:color="C9D4DD" w:sz="1"/>
              <w:right w:val="single" w:color="C9D4DD" w:sz="1"/>
            </w:tcBorders>
            <w:shd w:fill="EEF4F7" w:color="auto" w:val="clear"/>
            <w:tcMar>
              <w:top w:type="dxa" w:w="55"/>
              <w:left w:type="dxa" w:w="100"/>
              <w:bottom w:type="dxa" w:w="55"/>
              <w:right w:type="dxa" w:w="100"/>
            </w:tcMar>
            <w:vAlign w:val="center"/>
          </w:tcPr>
          <w:p>
            <w:pPr>
              <w:spacing w:after="0" w:line="244"/>
            </w:pPr>
            <w:r>
              <w:rPr>
                <w:rFonts w:ascii="Calibri" w:cs="Calibri" w:eastAsia="Calibri" w:hAnsi="Calibri"/>
                <w:b w:val="false"/>
                <w:bCs w:val="false"/>
                <w:i w:val="false"/>
                <w:iCs w:val="false"/>
                <w:color w:val="1B232E"/>
                <w:sz w:val="18"/>
                <w:szCs w:val="18"/>
              </w:rPr>
              <w:t xml:space="preserve">Web Search</w:t>
            </w:r>
          </w:p>
        </w:tc>
        <w:tc>
          <w:tcPr>
            <w:tcW w:type="dxa" w:w="1700"/>
            <w:tcBorders>
              <w:top w:val="single" w:color="C9D4DD" w:sz="1"/>
              <w:left w:val="single" w:color="C9D4DD" w:sz="1"/>
              <w:bottom w:val="single" w:color="C9D4DD" w:sz="1"/>
              <w:right w:val="single" w:color="C9D4DD" w:sz="1"/>
            </w:tcBorders>
            <w:shd w:fill="EEF4F7" w:color="auto" w:val="clear"/>
            <w:tcMar>
              <w:top w:type="dxa" w:w="55"/>
              <w:left w:type="dxa" w:w="100"/>
              <w:bottom w:type="dxa" w:w="55"/>
              <w:right w:type="dxa" w:w="100"/>
            </w:tcMar>
            <w:vAlign w:val="center"/>
          </w:tcPr>
          <w:p>
            <w:pPr>
              <w:spacing w:after="0" w:line="244"/>
            </w:pPr>
            <w:hyperlink w:history="1" r:id="rId13ypgzwitbrzkj0n8ygmx">
              <w:r>
                <w:rPr>
                  <w:rStyle w:val="Hyperlink"/>
                  <w:sz w:val="17"/>
                  <w:szCs w:val="17"/>
                </w:rPr>
                <w:t xml:space="preserve">nova.space</w:t>
              </w:r>
            </w:hyperlink>
          </w:p>
        </w:tc>
      </w:tr>
      <w:tr>
        <w:tc>
          <w:tcPr>
            <w:tcW w:type="dxa" w:w="3680"/>
            <w:tcBorders>
              <w:top w:val="single" w:color="C9D4DD" w:sz="1"/>
              <w:left w:val="single" w:color="C9D4DD" w:sz="1"/>
              <w:bottom w:val="single" w:color="C9D4DD" w:sz="1"/>
              <w:right w:val="single" w:color="C9D4DD" w:sz="1"/>
            </w:tcBorders>
            <w:shd w:fill="FFFFFF" w:color="auto" w:val="clear"/>
            <w:tcMar>
              <w:top w:type="dxa" w:w="55"/>
              <w:left w:type="dxa" w:w="100"/>
              <w:bottom w:type="dxa" w:w="55"/>
              <w:right w:type="dxa" w:w="100"/>
            </w:tcMar>
            <w:vAlign w:val="center"/>
          </w:tcPr>
          <w:p>
            <w:pPr>
              <w:spacing w:after="0" w:line="244"/>
            </w:pPr>
            <w:r>
              <w:rPr>
                <w:rFonts w:ascii="Calibri" w:cs="Calibri" w:eastAsia="Calibri" w:hAnsi="Calibri"/>
                <w:b w:val="false"/>
                <w:bCs w:val="false"/>
                <w:i w:val="false"/>
                <w:iCs w:val="false"/>
                <w:color w:val="1B232E"/>
                <w:sz w:val="18"/>
                <w:szCs w:val="18"/>
              </w:rPr>
              <w:t xml:space="preserve">SpaceX rideshare about $7k/kg; deploys 500 to 600 km; Apex buses about $3.5M to $9.5M</w:t>
            </w:r>
          </w:p>
        </w:tc>
        <w:tc>
          <w:tcPr>
            <w:tcW w:type="dxa" w:w="2700"/>
            <w:tcBorders>
              <w:top w:val="single" w:color="C9D4DD" w:sz="1"/>
              <w:left w:val="single" w:color="C9D4DD" w:sz="1"/>
              <w:bottom w:val="single" w:color="C9D4DD" w:sz="1"/>
              <w:right w:val="single" w:color="C9D4DD" w:sz="1"/>
            </w:tcBorders>
            <w:shd w:fill="FFFFFF" w:color="auto" w:val="clear"/>
            <w:tcMar>
              <w:top w:type="dxa" w:w="55"/>
              <w:left w:type="dxa" w:w="100"/>
              <w:bottom w:type="dxa" w:w="55"/>
              <w:right w:type="dxa" w:w="100"/>
            </w:tcMar>
            <w:vAlign w:val="center"/>
          </w:tcPr>
          <w:p>
            <w:pPr>
              <w:spacing w:after="0" w:line="244"/>
            </w:pPr>
            <w:r>
              <w:rPr>
                <w:rFonts w:ascii="Calibri" w:cs="Calibri" w:eastAsia="Calibri" w:hAnsi="Calibri"/>
                <w:b w:val="false"/>
                <w:bCs w:val="false"/>
                <w:i w:val="false"/>
                <w:iCs w:val="false"/>
                <w:color w:val="1B232E"/>
                <w:sz w:val="18"/>
                <w:szCs w:val="18"/>
              </w:rPr>
              <w:t xml:space="preserve">SpaceX; Apex Space (2026)</w:t>
            </w:r>
          </w:p>
        </w:tc>
        <w:tc>
          <w:tcPr>
            <w:tcW w:type="dxa" w:w="1280"/>
            <w:tcBorders>
              <w:top w:val="single" w:color="C9D4DD" w:sz="1"/>
              <w:left w:val="single" w:color="C9D4DD" w:sz="1"/>
              <w:bottom w:val="single" w:color="C9D4DD" w:sz="1"/>
              <w:right w:val="single" w:color="C9D4DD" w:sz="1"/>
            </w:tcBorders>
            <w:shd w:fill="FFFFFF" w:color="auto" w:val="clear"/>
            <w:tcMar>
              <w:top w:type="dxa" w:w="55"/>
              <w:left w:type="dxa" w:w="100"/>
              <w:bottom w:type="dxa" w:w="55"/>
              <w:right w:type="dxa" w:w="100"/>
            </w:tcMar>
            <w:vAlign w:val="center"/>
          </w:tcPr>
          <w:p>
            <w:pPr>
              <w:spacing w:after="0" w:line="244"/>
            </w:pPr>
            <w:r>
              <w:rPr>
                <w:rFonts w:ascii="Calibri" w:cs="Calibri" w:eastAsia="Calibri" w:hAnsi="Calibri"/>
                <w:b w:val="false"/>
                <w:bCs w:val="false"/>
                <w:i w:val="false"/>
                <w:iCs w:val="false"/>
                <w:color w:val="1B232E"/>
                <w:sz w:val="18"/>
                <w:szCs w:val="18"/>
              </w:rPr>
              <w:t xml:space="preserve">LLM Provided</w:t>
            </w:r>
          </w:p>
        </w:tc>
        <w:tc>
          <w:tcPr>
            <w:tcW w:type="dxa" w:w="1700"/>
            <w:tcBorders>
              <w:top w:val="single" w:color="C9D4DD" w:sz="1"/>
              <w:left w:val="single" w:color="C9D4DD" w:sz="1"/>
              <w:bottom w:val="single" w:color="C9D4DD" w:sz="1"/>
              <w:right w:val="single" w:color="C9D4DD" w:sz="1"/>
            </w:tcBorders>
            <w:shd w:fill="FFFFFF" w:color="auto" w:val="clear"/>
            <w:tcMar>
              <w:top w:type="dxa" w:w="55"/>
              <w:left w:type="dxa" w:w="100"/>
              <w:bottom w:type="dxa" w:w="55"/>
              <w:right w:type="dxa" w:w="100"/>
            </w:tcMar>
            <w:vAlign w:val="center"/>
          </w:tcPr>
          <w:p>
            <w:pPr>
              <w:spacing w:after="0" w:line="244"/>
            </w:pPr>
            <w:r>
              <w:rPr>
                <w:rFonts w:ascii="Calibri" w:cs="Calibri" w:eastAsia="Calibri" w:hAnsi="Calibri"/>
                <w:b w:val="false"/>
                <w:bCs w:val="false"/>
                <w:i w:val="false"/>
                <w:iCs w:val="false"/>
                <w:color w:val="5E6B7A"/>
                <w:sz w:val="18"/>
                <w:szCs w:val="18"/>
              </w:rPr>
              <w:t xml:space="preserve">n/a</w:t>
            </w:r>
          </w:p>
        </w:tc>
      </w:tr>
      <w:tr>
        <w:tc>
          <w:tcPr>
            <w:tcW w:type="dxa" w:w="3680"/>
            <w:tcBorders>
              <w:top w:val="single" w:color="C9D4DD" w:sz="1"/>
              <w:left w:val="single" w:color="C9D4DD" w:sz="1"/>
              <w:bottom w:val="single" w:color="C9D4DD" w:sz="1"/>
              <w:right w:val="single" w:color="C9D4DD" w:sz="1"/>
            </w:tcBorders>
            <w:shd w:fill="EEF4F7" w:color="auto" w:val="clear"/>
            <w:tcMar>
              <w:top w:type="dxa" w:w="55"/>
              <w:left w:type="dxa" w:w="100"/>
              <w:bottom w:type="dxa" w:w="55"/>
              <w:right w:type="dxa" w:w="100"/>
            </w:tcMar>
            <w:vAlign w:val="center"/>
          </w:tcPr>
          <w:p>
            <w:pPr>
              <w:spacing w:after="0" w:line="244"/>
            </w:pPr>
            <w:r>
              <w:rPr>
                <w:rFonts w:ascii="Calibri" w:cs="Calibri" w:eastAsia="Calibri" w:hAnsi="Calibri"/>
                <w:b w:val="false"/>
                <w:bCs w:val="false"/>
                <w:i w:val="false"/>
                <w:iCs w:val="false"/>
                <w:color w:val="1B232E"/>
                <w:sz w:val="18"/>
                <w:szCs w:val="18"/>
              </w:rPr>
              <w:t xml:space="preserve">India space economy about $44B by 2033; founder ownership about 70%; 6 investors</w:t>
            </w:r>
          </w:p>
        </w:tc>
        <w:tc>
          <w:tcPr>
            <w:tcW w:type="dxa" w:w="2700"/>
            <w:tcBorders>
              <w:top w:val="single" w:color="C9D4DD" w:sz="1"/>
              <w:left w:val="single" w:color="C9D4DD" w:sz="1"/>
              <w:bottom w:val="single" w:color="C9D4DD" w:sz="1"/>
              <w:right w:val="single" w:color="C9D4DD" w:sz="1"/>
            </w:tcBorders>
            <w:shd w:fill="EEF4F7" w:color="auto" w:val="clear"/>
            <w:tcMar>
              <w:top w:type="dxa" w:w="55"/>
              <w:left w:type="dxa" w:w="100"/>
              <w:bottom w:type="dxa" w:w="55"/>
              <w:right w:type="dxa" w:w="100"/>
            </w:tcMar>
            <w:vAlign w:val="center"/>
          </w:tcPr>
          <w:p>
            <w:pPr>
              <w:spacing w:after="0" w:line="244"/>
            </w:pPr>
            <w:r>
              <w:rPr>
                <w:rFonts w:ascii="Calibri" w:cs="Calibri" w:eastAsia="Calibri" w:hAnsi="Calibri"/>
                <w:b w:val="false"/>
                <w:bCs w:val="false"/>
                <w:i w:val="false"/>
                <w:iCs w:val="false"/>
                <w:color w:val="1B232E"/>
                <w:sz w:val="18"/>
                <w:szCs w:val="18"/>
              </w:rPr>
              <w:t xml:space="preserve">IBEF / SIA-India; Tracxn (2025)</w:t>
            </w:r>
          </w:p>
        </w:tc>
        <w:tc>
          <w:tcPr>
            <w:tcW w:type="dxa" w:w="1280"/>
            <w:tcBorders>
              <w:top w:val="single" w:color="C9D4DD" w:sz="1"/>
              <w:left w:val="single" w:color="C9D4DD" w:sz="1"/>
              <w:bottom w:val="single" w:color="C9D4DD" w:sz="1"/>
              <w:right w:val="single" w:color="C9D4DD" w:sz="1"/>
            </w:tcBorders>
            <w:shd w:fill="EEF4F7" w:color="auto" w:val="clear"/>
            <w:tcMar>
              <w:top w:type="dxa" w:w="55"/>
              <w:left w:type="dxa" w:w="100"/>
              <w:bottom w:type="dxa" w:w="55"/>
              <w:right w:type="dxa" w:w="100"/>
            </w:tcMar>
            <w:vAlign w:val="center"/>
          </w:tcPr>
          <w:p>
            <w:pPr>
              <w:spacing w:after="0" w:line="244"/>
            </w:pPr>
            <w:r>
              <w:rPr>
                <w:rFonts w:ascii="Calibri" w:cs="Calibri" w:eastAsia="Calibri" w:hAnsi="Calibri"/>
                <w:b w:val="false"/>
                <w:bCs w:val="false"/>
                <w:i w:val="false"/>
                <w:iCs w:val="false"/>
                <w:color w:val="1B232E"/>
                <w:sz w:val="18"/>
                <w:szCs w:val="18"/>
              </w:rPr>
              <w:t xml:space="preserve">LLM Provided</w:t>
            </w:r>
          </w:p>
        </w:tc>
        <w:tc>
          <w:tcPr>
            <w:tcW w:type="dxa" w:w="1700"/>
            <w:tcBorders>
              <w:top w:val="single" w:color="C9D4DD" w:sz="1"/>
              <w:left w:val="single" w:color="C9D4DD" w:sz="1"/>
              <w:bottom w:val="single" w:color="C9D4DD" w:sz="1"/>
              <w:right w:val="single" w:color="C9D4DD" w:sz="1"/>
            </w:tcBorders>
            <w:shd w:fill="EEF4F7" w:color="auto" w:val="clear"/>
            <w:tcMar>
              <w:top w:type="dxa" w:w="55"/>
              <w:left w:type="dxa" w:w="100"/>
              <w:bottom w:type="dxa" w:w="55"/>
              <w:right w:type="dxa" w:w="100"/>
            </w:tcMar>
            <w:vAlign w:val="center"/>
          </w:tcPr>
          <w:p>
            <w:pPr>
              <w:spacing w:after="0" w:line="244"/>
            </w:pPr>
            <w:r>
              <w:rPr>
                <w:rFonts w:ascii="Calibri" w:cs="Calibri" w:eastAsia="Calibri" w:hAnsi="Calibri"/>
                <w:b w:val="false"/>
                <w:bCs w:val="false"/>
                <w:i w:val="false"/>
                <w:iCs w:val="false"/>
                <w:color w:val="5E6B7A"/>
                <w:sz w:val="18"/>
                <w:szCs w:val="18"/>
              </w:rPr>
              <w:t xml:space="preserve">n/a</w:t>
            </w:r>
          </w:p>
        </w:tc>
      </w:tr>
    </w:tbl>
    <w:p>
      <w:pPr>
        <w:spacing w:after="40"/>
      </w:pPr>
    </w:p>
    <w:p>
      <w:pPr>
        <w:spacing w:before="80"/>
      </w:pPr>
      <w:r>
        <w:rPr>
          <w:rFonts w:ascii="Calibri" w:cs="Calibri" w:eastAsia="Calibri" w:hAnsi="Calibri"/>
          <w:b w:val="false"/>
          <w:bCs w:val="false"/>
          <w:i/>
          <w:iCs/>
          <w:color w:val="5E6B7A"/>
          <w:sz w:val="18"/>
          <w:szCs w:val="18"/>
        </w:rPr>
        <w:t xml:space="preserve">This memo was prepared as an investment evaluation. It is not legal or financial advice, and the figures and forecasts should be independently verified before any external use or decision.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b w:val="false"/>
        <w:bCs w:val="false"/>
        <w:i w:val="false"/>
        <w:iCs w:val="false"/>
        <w:color w:val="5E6B7A"/>
        <w:sz w:val="17"/>
        <w:szCs w:val="17"/>
      </w:rPr>
      <w:t xml:space="preserve">Confidential  |  June 2026</w:t>
    </w:r>
    <w:r>
      <w:rPr>
        <w:rFonts w:ascii="Calibri" w:cs="Calibri" w:eastAsia="Calibri" w:hAnsi="Calibri"/>
        <w:color w:val="5E6B7A"/>
        <w:sz w:val="17"/>
        <w:szCs w:val="17"/>
      </w:rPr>
      <w:t xml:space="preserve">	Page </w:t>
    </w:r>
    <w:r>
      <w:rPr>
        <w:rFonts w:ascii="Calibri" w:cs="Calibri" w:eastAsia="Calibri" w:hAnsi="Calibri"/>
        <w:color w:val="5E6B7A"/>
        <w:sz w:val="17"/>
        <w:szCs w:val="17"/>
      </w:rPr>
      <w:fldChar w:fldCharType="begin"/>
      <w:instrText xml:space="preserve">PAGE</w:instrText>
      <w:fldChar w:fldCharType="separate"/>
      <w:fldChar w:fldCharType="end"/>
    </w:r>
    <w:r>
      <w:rPr>
        <w:rFonts w:ascii="Calibri" w:cs="Calibri" w:eastAsia="Calibri" w:hAnsi="Calibri"/>
        <w:color w:val="5E6B7A"/>
        <w:sz w:val="17"/>
        <w:szCs w:val="17"/>
      </w:rPr>
      <w:t xml:space="preserve"> of </w:t>
    </w:r>
    <w:r>
      <w:rPr>
        <w:rFonts w:ascii="Calibri" w:cs="Calibri" w:eastAsia="Calibri" w:hAnsi="Calibri"/>
        <w:color w:val="5E6B7A"/>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4DD" w:sz="4" w:space="4"/>
      </w:pBdr>
      <w:spacing w:after="0"/>
    </w:pPr>
    <w:r>
      <w:rPr>
        <w:rFonts w:ascii="Calibri" w:cs="Calibri" w:eastAsia="Calibri" w:hAnsi="Calibri"/>
        <w:b w:val="false"/>
        <w:bCs w:val="false"/>
        <w:i w:val="false"/>
        <w:iCs w:val="false"/>
        <w:color w:val="5E6B7A"/>
        <w:sz w:val="17"/>
        <w:szCs w:val="17"/>
      </w:rPr>
      <w:t xml:space="preserve">Orbitt Space  |  Investment Committee Memo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0E7C87"/>
      </w:r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bullet"/>
      <w:lvlText w:val="•"/>
      <w:lvlJc w:val="left"/>
      <w:pPr>
        <w:ind w:left="230" w:hanging="180"/>
      </w:pPr>
      <w:rPr>
        <w:color w:val="0E7C87"/>
      </w:rPr>
    </w:lvl>
  </w:abstractNum>
  <w:num w:numId="1">
    <w:abstractNumId w:val="1"/>
    <w:lvlOverride w:ilvl="0">
      <w:startOverride w:val="1"/>
    </w:lvlOverride>
  </w:num>
  <w:num w:numId="2">
    <w:abstractNumId w:val="5"/>
    <w:lvlOverride w:ilvl="0">
      <w:startOverride w:val="1"/>
    </w:lvlOverride>
  </w:num>
  <w:num w:numId="3">
    <w:abstractNumId w:val="3"/>
    <w:lvlOverride w:ilvl="0">
      <w:startOverride w:val="1"/>
    </w:lvlOverride>
  </w:num>
  <w:num w:numId="4">
    <w:abstractNumId w:val="2"/>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3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mbria" w:cs="Cambria" w:eastAsia="Cambria" w:hAnsi="Cambria"/>
      <w:b/>
      <w:bCs/>
      <w:color w:val="0E2A47"/>
      <w:sz w:val="32"/>
      <w:szCs w:val="32"/>
    </w:rPr>
  </w:style>
  <w:style w:type="paragraph" w:styleId="Heading2">
    <w:name w:val="Heading 2"/>
    <w:basedOn w:val="Normal"/>
    <w:next w:val="Normal"/>
    <w:qFormat/>
    <w:pPr>
      <w:spacing w:after="110" w:before="220"/>
      <w:outlineLvl w:val="1"/>
    </w:pPr>
    <w:rPr>
      <w:rFonts w:ascii="Calibri" w:cs="Calibri" w:eastAsia="Calibri" w:hAnsi="Calibri"/>
      <w:b/>
      <w:bCs/>
      <w:color w:val="0E2A47"/>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0E7C8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ouow3cplw13wycnevosxi" Type="http://schemas.openxmlformats.org/officeDocument/2006/relationships/hyperlink" Target="https://indianstartupnews.com/funding/ex-isro-scientist-founded-spacetech-startup-orbitt-space-raises-1-million-in-funding-9314184" TargetMode="External"/><Relationship Id="rIdahbcvxbawvzzkjq-jfkoc" Type="http://schemas.openxmlformats.org/officeDocument/2006/relationships/hyperlink" Target="https://www.businessworld.in/article/ex-isro-scientists-raise-1-mn-to-unlock-untapped-space-orbit-with-next-gen-satellite-tech-557993" TargetMode="External"/><Relationship Id="rIdyjqtpkue7ovp-brmtcmux" Type="http://schemas.openxmlformats.org/officeDocument/2006/relationships/hyperlink" Target="https://link.springer.com/article/10.1007/s44205-022-00024-9" TargetMode="External"/><Relationship Id="rIdxhfwzjafxjkuysaz7xmlt" Type="http://schemas.openxmlformats.org/officeDocument/2006/relationships/hyperlink" Target="https://www.esa.int/Enabling_Support/Space_Engineering_Technology/World-first_firing_of_air-breathing_electric_thruster" TargetMode="External"/><Relationship Id="rIdfj9a8lvwat8kuvbhzvvn2" Type="http://schemas.openxmlformats.org/officeDocument/2006/relationships/hyperlink" Target="https://aerospaceglobalnews.com/news/darpa-redwire-otter-vleo-satellite-air-breathing/" TargetMode="External"/><Relationship Id="rIdl5ysk_jqb4ef4ydnw1gm8" Type="http://schemas.openxmlformats.org/officeDocument/2006/relationships/hyperlink" Target="https://bellatrix.aero/updates/unveiling-project-200" TargetMode="External"/><Relationship Id="rIdup-d5fp1vkrojlhikqldn" Type="http://schemas.openxmlformats.org/officeDocument/2006/relationships/hyperlink" Target="https://en.wikipedia.org/wiki/Bellatrix_Aerospace" TargetMode="External"/><Relationship Id="rIdnbws27btydnjx481cic_n" Type="http://schemas.openxmlformats.org/officeDocument/2006/relationships/hyperlink" Target="https://en.wikipedia.org/wiki/Albedo_Space" TargetMode="External"/><Relationship Id="rId2-qyo_jateadbc24_aom9" Type="http://schemas.openxmlformats.org/officeDocument/2006/relationships/hyperlink" Target="https://payloadspace.com/the-state-of-earth-observation/" TargetMode="External"/><Relationship Id="rId9b8_t8r3lbd2dzj_epnot" Type="http://schemas.openxmlformats.org/officeDocument/2006/relationships/hyperlink" Target="https://www.weforum.org/stories/2024/04/space-economy-technology-invest-rocket-opportunity/" TargetMode="External"/><Relationship Id="rId13ypgzwitbrzkj0n8ygmx" Type="http://schemas.openxmlformats.org/officeDocument/2006/relationships/hyperlink" Target="https://nova.space/in-the-loop/nova-space-earth-observation-market-2025/"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Orbitt Space — Investment Case</dc:title>
  <dc:creator>Investment Committee</dc:creator>
  <cp:lastModifiedBy>Un-named</cp:lastModifiedBy>
  <cp:revision>1</cp:revision>
  <dcterms:created xsi:type="dcterms:W3CDTF">2026-06-30T15:52:27.136Z</dcterms:created>
  <dcterms:modified xsi:type="dcterms:W3CDTF">2026-06-30T15:52:27.136Z</dcterms:modified>
</cp:coreProperties>
</file>

<file path=docProps/custom.xml><?xml version="1.0" encoding="utf-8"?>
<Properties xmlns="http://schemas.openxmlformats.org/officeDocument/2006/custom-properties" xmlns:vt="http://schemas.openxmlformats.org/officeDocument/2006/docPropsVTypes"/>
</file>