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51F" w:rsidRDefault="00D3651F" w:rsidP="00D3651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Practical no 6:</w:t>
      </w:r>
    </w:p>
    <w:p w:rsidR="00D3651F" w:rsidRDefault="00D3651F" w:rsidP="00D3651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D3651F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Compare workload costs using the TCO calculator</w:t>
      </w:r>
    </w:p>
    <w:p w:rsidR="00D3651F" w:rsidRDefault="00D3651F" w:rsidP="00D3651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In this exercise, you use the Total Cost of Ownership (TCO) Calculator to compare the cost of running a sample workload in your </w:t>
      </w:r>
      <w:proofErr w:type="spellStart"/>
      <w:r>
        <w:rPr>
          <w:rFonts w:ascii="Segoe UI" w:hAnsi="Segoe UI" w:cs="Segoe UI"/>
          <w:color w:val="171717"/>
        </w:rPr>
        <w:t>datacenter</w:t>
      </w:r>
      <w:proofErr w:type="spellEnd"/>
      <w:r>
        <w:rPr>
          <w:rFonts w:ascii="Segoe UI" w:hAnsi="Segoe UI" w:cs="Segoe UI"/>
          <w:color w:val="171717"/>
        </w:rPr>
        <w:t xml:space="preserve"> versus on Azure.</w:t>
      </w:r>
    </w:p>
    <w:p w:rsidR="00D3651F" w:rsidRDefault="00D3651F" w:rsidP="00D3651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Assume you're considering moving some of your on-premises workloads to the cloud. But first, you need to understand more about moving from a relatively fixed cost structure to an ongoing monthly cost structure.</w:t>
      </w:r>
    </w:p>
    <w:p w:rsidR="00D3651F" w:rsidRDefault="00D3651F" w:rsidP="00D3651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You'll need to investigate whether there are any potential cost savings in moving your </w:t>
      </w:r>
      <w:proofErr w:type="spellStart"/>
      <w:r>
        <w:rPr>
          <w:rFonts w:ascii="Segoe UI" w:hAnsi="Segoe UI" w:cs="Segoe UI"/>
          <w:color w:val="171717"/>
        </w:rPr>
        <w:t>datacenter</w:t>
      </w:r>
      <w:proofErr w:type="spellEnd"/>
      <w:r>
        <w:rPr>
          <w:rFonts w:ascii="Segoe UI" w:hAnsi="Segoe UI" w:cs="Segoe UI"/>
          <w:color w:val="171717"/>
        </w:rPr>
        <w:t xml:space="preserve"> to the cloud over the next three years. You need to take into account all of the potentially hidden costs involved with operating on-premises and in the cloud.</w:t>
      </w:r>
    </w:p>
    <w:p w:rsidR="00D3651F" w:rsidRDefault="00D3651F" w:rsidP="00D3651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Instead of manually collecting everything you think might be included, you use the TCO Calculator as a starting point. You adjust the provided cost assumptions to match your on-premises environment.</w:t>
      </w:r>
    </w:p>
    <w:p w:rsidR="00D3651F" w:rsidRDefault="00D3651F" w:rsidP="00D3651F">
      <w:pPr>
        <w:pStyle w:val="alert-title"/>
        <w:spacing w:before="0" w:beforeAutospacing="0" w:after="0" w:afterAutospacing="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Note</w:t>
      </w:r>
    </w:p>
    <w:p w:rsidR="00D3651F" w:rsidRDefault="00D3651F" w:rsidP="00D3651F">
      <w:pPr>
        <w:pStyle w:val="NormalWeb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Remember, you don't need an Azure subscription to work with the TCO Calculator.</w:t>
      </w:r>
    </w:p>
    <w:p w:rsidR="00D3651F" w:rsidRDefault="00D3651F" w:rsidP="00D3651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Let's say that:</w:t>
      </w:r>
    </w:p>
    <w:p w:rsidR="00D3651F" w:rsidRDefault="00D3651F" w:rsidP="00D3651F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 run two sets, or banks, of 50 virtual machines (VMs) in each bank.</w:t>
      </w:r>
    </w:p>
    <w:p w:rsidR="00D3651F" w:rsidRDefault="00D3651F" w:rsidP="00D3651F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first bank of VMs runs Windows Server under Hyper-V virtualization.</w:t>
      </w:r>
    </w:p>
    <w:p w:rsidR="00D3651F" w:rsidRDefault="00D3651F" w:rsidP="00D3651F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second bank of VMs runs Linux under VMware virtualization.</w:t>
      </w:r>
    </w:p>
    <w:p w:rsidR="00D3651F" w:rsidRDefault="00D3651F" w:rsidP="00D3651F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There's also a storage area network (SAN) with 60 TB of disk storage.</w:t>
      </w:r>
    </w:p>
    <w:p w:rsidR="00D3651F" w:rsidRDefault="00D3651F" w:rsidP="00D3651F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 consume an estimated 15 TB of outbound network bandwidth each month.</w:t>
      </w:r>
    </w:p>
    <w:p w:rsidR="00D3651F" w:rsidRDefault="00D3651F" w:rsidP="00D3651F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There are also a number of databases involved, but for now, you'll omit those details.</w:t>
      </w:r>
    </w:p>
    <w:p w:rsidR="00D3651F" w:rsidRDefault="00D3651F" w:rsidP="00D3651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Recall that the TCO Calculator involves three steps:</w:t>
      </w:r>
    </w:p>
    <w:p w:rsidR="00D3651F" w:rsidRDefault="00D3651F" w:rsidP="00D3651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>
            <wp:extent cx="7406640" cy="1516380"/>
            <wp:effectExtent l="0" t="0" r="3810" b="7620"/>
            <wp:docPr id="1" name="Picture 1" descr="A visual representation of the three steps, define your workloads, adjust assumptions, and view the rep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visual representation of the three steps, define your workloads, adjust assumptions, and view the repor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51F" w:rsidRDefault="00D3651F" w:rsidP="00D3651F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Define your workloads</w:t>
      </w:r>
    </w:p>
    <w:p w:rsidR="00D3651F" w:rsidRDefault="00D3651F" w:rsidP="00D3651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Enter the specifications of your on-premises infrastructure into the TCO Calculator.</w:t>
      </w:r>
    </w:p>
    <w:p w:rsidR="00D3651F" w:rsidRDefault="00D3651F" w:rsidP="00D3651F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Go to the </w:t>
      </w:r>
      <w:hyperlink r:id="rId6" w:tgtFrame="az-portal" w:history="1">
        <w:r>
          <w:rPr>
            <w:rStyle w:val="Hyperlink"/>
            <w:rFonts w:ascii="Segoe UI" w:hAnsi="Segoe UI" w:cs="Segoe UI"/>
            <w:u w:val="none"/>
          </w:rPr>
          <w:t>TCO Calculator</w:t>
        </w:r>
      </w:hyperlink>
      <w:r>
        <w:rPr>
          <w:rFonts w:ascii="Segoe UI" w:hAnsi="Segoe UI" w:cs="Segoe UI"/>
          <w:color w:val="171717"/>
        </w:rPr>
        <w:t>.</w:t>
      </w:r>
    </w:p>
    <w:p w:rsidR="00D3651F" w:rsidRDefault="00D3651F" w:rsidP="00D3651F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Under </w:t>
      </w:r>
      <w:r>
        <w:rPr>
          <w:rStyle w:val="Strong"/>
          <w:rFonts w:ascii="Segoe UI" w:hAnsi="Segoe UI" w:cs="Segoe UI"/>
          <w:color w:val="171717"/>
        </w:rPr>
        <w:t>Define your workloads</w:t>
      </w:r>
      <w:r>
        <w:rPr>
          <w:rFonts w:ascii="Segoe UI" w:hAnsi="Segoe UI" w:cs="Segoe UI"/>
          <w:color w:val="171717"/>
        </w:rPr>
        <w:t>, select </w:t>
      </w:r>
      <w:r>
        <w:rPr>
          <w:rStyle w:val="Strong"/>
          <w:rFonts w:ascii="Segoe UI" w:hAnsi="Segoe UI" w:cs="Segoe UI"/>
          <w:color w:val="171717"/>
        </w:rPr>
        <w:t>Add server workload</w:t>
      </w:r>
      <w:r>
        <w:rPr>
          <w:rFonts w:ascii="Segoe UI" w:hAnsi="Segoe UI" w:cs="Segoe UI"/>
          <w:color w:val="171717"/>
        </w:rPr>
        <w:t> to create a row for your bank of Windows Server VMs.</w:t>
      </w:r>
    </w:p>
    <w:p w:rsidR="00D3651F" w:rsidRDefault="00D3651F" w:rsidP="00D3651F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Under </w:t>
      </w:r>
      <w:r>
        <w:rPr>
          <w:rStyle w:val="Strong"/>
          <w:rFonts w:ascii="Segoe UI" w:hAnsi="Segoe UI" w:cs="Segoe UI"/>
          <w:color w:val="171717"/>
        </w:rPr>
        <w:t>Servers</w:t>
      </w:r>
      <w:r>
        <w:rPr>
          <w:rFonts w:ascii="Segoe UI" w:hAnsi="Segoe UI" w:cs="Segoe UI"/>
          <w:color w:val="171717"/>
        </w:rPr>
        <w:t>, set the value for each of these settings: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Setting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Value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Name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Servers: Windows VMs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Workload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Windows/Linux Server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Environment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Virtual Machines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Operating system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Windows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Operating System License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proofErr w:type="spellStart"/>
      <w:r>
        <w:rPr>
          <w:rStyle w:val="Strong"/>
          <w:rFonts w:ascii="Segoe UI" w:hAnsi="Segoe UI" w:cs="Segoe UI"/>
          <w:color w:val="171717"/>
        </w:rPr>
        <w:t>Datacenter</w:t>
      </w:r>
      <w:proofErr w:type="spellEnd"/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VMs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50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Virtualization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Hyper-V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Core(s)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8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RAM (GB)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16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Optimize by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CPU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Windows Server 2008/2008 R2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Off</w:t>
      </w:r>
    </w:p>
    <w:p w:rsidR="00D3651F" w:rsidRDefault="00D3651F" w:rsidP="00D3651F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Add server workload</w:t>
      </w:r>
      <w:r>
        <w:rPr>
          <w:rFonts w:ascii="Segoe UI" w:hAnsi="Segoe UI" w:cs="Segoe UI"/>
          <w:color w:val="171717"/>
        </w:rPr>
        <w:t> to create a second row for your bank of Linux VMs. Then specify these settings: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Setting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Value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Name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Servers: Linux VMs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Workload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Windows/Linux Server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Environment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Virtual Machines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Operating system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Linux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VMs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50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Virtualization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VMware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Core(s)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8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RAM (GB)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16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Optimize by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CPU</w:t>
      </w:r>
    </w:p>
    <w:p w:rsidR="00D3651F" w:rsidRDefault="00D3651F" w:rsidP="00D3651F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Under </w:t>
      </w:r>
      <w:r>
        <w:rPr>
          <w:rStyle w:val="Strong"/>
          <w:rFonts w:ascii="Segoe UI" w:hAnsi="Segoe UI" w:cs="Segoe UI"/>
          <w:color w:val="171717"/>
        </w:rPr>
        <w:t>Storage</w:t>
      </w:r>
      <w:r>
        <w:rPr>
          <w:rFonts w:ascii="Segoe UI" w:hAnsi="Segoe UI" w:cs="Segoe UI"/>
          <w:color w:val="171717"/>
        </w:rPr>
        <w:t>, select </w:t>
      </w:r>
      <w:r>
        <w:rPr>
          <w:rStyle w:val="Strong"/>
          <w:rFonts w:ascii="Segoe UI" w:hAnsi="Segoe UI" w:cs="Segoe UI"/>
          <w:color w:val="171717"/>
        </w:rPr>
        <w:t>Add storage</w:t>
      </w:r>
      <w:r>
        <w:rPr>
          <w:rFonts w:ascii="Segoe UI" w:hAnsi="Segoe UI" w:cs="Segoe UI"/>
          <w:color w:val="171717"/>
        </w:rPr>
        <w:t>. Then specify these settings: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Setting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Value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Name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Server Storage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Storage type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Local Disk/SAN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Disk type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HDD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Capacity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60 TB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Backup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120 TB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Archive</w:t>
      </w:r>
    </w:p>
    <w:p w:rsidR="00D3651F" w:rsidRDefault="00D3651F" w:rsidP="00D3651F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0 TB</w:t>
      </w:r>
    </w:p>
    <w:p w:rsidR="00D3651F" w:rsidRDefault="00D3651F" w:rsidP="00D3651F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Under </w:t>
      </w:r>
      <w:r>
        <w:rPr>
          <w:rStyle w:val="Strong"/>
          <w:rFonts w:ascii="Segoe UI" w:hAnsi="Segoe UI" w:cs="Segoe UI"/>
          <w:color w:val="171717"/>
        </w:rPr>
        <w:t>Networking</w:t>
      </w:r>
      <w:r>
        <w:rPr>
          <w:rFonts w:ascii="Segoe UI" w:hAnsi="Segoe UI" w:cs="Segoe UI"/>
          <w:color w:val="171717"/>
        </w:rPr>
        <w:t>, set </w:t>
      </w:r>
      <w:proofErr w:type="gramStart"/>
      <w:r>
        <w:rPr>
          <w:rStyle w:val="Strong"/>
          <w:rFonts w:ascii="Segoe UI" w:hAnsi="Segoe UI" w:cs="Segoe UI"/>
          <w:color w:val="171717"/>
        </w:rPr>
        <w:t>Outbound</w:t>
      </w:r>
      <w:proofErr w:type="gramEnd"/>
      <w:r>
        <w:rPr>
          <w:rStyle w:val="Strong"/>
          <w:rFonts w:ascii="Segoe UI" w:hAnsi="Segoe UI" w:cs="Segoe UI"/>
          <w:color w:val="171717"/>
        </w:rPr>
        <w:t xml:space="preserve"> bandwidth</w:t>
      </w:r>
      <w:r>
        <w:rPr>
          <w:rFonts w:ascii="Segoe UI" w:hAnsi="Segoe UI" w:cs="Segoe UI"/>
          <w:color w:val="171717"/>
        </w:rPr>
        <w:t> to </w:t>
      </w:r>
      <w:r>
        <w:rPr>
          <w:rStyle w:val="Strong"/>
          <w:rFonts w:ascii="Segoe UI" w:hAnsi="Segoe UI" w:cs="Segoe UI"/>
          <w:color w:val="171717"/>
        </w:rPr>
        <w:t>15 TB</w:t>
      </w:r>
      <w:r>
        <w:rPr>
          <w:rFonts w:ascii="Segoe UI" w:hAnsi="Segoe UI" w:cs="Segoe UI"/>
          <w:color w:val="171717"/>
        </w:rPr>
        <w:t>.</w:t>
      </w:r>
    </w:p>
    <w:p w:rsidR="00D3651F" w:rsidRDefault="00D3651F" w:rsidP="00D3651F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Next</w:t>
      </w:r>
      <w:r>
        <w:rPr>
          <w:rFonts w:ascii="Segoe UI" w:hAnsi="Segoe UI" w:cs="Segoe UI"/>
          <w:color w:val="171717"/>
        </w:rPr>
        <w:t>.</w:t>
      </w:r>
    </w:p>
    <w:p w:rsidR="00D3651F" w:rsidRDefault="00D3651F" w:rsidP="00D3651F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Adjust assumptions</w:t>
      </w:r>
    </w:p>
    <w:p w:rsidR="00D3651F" w:rsidRDefault="00D3651F" w:rsidP="00D3651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Here, you specify your currency. For brevity, you leave the remaining fields at their default values.</w:t>
      </w:r>
    </w:p>
    <w:p w:rsidR="00D3651F" w:rsidRDefault="00D3651F" w:rsidP="00D3651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practice, you would adjust any cost assumptions and make any adjustments to match your current on-premises environment.</w:t>
      </w:r>
    </w:p>
    <w:p w:rsidR="00D3651F" w:rsidRDefault="00D3651F" w:rsidP="00D3651F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At the top of the page, select your currency. This example uses </w:t>
      </w:r>
      <w:r>
        <w:rPr>
          <w:rStyle w:val="Strong"/>
          <w:rFonts w:ascii="Segoe UI" w:hAnsi="Segoe UI" w:cs="Segoe UI"/>
          <w:color w:val="171717"/>
        </w:rPr>
        <w:t>US Dollar ($)</w:t>
      </w:r>
      <w:r>
        <w:rPr>
          <w:rFonts w:ascii="Segoe UI" w:hAnsi="Segoe UI" w:cs="Segoe UI"/>
          <w:color w:val="171717"/>
        </w:rPr>
        <w:t>.</w:t>
      </w:r>
    </w:p>
    <w:p w:rsidR="00D3651F" w:rsidRDefault="00D3651F" w:rsidP="00D3651F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Next</w:t>
      </w:r>
      <w:r>
        <w:rPr>
          <w:rFonts w:ascii="Segoe UI" w:hAnsi="Segoe UI" w:cs="Segoe UI"/>
          <w:color w:val="171717"/>
        </w:rPr>
        <w:t>.</w:t>
      </w:r>
    </w:p>
    <w:p w:rsidR="00D3651F" w:rsidRDefault="00D3651F" w:rsidP="00D3651F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View the report</w:t>
      </w:r>
    </w:p>
    <w:p w:rsidR="00D3651F" w:rsidRDefault="00D3651F" w:rsidP="00D3651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Take a moment to review the generated report.</w:t>
      </w:r>
    </w:p>
    <w:p w:rsidR="00D3651F" w:rsidRDefault="00D3651F" w:rsidP="00D3651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Remember, you've been tasked to investigate cost savings for your European </w:t>
      </w:r>
      <w:proofErr w:type="spellStart"/>
      <w:r>
        <w:rPr>
          <w:rFonts w:ascii="Segoe UI" w:hAnsi="Segoe UI" w:cs="Segoe UI"/>
          <w:color w:val="171717"/>
        </w:rPr>
        <w:t>datacenter</w:t>
      </w:r>
      <w:proofErr w:type="spellEnd"/>
      <w:r>
        <w:rPr>
          <w:rFonts w:ascii="Segoe UI" w:hAnsi="Segoe UI" w:cs="Segoe UI"/>
          <w:color w:val="171717"/>
        </w:rPr>
        <w:t xml:space="preserve"> over the next three years.</w:t>
      </w:r>
    </w:p>
    <w:p w:rsidR="00D3651F" w:rsidRDefault="00D3651F" w:rsidP="00D3651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make these adjustments:</w:t>
      </w:r>
    </w:p>
    <w:p w:rsidR="00D3651F" w:rsidRDefault="00D3651F" w:rsidP="00D3651F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 </w:t>
      </w:r>
      <w:r>
        <w:rPr>
          <w:rStyle w:val="Strong"/>
          <w:rFonts w:ascii="Segoe UI" w:hAnsi="Segoe UI" w:cs="Segoe UI"/>
          <w:color w:val="171717"/>
        </w:rPr>
        <w:t>Timeframe</w:t>
      </w:r>
      <w:r>
        <w:rPr>
          <w:rFonts w:ascii="Segoe UI" w:hAnsi="Segoe UI" w:cs="Segoe UI"/>
          <w:color w:val="171717"/>
        </w:rPr>
        <w:t> to </w:t>
      </w:r>
      <w:r>
        <w:rPr>
          <w:rStyle w:val="Strong"/>
          <w:rFonts w:ascii="Segoe UI" w:hAnsi="Segoe UI" w:cs="Segoe UI"/>
          <w:color w:val="171717"/>
        </w:rPr>
        <w:t>3 Years</w:t>
      </w:r>
      <w:r>
        <w:rPr>
          <w:rFonts w:ascii="Segoe UI" w:hAnsi="Segoe UI" w:cs="Segoe UI"/>
          <w:color w:val="171717"/>
        </w:rPr>
        <w:t>.</w:t>
      </w:r>
    </w:p>
    <w:p w:rsidR="00D3651F" w:rsidRDefault="00D3651F" w:rsidP="00D3651F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 </w:t>
      </w:r>
      <w:r>
        <w:rPr>
          <w:rStyle w:val="Strong"/>
          <w:rFonts w:ascii="Segoe UI" w:hAnsi="Segoe UI" w:cs="Segoe UI"/>
          <w:color w:val="171717"/>
        </w:rPr>
        <w:t>Region</w:t>
      </w:r>
      <w:r>
        <w:rPr>
          <w:rFonts w:ascii="Segoe UI" w:hAnsi="Segoe UI" w:cs="Segoe UI"/>
          <w:color w:val="171717"/>
        </w:rPr>
        <w:t> to </w:t>
      </w:r>
      <w:r>
        <w:rPr>
          <w:rStyle w:val="Strong"/>
          <w:rFonts w:ascii="Segoe UI" w:hAnsi="Segoe UI" w:cs="Segoe UI"/>
          <w:color w:val="171717"/>
        </w:rPr>
        <w:t>North Europe</w:t>
      </w:r>
      <w:r>
        <w:rPr>
          <w:rFonts w:ascii="Segoe UI" w:hAnsi="Segoe UI" w:cs="Segoe UI"/>
          <w:color w:val="171717"/>
        </w:rPr>
        <w:t>.</w:t>
      </w:r>
    </w:p>
    <w:p w:rsidR="00D3651F" w:rsidRDefault="00D3651F" w:rsidP="00D3651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Scroll to the summary at the bottom. You see a comparison of running your workloads in the </w:t>
      </w:r>
      <w:proofErr w:type="spellStart"/>
      <w:r>
        <w:rPr>
          <w:rFonts w:ascii="Segoe UI" w:hAnsi="Segoe UI" w:cs="Segoe UI"/>
          <w:color w:val="171717"/>
        </w:rPr>
        <w:t>datacenter</w:t>
      </w:r>
      <w:proofErr w:type="spellEnd"/>
      <w:r>
        <w:rPr>
          <w:rFonts w:ascii="Segoe UI" w:hAnsi="Segoe UI" w:cs="Segoe UI"/>
          <w:color w:val="171717"/>
        </w:rPr>
        <w:t xml:space="preserve"> versus on Azure.</w:t>
      </w:r>
    </w:p>
    <w:p w:rsidR="00D3651F" w:rsidRDefault="00D3651F" w:rsidP="00D3651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Download</w:t>
      </w:r>
      <w:r>
        <w:rPr>
          <w:rFonts w:ascii="Segoe UI" w:hAnsi="Segoe UI" w:cs="Segoe UI"/>
          <w:color w:val="171717"/>
        </w:rPr>
        <w:t> to download or print a copy of the report in PDF format.</w:t>
      </w:r>
    </w:p>
    <w:p w:rsidR="00D3651F" w:rsidRDefault="00D3651F" w:rsidP="00D3651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Great work. You now have the information that you can share with your Chief Financial Officer. If you need to make adjustments, you can revisit the TCO Calculator to generate a fresh report.</w:t>
      </w:r>
    </w:p>
    <w:p w:rsidR="00D3651F" w:rsidRPr="00D3651F" w:rsidRDefault="00D3651F" w:rsidP="00D3651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bookmarkStart w:id="0" w:name="_GoBack"/>
      <w:bookmarkEnd w:id="0"/>
    </w:p>
    <w:p w:rsidR="00D3651F" w:rsidRPr="00D3651F" w:rsidRDefault="00D3651F" w:rsidP="00D365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:rsidR="00026FDD" w:rsidRDefault="00026FDD"/>
    <w:sectPr w:rsidR="00026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A4CA2"/>
    <w:multiLevelType w:val="multilevel"/>
    <w:tmpl w:val="3214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A27E3"/>
    <w:multiLevelType w:val="multilevel"/>
    <w:tmpl w:val="D07C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84CA0"/>
    <w:multiLevelType w:val="multilevel"/>
    <w:tmpl w:val="A8AE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D76F3A"/>
    <w:multiLevelType w:val="multilevel"/>
    <w:tmpl w:val="97620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1F"/>
    <w:rsid w:val="00026FDD"/>
    <w:rsid w:val="00D3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D570E-AB61-40A4-A34C-9A3F7AA3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65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5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5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visually-hidden">
    <w:name w:val="visually-hidden"/>
    <w:basedOn w:val="DefaultParagraphFont"/>
    <w:rsid w:val="00D3651F"/>
  </w:style>
  <w:style w:type="character" w:customStyle="1" w:styleId="Heading2Char">
    <w:name w:val="Heading 2 Char"/>
    <w:basedOn w:val="DefaultParagraphFont"/>
    <w:link w:val="Heading2"/>
    <w:uiPriority w:val="9"/>
    <w:semiHidden/>
    <w:rsid w:val="00D365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36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ert-title">
    <w:name w:val="alert-title"/>
    <w:basedOn w:val="Normal"/>
    <w:rsid w:val="00D36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3651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65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9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362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61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92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12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167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073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309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198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925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268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72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345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658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32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46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503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801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47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84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96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163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965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57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165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80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271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82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89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pricing/tco/calculato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2022-08-24T05:47:00Z</dcterms:created>
  <dcterms:modified xsi:type="dcterms:W3CDTF">2022-08-24T05:48:00Z</dcterms:modified>
</cp:coreProperties>
</file>