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Processing</w:t>
      </w:r>
      <w:r>
        <w:t xml:space="preserve"> </w:t>
      </w:r>
      <w:r>
        <w:t xml:space="preserve">amoA</w:t>
      </w:r>
      <w:r>
        <w:t xml:space="preserve"> </w:t>
      </w:r>
      <w:r>
        <w:t xml:space="preserve">amplicons</w:t>
      </w:r>
      <w:r>
        <w:t xml:space="preserve"> </w:t>
      </w:r>
      <w:r>
        <w:t xml:space="preserve">from</w:t>
      </w:r>
      <w:r>
        <w:t xml:space="preserve"> </w:t>
      </w:r>
      <w:r>
        <w:t xml:space="preserve">sequencing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Dylan</w:t>
      </w:r>
      <w:r>
        <w:t xml:space="preserve"> </w:t>
      </w:r>
      <w:r>
        <w:t xml:space="preserve">Bodington</w:t>
      </w:r>
    </w:p>
    <w:p>
      <w:pPr>
        <w:pStyle w:val="Date"/>
      </w:pPr>
      <w:r>
        <w:t xml:space="preserve">2023-11-10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16S rRNA gene amplicon sequences were trimmed with TrimGalore</w:t>
      </w:r>
      <w:r>
        <w:t xml:space="preserve"> </w:t>
      </w:r>
      <w:r>
        <w:t xml:space="preserve">(</w:t>
      </w:r>
      <w:hyperlink w:anchor="ref-krueger2021">
        <w:r>
          <w:rPr>
            <w:rStyle w:val="Hyperlink"/>
          </w:rPr>
          <w:t xml:space="preserve">Krueger et al. 2021</w:t>
        </w:r>
      </w:hyperlink>
      <w:r>
        <w:t xml:space="preserve">)</w:t>
      </w:r>
      <w:r>
        <w:t xml:space="preserve">, a wrapper using CutAdapt</w:t>
      </w:r>
      <w:r>
        <w:t xml:space="preserve"> </w:t>
      </w:r>
      <w:r>
        <w:t xml:space="preserve">(</w:t>
      </w:r>
      <w:hyperlink w:anchor="ref-EJ200">
        <w:r>
          <w:rPr>
            <w:rStyle w:val="Hyperlink"/>
          </w:rPr>
          <w:t xml:space="preserve">Martin 2011</w:t>
        </w:r>
      </w:hyperlink>
      <w:r>
        <w:t xml:space="preserve">)</w:t>
      </w:r>
      <w:r>
        <w:t xml:space="preserve"> </w:t>
      </w:r>
      <w:r>
        <w:t xml:space="preserve">for trimming of sequencing primers and adapters and FastQC</w:t>
      </w:r>
      <w:r>
        <w:t xml:space="preserve"> </w:t>
      </w:r>
      <w:r>
        <w:t xml:space="preserve">(</w:t>
      </w:r>
      <w:hyperlink w:anchor="ref-andrews2012">
        <w:r>
          <w:rPr>
            <w:rStyle w:val="Hyperlink"/>
          </w:rPr>
          <w:t xml:space="preserve">Andrews et al. 2012</w:t>
        </w:r>
      </w:hyperlink>
      <w:r>
        <w:t xml:space="preserve">)</w:t>
      </w:r>
      <w:r>
        <w:t xml:space="preserve"> </w:t>
      </w:r>
      <w:r>
        <w:t xml:space="preserve">for quality control. Trimmed reads were merged and assigned to amplicon sequence variants (ASVs) using dada2</w:t>
      </w:r>
      <w:r>
        <w:t xml:space="preserve">(</w:t>
      </w:r>
      <w:hyperlink w:anchor="ref-callahan2016">
        <w:r>
          <w:rPr>
            <w:rStyle w:val="Hyperlink"/>
          </w:rPr>
          <w:t xml:space="preserve">Callahan et al. 2016</w:t>
        </w:r>
      </w:hyperlink>
      <w:r>
        <w:t xml:space="preserve">)</w:t>
      </w:r>
      <w:r>
        <w:t xml:space="preserve">, with quality filtering and chimera removal using the default settings (Table S7). Taxonomy was assigned to ASVs in dada2 using the Silva rRNA database (SSU Ref NR 99 v138.1)[quast_silva_2012]. Community diversity (Table S8) and relative abundance (Table S9) of all sample replicates and fractions were calculated using phyloseq</w:t>
      </w:r>
      <w:r>
        <w:t xml:space="preserve">(</w:t>
      </w:r>
      <w:hyperlink w:anchor="ref-mcmurdie_phyloseq_2013">
        <w:r>
          <w:rPr>
            <w:rStyle w:val="Hyperlink"/>
          </w:rPr>
          <w:t xml:space="preserve">McMurdie and Holmes 2013</w:t>
        </w:r>
      </w:hyperlink>
      <w:r>
        <w:t xml:space="preserve">)</w:t>
      </w:r>
      <w:r>
        <w:t xml:space="preserve">.</w:t>
      </w:r>
    </w:p>
    <w:bookmarkStart w:id="29" w:name="refs"/>
    <w:bookmarkStart w:id="20" w:name="ref-andrews2012"/>
    <w:p>
      <w:pPr>
        <w:pStyle w:val="Bibliography"/>
      </w:pPr>
      <w:r>
        <w:t xml:space="preserve">Andrews, Simon, Felix Krueger, Anne Segonds-Pichon, Laura Biggins, Christel Krueger, and Steven Wingett. 2012.</w:t>
      </w:r>
      <w:r>
        <w:t xml:space="preserve"> </w:t>
      </w:r>
      <w:r>
        <w:t xml:space="preserve">“</w:t>
      </w:r>
      <w:r>
        <w:t xml:space="preserve">FastQC</w:t>
      </w:r>
      <w:r>
        <w:t xml:space="preserve">.”</w:t>
      </w:r>
      <w:r>
        <w:t xml:space="preserve"> </w:t>
      </w:r>
      <w:r>
        <w:t xml:space="preserve">Babraham, UK</w:t>
      </w:r>
      <w:r>
        <w:t xml:space="preserve">: Babraham Institute.</w:t>
      </w:r>
    </w:p>
    <w:bookmarkEnd w:id="20"/>
    <w:bookmarkStart w:id="22" w:name="ref-callahan2016"/>
    <w:p>
      <w:pPr>
        <w:pStyle w:val="Bibliography"/>
      </w:pPr>
      <w:r>
        <w:t xml:space="preserve">Callahan, Benjamin J., Paul J. McMurdie, Michael J. Rosen, Andrew W. Han, Amy Jo A. Johnson, and Susan P. Holmes. 2016.</w:t>
      </w:r>
      <w:r>
        <w:t xml:space="preserve"> </w:t>
      </w:r>
      <w:r>
        <w:t xml:space="preserve">“</w:t>
      </w:r>
      <w:r>
        <w:t xml:space="preserve">DADA2</w:t>
      </w:r>
      <w:r>
        <w:t xml:space="preserve">:</w:t>
      </w:r>
      <w:r>
        <w:t xml:space="preserve"> </w:t>
      </w:r>
      <w:r>
        <w:t xml:space="preserve">High</w:t>
      </w:r>
      <w:r>
        <w:t xml:space="preserve">-Resolution Sample Inference from</w:t>
      </w:r>
      <w:r>
        <w:t xml:space="preserve"> </w:t>
      </w:r>
      <w:r>
        <w:t xml:space="preserve">Illumina</w:t>
      </w:r>
      <w:r>
        <w:t xml:space="preserve"> </w:t>
      </w:r>
      <w:r>
        <w:t xml:space="preserve">Amplicon Data.”</w:t>
      </w:r>
      <w:r>
        <w:t xml:space="preserve"> </w:t>
      </w:r>
      <w:r>
        <w:rPr>
          <w:iCs/>
          <w:i/>
        </w:rPr>
        <w:t xml:space="preserve">Nature Methods</w:t>
      </w:r>
      <w:r>
        <w:t xml:space="preserve"> </w:t>
      </w:r>
      <w:r>
        <w:t xml:space="preserve">13 (7): 581–83.</w:t>
      </w:r>
      <w:r>
        <w:t xml:space="preserve"> </w:t>
      </w:r>
      <w:hyperlink r:id="rId21">
        <w:r>
          <w:rPr>
            <w:rStyle w:val="Hyperlink"/>
          </w:rPr>
          <w:t xml:space="preserve">https://doi.org/10.1038/nmeth.3869</w:t>
        </w:r>
      </w:hyperlink>
      <w:r>
        <w:t xml:space="preserve">.</w:t>
      </w:r>
    </w:p>
    <w:bookmarkEnd w:id="22"/>
    <w:bookmarkStart w:id="24" w:name="ref-krueger2021"/>
    <w:p>
      <w:pPr>
        <w:pStyle w:val="Bibliography"/>
      </w:pPr>
      <w:r>
        <w:t xml:space="preserve">Krueger, Felix, Frankie James, Phil Ewels, Ebrahim Afyounian, and Benjamin Schuster-Boeckler. 2021.</w:t>
      </w:r>
      <w:r>
        <w:t xml:space="preserve"> </w:t>
      </w:r>
      <w:r>
        <w:t xml:space="preserve">“FelixKrueger/TrimGalore: V0.6.7 - DOI via Zenodo.”</w:t>
      </w:r>
      <w:r>
        <w:t xml:space="preserve"> </w:t>
      </w:r>
      <w:r>
        <w:t xml:space="preserve">Zenodo.</w:t>
      </w:r>
      <w:r>
        <w:t xml:space="preserve"> </w:t>
      </w:r>
      <w:hyperlink r:id="rId23">
        <w:r>
          <w:rPr>
            <w:rStyle w:val="Hyperlink"/>
          </w:rPr>
          <w:t xml:space="preserve">https://doi.org/10.5281/zenodo.5127899</w:t>
        </w:r>
      </w:hyperlink>
      <w:r>
        <w:t xml:space="preserve">.</w:t>
      </w:r>
    </w:p>
    <w:bookmarkEnd w:id="24"/>
    <w:bookmarkStart w:id="26" w:name="ref-EJ200"/>
    <w:p>
      <w:pPr>
        <w:pStyle w:val="Bibliography"/>
      </w:pPr>
      <w:r>
        <w:t xml:space="preserve">Martin, Marcel. 2011.</w:t>
      </w:r>
      <w:r>
        <w:t xml:space="preserve"> </w:t>
      </w:r>
      <w:r>
        <w:t xml:space="preserve">“Cutadapt Removes Adapter Sequences from High-Throughput Sequencing Reads.”</w:t>
      </w:r>
      <w:r>
        <w:t xml:space="preserve"> </w:t>
      </w:r>
      <w:r>
        <w:rPr>
          <w:iCs/>
          <w:i/>
        </w:rPr>
        <w:t xml:space="preserve">EMBnet.journal</w:t>
      </w:r>
      <w:r>
        <w:t xml:space="preserve"> </w:t>
      </w:r>
      <w:r>
        <w:t xml:space="preserve">17 (1): 10–12.</w:t>
      </w:r>
      <w:r>
        <w:t xml:space="preserve"> </w:t>
      </w:r>
      <w:hyperlink r:id="rId25">
        <w:r>
          <w:rPr>
            <w:rStyle w:val="Hyperlink"/>
          </w:rPr>
          <w:t xml:space="preserve">https://doi.org/10.14806/ej.17.1.200</w:t>
        </w:r>
      </w:hyperlink>
      <w:r>
        <w:t xml:space="preserve">.</w:t>
      </w:r>
    </w:p>
    <w:bookmarkEnd w:id="26"/>
    <w:bookmarkStart w:id="28" w:name="ref-mcmurdie_phyloseq_2013"/>
    <w:p>
      <w:pPr>
        <w:pStyle w:val="Bibliography"/>
      </w:pPr>
      <w:r>
        <w:t xml:space="preserve">McMurdie, Paul J., and Susan Holmes. 2013.</w:t>
      </w:r>
      <w:r>
        <w:t xml:space="preserve"> </w:t>
      </w:r>
      <w:r>
        <w:t xml:space="preserve">“Phyloseq: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 Reproducible Interactive Analysis and Graphics of Microbiome Census Data.”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8 (4): e61217.</w:t>
      </w:r>
      <w:r>
        <w:t xml:space="preserve"> </w:t>
      </w:r>
      <w:hyperlink r:id="rId27">
        <w:r>
          <w:rPr>
            <w:rStyle w:val="Hyperlink"/>
          </w:rPr>
          <w:t xml:space="preserve">https://doi.org/10.1371/journal.pone.0061217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38/nmeth.3869" TargetMode="External" /><Relationship Type="http://schemas.openxmlformats.org/officeDocument/2006/relationships/hyperlink" Id="rId27" Target="https://doi.org/10.1371/journal.pone.0061217" TargetMode="External" /><Relationship Type="http://schemas.openxmlformats.org/officeDocument/2006/relationships/hyperlink" Id="rId25" Target="https://doi.org/10.14806/ej.17.1.200" TargetMode="External" /><Relationship Type="http://schemas.openxmlformats.org/officeDocument/2006/relationships/hyperlink" Id="rId23" Target="https://doi.org/10.5281/zenodo.51278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38/nmeth.3869" TargetMode="External" /><Relationship Type="http://schemas.openxmlformats.org/officeDocument/2006/relationships/hyperlink" Id="rId27" Target="https://doi.org/10.1371/journal.pone.0061217" TargetMode="External" /><Relationship Type="http://schemas.openxmlformats.org/officeDocument/2006/relationships/hyperlink" Id="rId25" Target="https://doi.org/10.14806/ej.17.1.200" TargetMode="External" /><Relationship Type="http://schemas.openxmlformats.org/officeDocument/2006/relationships/hyperlink" Id="rId23" Target="https://doi.org/10.5281/zenodo.51278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amoA amplicons from sequencing data</dc:title>
  <dc:creator>Dylan Bodington</dc:creator>
  <cp:keywords/>
  <dcterms:created xsi:type="dcterms:W3CDTF">2023-11-10T01:16:12Z</dcterms:created>
  <dcterms:modified xsi:type="dcterms:W3CDTF">2023-11-10T01:16:12Z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bib.bib</vt:lpwstr>
  </property>
  <property fmtid="{D5CDD505-2E9C-101B-9397-08002B2CF9AE}" pid="3" name="citation_package">
    <vt:lpwstr>bibtex</vt:lpwstr>
  </property>
  <property fmtid="{D5CDD505-2E9C-101B-9397-08002B2CF9AE}" pid="4" name="date">
    <vt:lpwstr>2023-11-10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