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amoA</w:t>
      </w:r>
      <w:r>
        <w:t xml:space="preserve"> </w:t>
      </w:r>
      <w:r>
        <w:t xml:space="preserve">amplicons</w:t>
      </w:r>
      <w:r>
        <w:t xml:space="preserve"> </w:t>
      </w:r>
      <w:r>
        <w:t xml:space="preserve">from</w:t>
      </w:r>
      <w:r>
        <w:t xml:space="preserve"> </w:t>
      </w:r>
      <w:r>
        <w:t xml:space="preserve">sequencing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Bodington</w:t>
      </w:r>
    </w:p>
    <w:p>
      <w:pPr>
        <w:pStyle w:val="Date"/>
      </w:pPr>
      <w:r>
        <w:t xml:space="preserve">2023-11-10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16S rRNA gene amplicon sequences were trimmed with TrimGalore</w:t>
      </w:r>
      <w:hyperlink w:anchor="ref-krueger2021">
        <w:r>
          <w:rPr>
            <w:rStyle w:val="Hyperlink"/>
            <w:vertAlign w:val="superscript"/>
          </w:rPr>
          <w:t xml:space="preserve">1</w:t>
        </w:r>
      </w:hyperlink>
      <w:r>
        <w:t xml:space="preserve">, a wrapper using CutAdapt</w:t>
      </w:r>
      <w:hyperlink w:anchor="ref-EJ200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for trimming of sequencing primers and adapters and FastQC</w:t>
      </w:r>
      <w:hyperlink w:anchor="ref-andrews2012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for quality control. Trimmed reads were merged and assigned to amplicon sequence variants (ASVs) using dada2</w:t>
      </w:r>
      <w:hyperlink w:anchor="ref-callahan2016">
        <w:r>
          <w:rPr>
            <w:rStyle w:val="Hyperlink"/>
            <w:vertAlign w:val="superscript"/>
          </w:rPr>
          <w:t xml:space="preserve">4</w:t>
        </w:r>
      </w:hyperlink>
      <w:r>
        <w:t xml:space="preserve">, with quality filtering and chimera removal using the default settings (Table S7). Taxonomy was assigned to ASVs in dada2 using the Silva rRNA database (SSU Ref NR 99 v138.1)</w:t>
      </w:r>
      <w:hyperlink w:anchor="ref-quast2012">
        <w:r>
          <w:rPr>
            <w:rStyle w:val="Hyperlink"/>
            <w:vertAlign w:val="superscript"/>
          </w:rPr>
          <w:t xml:space="preserve">5</w:t>
        </w:r>
      </w:hyperlink>
      <w:r>
        <w:t xml:space="preserve">. Community diversity (Table S8) and relative abundance (Table S9) of all sample replicates and fractions were calculated using phyloseq</w:t>
      </w:r>
      <w:hyperlink w:anchor="ref-mcmurdie2013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bookmarkStart w:id="31" w:name="refs"/>
    <w:bookmarkStart w:id="21" w:name="ref-krueger202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Krueger, F., James, F., Ewels, P., Afyounian, E. &amp; Schuster-Boeckler, B. TrimGalore. (2021). doi:</w:t>
      </w:r>
      <w:hyperlink r:id="rId20">
        <w:r>
          <w:rPr>
            <w:rStyle w:val="Hyperlink"/>
          </w:rPr>
          <w:t xml:space="preserve">https://doi.org/10.5281/zenodo.5127899</w:t>
        </w:r>
      </w:hyperlink>
    </w:p>
    <w:bookmarkEnd w:id="21"/>
    <w:bookmarkStart w:id="23" w:name="ref-EJ2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Martin, M.</w:t>
      </w:r>
      <w:r>
        <w:t xml:space="preserve"> </w:t>
      </w:r>
      <w:hyperlink r:id="rId22">
        <w:r>
          <w:rPr>
            <w:rStyle w:val="Hyperlink"/>
          </w:rPr>
          <w:t xml:space="preserve">Cutadapt removes adapter sequences from high-throughput sequencing reads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EMBnet.journal</w:t>
      </w:r>
      <w:r>
        <w:t xml:space="preserve"> </w:t>
      </w:r>
      <w:r>
        <w:rPr>
          <w:bCs/>
          <w:b/>
        </w:rPr>
        <w:t xml:space="preserve">17,</w:t>
      </w:r>
      <w:r>
        <w:t xml:space="preserve"> </w:t>
      </w:r>
      <w:r>
        <w:t xml:space="preserve">10–12 (2011).</w:t>
      </w:r>
    </w:p>
    <w:bookmarkEnd w:id="23"/>
    <w:bookmarkStart w:id="24" w:name="ref-andrews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Andrews, S., Krueger, F., Segonds-Pichon, A., Biggins, L., Krueger, C. &amp; Wingett, S.</w:t>
      </w:r>
      <w:r>
        <w:t xml:space="preserve"> </w:t>
      </w:r>
      <w:r>
        <w:t xml:space="preserve">FastQC</w:t>
      </w:r>
      <w:r>
        <w:t xml:space="preserve">. (2012).</w:t>
      </w:r>
    </w:p>
    <w:bookmarkEnd w:id="24"/>
    <w:bookmarkStart w:id="26" w:name="ref-callahan2016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Callahan, B. J., McMurdie, P. J., Rosen, M. J., Han, A. W., Johnson, A. J. A. &amp; Holmes, S. P.</w:t>
      </w:r>
      <w:r>
        <w:t xml:space="preserve"> </w:t>
      </w:r>
      <w:hyperlink r:id="rId25">
        <w:r>
          <w:rPr>
            <w:rStyle w:val="Hyperlink"/>
          </w:rPr>
          <w:t xml:space="preserve">DADA2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</w:t>
        </w:r>
        <w:r>
          <w:rPr>
            <w:rStyle w:val="Hyperlink"/>
          </w:rPr>
          <w:t xml:space="preserve">-resolution sample inference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Illumina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amplicon data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13,</w:t>
      </w:r>
      <w:r>
        <w:t xml:space="preserve"> </w:t>
      </w:r>
      <w:r>
        <w:t xml:space="preserve">581–583 (2016).</w:t>
      </w:r>
    </w:p>
    <w:bookmarkEnd w:id="26"/>
    <w:bookmarkStart w:id="28" w:name="ref-quast201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Quast, C., Pruesse, E., Yilmaz, P., Gerken, J., Schweer, T., Yarza, P., Peplies, J. &amp; Glöckner, F. O.</w:t>
      </w:r>
      <w:r>
        <w:t xml:space="preserve"> </w:t>
      </w:r>
      <w:hyperlink r:id="rId2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SILVA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ribosomal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 database project: Improved data processing and web-based tools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rPr>
          <w:bCs/>
          <w:b/>
        </w:rPr>
        <w:t xml:space="preserve">41,</w:t>
      </w:r>
      <w:r>
        <w:t xml:space="preserve"> </w:t>
      </w:r>
      <w:r>
        <w:t xml:space="preserve">D590–D596 (2012).</w:t>
      </w:r>
    </w:p>
    <w:bookmarkEnd w:id="28"/>
    <w:bookmarkStart w:id="30" w:name="ref-mcmurdie201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McMurdie, P. J. &amp; Holmes, S.</w:t>
      </w:r>
      <w:r>
        <w:t xml:space="preserve"> </w:t>
      </w:r>
      <w:hyperlink r:id="rId29">
        <w:r>
          <w:rPr>
            <w:rStyle w:val="Hyperlink"/>
          </w:rPr>
          <w:t xml:space="preserve">Phyloseq: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reproducible interactive analysis and graphics of microbiome census data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8,</w:t>
      </w:r>
      <w:r>
        <w:t xml:space="preserve"> </w:t>
      </w:r>
      <w:r>
        <w:t xml:space="preserve">e61217 (2013).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nmeth.3869" TargetMode="External" /><Relationship Type="http://schemas.openxmlformats.org/officeDocument/2006/relationships/hyperlink" Id="rId27" Target="https://doi.org/10.1093/nar/gks1219" TargetMode="External" /><Relationship Type="http://schemas.openxmlformats.org/officeDocument/2006/relationships/hyperlink" Id="rId29" Target="https://doi.org/10.1371/journal.pone.0061217" TargetMode="External" /><Relationship Type="http://schemas.openxmlformats.org/officeDocument/2006/relationships/hyperlink" Id="rId22" Target="https://doi.org/10.14806/ej.17.1.200" TargetMode="External" /><Relationship Type="http://schemas.openxmlformats.org/officeDocument/2006/relationships/hyperlink" Id="rId20" Target="https://doi.org/10.5281/zenodo.5127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nmeth.3869" TargetMode="External" /><Relationship Type="http://schemas.openxmlformats.org/officeDocument/2006/relationships/hyperlink" Id="rId27" Target="https://doi.org/10.1093/nar/gks1219" TargetMode="External" /><Relationship Type="http://schemas.openxmlformats.org/officeDocument/2006/relationships/hyperlink" Id="rId29" Target="https://doi.org/10.1371/journal.pone.0061217" TargetMode="External" /><Relationship Type="http://schemas.openxmlformats.org/officeDocument/2006/relationships/hyperlink" Id="rId22" Target="https://doi.org/10.14806/ej.17.1.200" TargetMode="External" /><Relationship Type="http://schemas.openxmlformats.org/officeDocument/2006/relationships/hyperlink" Id="rId20" Target="https://doi.org/10.5281/zenodo.5127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amoA amplicons from sequencing data</dc:title>
  <dc:creator>Dylan Bodington</dc:creator>
  <cp:keywords/>
  <dcterms:created xsi:type="dcterms:W3CDTF">2023-11-10T01:57:23Z</dcterms:created>
  <dcterms:modified xsi:type="dcterms:W3CDTF">2023-11-10T01:57:23Z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itation_package">
    <vt:lpwstr>bibtex</vt:lpwstr>
  </property>
  <property fmtid="{D5CDD505-2E9C-101B-9397-08002B2CF9AE}" pid="4" name="csl">
    <vt:lpwstr>nature.csl</vt:lpwstr>
  </property>
  <property fmtid="{D5CDD505-2E9C-101B-9397-08002B2CF9AE}" pid="5" name="date">
    <vt:lpwstr>2023-11-10</vt:lpwstr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