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032CC" w14:textId="77777777" w:rsidR="002D400C" w:rsidRDefault="002D400C"/>
    <w:p w14:paraId="0AB9BC2A" w14:textId="77777777" w:rsidR="002D400C" w:rsidRDefault="002D400C"/>
    <w:p w14:paraId="12745AFF" w14:textId="77777777" w:rsidR="002D400C" w:rsidRDefault="002D400C"/>
    <w:p w14:paraId="14D3A3E8" w14:textId="77777777" w:rsidR="002D400C" w:rsidRDefault="002D400C"/>
    <w:p w14:paraId="1643C8C3" w14:textId="77777777" w:rsidR="002D400C" w:rsidRDefault="002D400C"/>
    <w:p w14:paraId="41798D46" w14:textId="77777777" w:rsidR="002D400C" w:rsidRDefault="002D400C"/>
    <w:p w14:paraId="6F2D8540" w14:textId="77777777" w:rsidR="002D400C" w:rsidRDefault="00000000">
      <w:pPr>
        <w:jc w:val="center"/>
      </w:pPr>
      <w:r>
        <w:rPr>
          <w:b/>
          <w:color w:val="00965E"/>
          <w:sz w:val="56"/>
        </w:rPr>
        <w:t>Financial Data Ingestion Pipeline</w:t>
      </w:r>
    </w:p>
    <w:p w14:paraId="405DEBC0" w14:textId="77777777" w:rsidR="002D400C" w:rsidRDefault="00000000">
      <w:pPr>
        <w:jc w:val="center"/>
      </w:pPr>
      <w:r>
        <w:rPr>
          <w:color w:val="1B365D"/>
          <w:sz w:val="32"/>
        </w:rPr>
        <w:t>Technical Report: Methodologies, Architecture &amp; Challenges</w:t>
      </w:r>
    </w:p>
    <w:p w14:paraId="6E29F632" w14:textId="77777777" w:rsidR="002D400C" w:rsidRDefault="002D400C"/>
    <w:p w14:paraId="5AD6C703" w14:textId="77777777" w:rsidR="002D400C" w:rsidRDefault="00000000">
      <w:pPr>
        <w:jc w:val="center"/>
      </w:pPr>
      <w:r>
        <w:rPr>
          <w:color w:val="666666"/>
          <w:sz w:val="24"/>
        </w:rPr>
        <w:t>Natixis CIB  |  Technology &amp; Innovation</w:t>
      </w:r>
      <w:r>
        <w:rPr>
          <w:color w:val="666666"/>
          <w:sz w:val="24"/>
        </w:rPr>
        <w:br/>
        <w:t>June 2026</w:t>
      </w:r>
    </w:p>
    <w:p w14:paraId="7C9D98D3" w14:textId="77777777" w:rsidR="002D400C" w:rsidRDefault="00000000">
      <w:r>
        <w:br w:type="page"/>
      </w:r>
    </w:p>
    <w:p w14:paraId="44FCD595" w14:textId="77777777" w:rsidR="002D400C" w:rsidRDefault="00000000">
      <w:pPr>
        <w:pStyle w:val="Heading1"/>
      </w:pPr>
      <w:r>
        <w:rPr>
          <w:color w:val="1B365D"/>
        </w:rPr>
        <w:lastRenderedPageBreak/>
        <w:t>Table of Contents</w:t>
      </w:r>
    </w:p>
    <w:p w14:paraId="329A8394" w14:textId="77777777" w:rsidR="002D400C" w:rsidRDefault="00000000">
      <w:pPr>
        <w:spacing w:after="40"/>
      </w:pPr>
      <w:r>
        <w:t>1. Executive Summary</w:t>
      </w:r>
    </w:p>
    <w:p w14:paraId="6CB6A56C" w14:textId="77777777" w:rsidR="002D400C" w:rsidRDefault="00000000">
      <w:pPr>
        <w:spacing w:after="40"/>
      </w:pPr>
      <w:r>
        <w:t>2. Introduction</w:t>
      </w:r>
    </w:p>
    <w:p w14:paraId="35F50636" w14:textId="77777777" w:rsidR="002D400C" w:rsidRDefault="00000000">
      <w:pPr>
        <w:spacing w:after="40"/>
      </w:pPr>
      <w:r>
        <w:t xml:space="preserve">   2.1 Objectives</w:t>
      </w:r>
    </w:p>
    <w:p w14:paraId="13FC27B4" w14:textId="77777777" w:rsidR="002D400C" w:rsidRDefault="00000000">
      <w:pPr>
        <w:spacing w:after="40"/>
      </w:pPr>
      <w:r>
        <w:t xml:space="preserve">   2.2 Risks and Challenges</w:t>
      </w:r>
    </w:p>
    <w:p w14:paraId="4B8BCEF3" w14:textId="77777777" w:rsidR="002D400C" w:rsidRDefault="00000000">
      <w:pPr>
        <w:spacing w:after="40"/>
      </w:pPr>
      <w:r>
        <w:t xml:space="preserve">   2.3 Scope</w:t>
      </w:r>
    </w:p>
    <w:p w14:paraId="4D8F20B6" w14:textId="77777777" w:rsidR="002D400C" w:rsidRDefault="00000000">
      <w:pPr>
        <w:spacing w:after="40"/>
      </w:pPr>
      <w:r>
        <w:t>3. Solution Overview</w:t>
      </w:r>
    </w:p>
    <w:p w14:paraId="06E6B732" w14:textId="77777777" w:rsidR="002D400C" w:rsidRDefault="00000000">
      <w:pPr>
        <w:spacing w:after="40"/>
      </w:pPr>
      <w:r>
        <w:t xml:space="preserve">   3.1 Data Collection</w:t>
      </w:r>
    </w:p>
    <w:p w14:paraId="5C0E9ACE" w14:textId="77777777" w:rsidR="002D400C" w:rsidRDefault="00000000">
      <w:pPr>
        <w:spacing w:after="40"/>
      </w:pPr>
      <w:r>
        <w:t xml:space="preserve">   3.2 Model Selection</w:t>
      </w:r>
    </w:p>
    <w:p w14:paraId="3755C008" w14:textId="77777777" w:rsidR="002D400C" w:rsidRDefault="00000000">
      <w:pPr>
        <w:spacing w:after="40"/>
      </w:pPr>
      <w:r>
        <w:t xml:space="preserve">   3.3 Fine-Tuning and Prompt Engineering</w:t>
      </w:r>
    </w:p>
    <w:p w14:paraId="6FB4BBA9" w14:textId="77777777" w:rsidR="002D400C" w:rsidRDefault="00000000">
      <w:pPr>
        <w:spacing w:after="40"/>
      </w:pPr>
      <w:r>
        <w:t xml:space="preserve">   3.4 Evaluation Metrics</w:t>
      </w:r>
    </w:p>
    <w:p w14:paraId="03902A8D" w14:textId="77777777" w:rsidR="002D400C" w:rsidRDefault="00000000">
      <w:pPr>
        <w:spacing w:after="40"/>
      </w:pPr>
      <w:r>
        <w:t>4. Experiments and Results</w:t>
      </w:r>
    </w:p>
    <w:p w14:paraId="4CBD02EB" w14:textId="77777777" w:rsidR="002D400C" w:rsidRDefault="00000000">
      <w:pPr>
        <w:spacing w:after="40"/>
      </w:pPr>
      <w:r>
        <w:t xml:space="preserve">   4.1 Description of Experiments</w:t>
      </w:r>
    </w:p>
    <w:p w14:paraId="0A25C4D8" w14:textId="77777777" w:rsidR="002D400C" w:rsidRDefault="00000000">
      <w:pPr>
        <w:spacing w:after="40"/>
      </w:pPr>
      <w:r>
        <w:t xml:space="preserve">   4.2 Performance Metrics</w:t>
      </w:r>
    </w:p>
    <w:p w14:paraId="65FD5348" w14:textId="77777777" w:rsidR="002D400C" w:rsidRDefault="00000000">
      <w:pPr>
        <w:spacing w:after="40"/>
      </w:pPr>
      <w:r>
        <w:t xml:space="preserve">   4.3 Comparative Analysis</w:t>
      </w:r>
    </w:p>
    <w:p w14:paraId="4270CF91" w14:textId="77777777" w:rsidR="002D400C" w:rsidRDefault="00000000">
      <w:pPr>
        <w:spacing w:after="40"/>
      </w:pPr>
      <w:r>
        <w:t xml:space="preserve">   4.4 Error Analysis</w:t>
      </w:r>
    </w:p>
    <w:p w14:paraId="7CD7C26B" w14:textId="77777777" w:rsidR="002D400C" w:rsidRDefault="00000000">
      <w:pPr>
        <w:spacing w:after="40"/>
      </w:pPr>
      <w:r>
        <w:t>5. Discussion</w:t>
      </w:r>
    </w:p>
    <w:p w14:paraId="7C4A6D6A" w14:textId="77777777" w:rsidR="002D400C" w:rsidRDefault="00000000">
      <w:pPr>
        <w:spacing w:after="40"/>
      </w:pPr>
      <w:r>
        <w:t xml:space="preserve">   5.1 Interpretation of Results</w:t>
      </w:r>
    </w:p>
    <w:p w14:paraId="4E548719" w14:textId="77777777" w:rsidR="002D400C" w:rsidRDefault="00000000">
      <w:pPr>
        <w:spacing w:after="40"/>
      </w:pPr>
      <w:r>
        <w:t xml:space="preserve">   5.2 Challenges and Limitations</w:t>
      </w:r>
    </w:p>
    <w:p w14:paraId="1BCFB335" w14:textId="77777777" w:rsidR="002D400C" w:rsidRDefault="00000000">
      <w:pPr>
        <w:spacing w:after="40"/>
      </w:pPr>
      <w:r>
        <w:t xml:space="preserve">   5.3 Mitigation Strategies</w:t>
      </w:r>
    </w:p>
    <w:p w14:paraId="0A1ACC07" w14:textId="77777777" w:rsidR="002D400C" w:rsidRDefault="00000000">
      <w:pPr>
        <w:spacing w:after="40"/>
      </w:pPr>
      <w:r>
        <w:t xml:space="preserve">   5.4 Adoption Feasibility</w:t>
      </w:r>
    </w:p>
    <w:p w14:paraId="4111DEDE" w14:textId="77777777" w:rsidR="002D400C" w:rsidRDefault="00000000">
      <w:pPr>
        <w:spacing w:after="40"/>
      </w:pPr>
      <w:r>
        <w:t>6. Conclusion</w:t>
      </w:r>
    </w:p>
    <w:p w14:paraId="659FB892" w14:textId="77777777" w:rsidR="002D400C" w:rsidRDefault="00000000">
      <w:pPr>
        <w:spacing w:after="40"/>
      </w:pPr>
      <w:r>
        <w:t xml:space="preserve">   6.1 Summary of Findings</w:t>
      </w:r>
    </w:p>
    <w:p w14:paraId="3B78B5A5" w14:textId="77777777" w:rsidR="002D400C" w:rsidRDefault="00000000">
      <w:pPr>
        <w:spacing w:after="40"/>
      </w:pPr>
      <w:r>
        <w:t xml:space="preserve">   6.2 Next Steps</w:t>
      </w:r>
    </w:p>
    <w:p w14:paraId="20DD5768" w14:textId="77777777" w:rsidR="002D400C" w:rsidRDefault="00000000">
      <w:r>
        <w:br w:type="page"/>
      </w:r>
    </w:p>
    <w:p w14:paraId="666EE9CD" w14:textId="77777777" w:rsidR="002D400C" w:rsidRDefault="00000000">
      <w:pPr>
        <w:pStyle w:val="Heading1"/>
      </w:pPr>
      <w:r>
        <w:rPr>
          <w:color w:val="1B365D"/>
        </w:rPr>
        <w:lastRenderedPageBreak/>
        <w:t>1. Executive Summary</w:t>
      </w:r>
    </w:p>
    <w:p w14:paraId="480C4014" w14:textId="77777777" w:rsidR="002D400C" w:rsidRDefault="00000000">
      <w:r>
        <w:t>The Financial Data Ingestion Pipeline is a production-grade system developed by Natixis CIB to automate the extraction, standardisation, and analysis of financial statements across three geographic regions: AMER (Americas), APAC (Asia-Pacific), and EMEA (Europe, Middle East &amp; Africa). The pipeline eliminates manual data entry by combining rule-based PDF parsing, LLM-powered information extraction, structured API consumption, and multi-agent financial analysis.</w:t>
      </w:r>
    </w:p>
    <w:p w14:paraId="19031A9B" w14:textId="77777777" w:rsidR="002D400C" w:rsidRDefault="00000000">
      <w:r>
        <w:t>The system ingests data from heterogeneous sources—SEC EDGAR XBRL filings, HKEX annual report PDFs, and the filings.xbrl.org IFRS API—and normalises them into a unified BREF (Banking REFerence) field schema. Downstream, a LangGraph-based multi-agent AI system performs automated credit analysis, producing analyst-grade reports suitable for credit memo preparation.</w:t>
      </w:r>
    </w:p>
    <w:p w14:paraId="27206FE5" w14:textId="77777777" w:rsidR="002D400C" w:rsidRDefault="00000000">
      <w:r>
        <w:t>Key technical highlights include: pdfplumber-based table extraction with LLM vision fallback for scanned documents; multilingual heading detection (English, Chinese, Indonesian); alias-driven LLM field mapping with confidence scoring; cross-statement summary generation with inter-statement ratio computation; and a dynamic parallel agent graph that scales analysis across document chunks using ThreadPoolExecutor concurrency.</w:t>
      </w:r>
    </w:p>
    <w:p w14:paraId="6713D0E3" w14:textId="33EBA190" w:rsidR="00672BF9" w:rsidRPr="00672BF9" w:rsidRDefault="00672BF9" w:rsidP="00672BF9"/>
    <w:p w14:paraId="FA010001" w14:textId="77777777" w:rsidR="00FA0001" w:rsidRDefault="00000000">
      <w:pPr>
        <w:pStyle w:val="Heading2"/>
      </w:pPr>
      <w:r>
        <w:rPr>
          <w:color w:val="1B365D"/>
        </w:rPr>
        <w:t>1.1 Financial Analysis (FA) Module — Overview</w:t>
      </w:r>
    </w:p>
    <w:p w14:paraId="FA010002" w14:textId="77777777" w:rsidR="00FA0001" w:rsidRDefault="00000000">
      <w:r>
        <w:t>The NIA proposes a POC of an AI-powered, multi-agent financial analysis capability designed to fundamentally transform how the Credit Portfolio and Risk Management (CPRM) team conducts corporate financial analysis. This initiative focuses exclusively on the automation and augmentation of the Financial Analysis workflow, leveraging only publicly available and external financial data sources.</w:t>
      </w:r>
    </w:p>
    <w:p w14:paraId="FA010003" w14:textId="77777777" w:rsidR="00FA0001" w:rsidRDefault="00000000">
      <w:r>
        <w:t>The CPRM team currently comprises approximately 134 analysts distributed globally across four regions — Americas (AMER), Europe Middle East &amp; Africa (EMEA), Asia-Pacific (APAC), and France — responsible for conducting financial analysis on approximately 3,000 corporate clients annually. The financial analysis function is the single largest consumer of analyst bandwidth, accounting for approximately 60% of daily analyst capacity, the overwhelming majority of which is spent on entirely manual, document-intensive tasks.</w:t>
      </w:r>
    </w:p>
    <w:p w14:paraId="FA010004" w14:textId="77777777" w:rsidR="00FA0001" w:rsidRDefault="00000000">
      <w:r>
        <w:t>The NIA Financial Analysis module is designed to address this challenge by deploying an intelligent, agentic pipeline that:</w:t>
      </w:r>
    </w:p>
    <w:p w14:paraId="FA010005" w14:textId="77777777" w:rsidR="00FA0001" w:rsidRDefault="00000000">
      <w:pPr>
        <w:pStyle w:val="ListBullet"/>
      </w:pPr>
      <w:r>
        <w:t>Ingests and processes multiple categories of unstructured public financial documents — including Annual Reports, Interim Reports, Earnings Presentations, and Earnings Call Transcripts — across multiple geographies.</w:t>
      </w:r>
    </w:p>
    <w:p w14:paraId="FA010006" w14:textId="77777777" w:rsidR="00FA0001" w:rsidRDefault="00000000">
      <w:pPr>
        <w:pStyle w:val="ListBullet"/>
      </w:pPr>
      <w:r>
        <w:t>Identifies and synthesizes key financial performance drivers across Income Statement, Balance Sheet &amp; Cash Flow.</w:t>
      </w:r>
    </w:p>
    <w:p w14:paraId="FA010007" w14:textId="77777777" w:rsidR="00FA0001" w:rsidRDefault="00000000">
      <w:pPr>
        <w:pStyle w:val="ListBullet"/>
      </w:pPr>
      <w:r>
        <w:t>Delivers outputs through a human-in-the-loop validation interface, enabling analysts to review, edit, and approve AI-generated content before finalization.</w:t>
      </w:r>
    </w:p>
    <w:p w14:paraId="FA010008" w14:textId="77777777" w:rsidR="00FA0001" w:rsidRDefault="00000000">
      <w:pPr>
        <w:pStyle w:val="Heading2"/>
      </w:pPr>
      <w:r>
        <w:rPr>
          <w:color w:val="1B365D"/>
        </w:rPr>
        <w:t>1.2 FA Module — Key Problem Statement and Expected Results</w:t>
      </w:r>
    </w:p>
    <w:p w14:paraId="FA010009" w14:textId="77777777" w:rsidR="00FA0001" w:rsidRDefault="00000000">
      <w:r>
        <w:rPr>
          <w:b/>
        </w:rPr>
        <w:t>Problem Statement</w:t>
      </w:r>
    </w:p>
    <w:p w14:paraId="FA01000A" w14:textId="77777777" w:rsidR="00FA0001" w:rsidRDefault="00000000">
      <w:r>
        <w:t>The CPRM financial analysis workflow is structurally overburdened by manual effort across three distinct sub-processes, each contributing to a compounding efficiency deficit:</w:t>
      </w:r>
    </w:p>
    <w:tbl>
      <w:tblPr>
        <w:tblStyle w:val="TableGrid"/>
        <w:tblW w:w="0" w:type="auto"/>
        <w:jc w:val="center"/>
        <w:tblLook w:val="04A0" w:firstRow="1" w:lastRow="0" w:firstColumn="1" w:lastColumn="0" w:noHBand="0" w:noVBand="1"/>
      </w:tblPr>
      <w:tblGrid>
        <w:gridCol w:w="4252"/>
        <w:gridCol w:w="1701"/>
        <w:gridCol w:w="3118"/>
      </w:tblGrid>
      <w:tr w:rsidR="00FA0001" w14:paraId="FA010B01" w14:textId="77777777">
        <w:tc>
          <w:tcPr>
            <w:tcW w:w="4252" w:type="dxa"/>
            <w:shd w:val="clear" w:color="auto" w:fill="00965E"/>
          </w:tcPr>
          <w:p w14:paraId="FA010B02" w14:textId="77777777" w:rsidR="00FA0001" w:rsidRDefault="00000000">
            <w:r>
              <w:rPr>
                <w:b/>
                <w:color w:val="FFFFFF"/>
                <w:sz w:val="18"/>
              </w:rPr>
              <w:t>Financial Analysis Sub-Process</w:t>
            </w:r>
          </w:p>
        </w:tc>
        <w:tc>
          <w:tcPr>
            <w:tcW w:w="1701" w:type="dxa"/>
            <w:shd w:val="clear" w:color="auto" w:fill="00965E"/>
          </w:tcPr>
          <w:p w14:paraId="FA010B03" w14:textId="77777777" w:rsidR="00FA0001" w:rsidRDefault="00000000">
            <w:r>
              <w:rPr>
                <w:b/>
                <w:color w:val="FFFFFF"/>
                <w:sz w:val="18"/>
              </w:rPr>
              <w:t>% of Total FA Effort</w:t>
            </w:r>
          </w:p>
        </w:tc>
        <w:tc>
          <w:tcPr>
            <w:tcW w:w="3118" w:type="dxa"/>
            <w:shd w:val="clear" w:color="auto" w:fill="00965E"/>
          </w:tcPr>
          <w:p w14:paraId="FA010B04" w14:textId="77777777" w:rsidR="00FA0001" w:rsidRDefault="00000000">
            <w:r>
              <w:rPr>
                <w:b/>
                <w:color w:val="FFFFFF"/>
                <w:sz w:val="18"/>
              </w:rPr>
              <w:t>Nature of Work</w:t>
            </w:r>
          </w:p>
        </w:tc>
      </w:tr>
      <w:tr w:rsidR="00FA0001" w14:paraId="FA010B05" w14:textId="77777777">
        <w:tc>
          <w:tcPr>
            <w:tcW w:w="4252" w:type="dxa"/>
          </w:tcPr>
          <w:p w14:paraId="FA010B06" w14:textId="77777777" w:rsidR="00FA0001" w:rsidRDefault="00000000">
            <w:r>
              <w:rPr>
                <w:sz w:val="18"/>
              </w:rPr>
              <w:t>Financial Spreading (BREF &amp; Interim)</w:t>
            </w:r>
          </w:p>
        </w:tc>
        <w:tc>
          <w:tcPr>
            <w:tcW w:w="1701" w:type="dxa"/>
          </w:tcPr>
          <w:p w14:paraId="FA010B07" w14:textId="77777777" w:rsidR="00FA0001" w:rsidRDefault="00000000">
            <w:r>
              <w:rPr>
                <w:sz w:val="18"/>
              </w:rPr>
              <w:t>~20%</w:t>
            </w:r>
          </w:p>
        </w:tc>
        <w:tc>
          <w:tcPr>
            <w:tcW w:w="3118" w:type="dxa"/>
          </w:tcPr>
          <w:p w14:paraId="FA010B08" w14:textId="77777777" w:rsidR="00FA0001" w:rsidRDefault="00000000">
            <w:r>
              <w:rPr>
                <w:sz w:val="18"/>
              </w:rPr>
              <w:t>Manual extraction of financial data from public statements into BREF/Excel</w:t>
            </w:r>
          </w:p>
        </w:tc>
      </w:tr>
      <w:tr w:rsidR="00FA0001" w14:paraId="FA010B09" w14:textId="77777777">
        <w:tc>
          <w:tcPr>
            <w:tcW w:w="4252" w:type="dxa"/>
            <w:shd w:val="clear" w:color="auto" w:fill="E8F5E9"/>
          </w:tcPr>
          <w:p w14:paraId="FA010B0A" w14:textId="77777777" w:rsidR="00FA0001" w:rsidRDefault="00000000">
            <w:r>
              <w:rPr>
                <w:sz w:val="18"/>
              </w:rPr>
              <w:t>Information Gathering &amp; Driver Analysis</w:t>
            </w:r>
          </w:p>
        </w:tc>
        <w:tc>
          <w:tcPr>
            <w:tcW w:w="1701" w:type="dxa"/>
            <w:shd w:val="clear" w:color="auto" w:fill="E8F5E9"/>
          </w:tcPr>
          <w:p w14:paraId="FA010B0B" w14:textId="77777777" w:rsidR="00FA0001" w:rsidRDefault="00000000">
            <w:r>
              <w:rPr>
                <w:sz w:val="18"/>
              </w:rPr>
              <w:t>~15%</w:t>
            </w:r>
          </w:p>
        </w:tc>
        <w:tc>
          <w:tcPr>
            <w:tcW w:w="3118" w:type="dxa"/>
            <w:shd w:val="clear" w:color="auto" w:fill="E8F5E9"/>
          </w:tcPr>
          <w:p w14:paraId="FA010B0C" w14:textId="77777777" w:rsidR="00FA0001" w:rsidRDefault="00000000">
            <w:r>
              <w:rPr>
                <w:sz w:val="18"/>
              </w:rPr>
              <w:t>Manual reading and synthesis of multiple unstructured documents per client</w:t>
            </w:r>
          </w:p>
        </w:tc>
      </w:tr>
      <w:tr w:rsidR="00FA0001" w14:paraId="FA010B0D" w14:textId="77777777">
        <w:tc>
          <w:tcPr>
            <w:tcW w:w="4252" w:type="dxa"/>
          </w:tcPr>
          <w:p w14:paraId="FA010B0E" w14:textId="77777777" w:rsidR="00FA0001" w:rsidRDefault="00000000">
            <w:r>
              <w:rPr>
                <w:sz w:val="18"/>
              </w:rPr>
              <w:t>Financial Analysis Write-up</w:t>
            </w:r>
          </w:p>
        </w:tc>
        <w:tc>
          <w:tcPr>
            <w:tcW w:w="1701" w:type="dxa"/>
          </w:tcPr>
          <w:p w14:paraId="FA010B0F" w14:textId="77777777" w:rsidR="00FA0001" w:rsidRDefault="00000000">
            <w:r>
              <w:rPr>
                <w:sz w:val="18"/>
              </w:rPr>
              <w:t>~65%</w:t>
            </w:r>
          </w:p>
        </w:tc>
        <w:tc>
          <w:tcPr>
            <w:tcW w:w="3118" w:type="dxa"/>
          </w:tcPr>
          <w:p w14:paraId="FA010B10" w14:textId="77777777" w:rsidR="00FA0001" w:rsidRDefault="00000000">
            <w:r>
              <w:rPr>
                <w:sz w:val="18"/>
              </w:rPr>
              <w:t>Fully manual synthesis and narrative generation across all analytical sections</w:t>
            </w:r>
          </w:p>
        </w:tc>
      </w:tr>
    </w:tbl>
    <w:p w14:paraId="FA010011" w14:textId="77777777" w:rsidR="00FA0001" w:rsidRDefault="00000000"/>
    <w:p w14:paraId="FA010012" w14:textId="77777777" w:rsidR="00FA0001" w:rsidRDefault="00000000">
      <w:r>
        <w:rPr>
          <w:b/>
        </w:rPr>
        <w:t>Key Expected Results</w:t>
      </w:r>
    </w:p>
    <w:tbl>
      <w:tblPr>
        <w:tblStyle w:val="TableGrid"/>
        <w:tblW w:w="0" w:type="auto"/>
        <w:jc w:val="center"/>
        <w:tblLook w:val="04A0" w:firstRow="1" w:lastRow="0" w:firstColumn="1" w:lastColumn="0" w:noHBand="0" w:noVBand="1"/>
      </w:tblPr>
      <w:tblGrid>
        <w:gridCol w:w="3118"/>
        <w:gridCol w:w="5953"/>
      </w:tblGrid>
      <w:tr w:rsidR="00FA0001" w14:paraId="FA010C01" w14:textId="77777777">
        <w:tc>
          <w:tcPr>
            <w:tcW w:w="3118" w:type="dxa"/>
            <w:shd w:val="clear" w:color="auto" w:fill="00965E"/>
          </w:tcPr>
          <w:p w14:paraId="FA010C02" w14:textId="77777777" w:rsidR="00FA0001" w:rsidRDefault="00000000">
            <w:r>
              <w:rPr>
                <w:b/>
                <w:color w:val="FFFFFF"/>
                <w:sz w:val="18"/>
              </w:rPr>
              <w:t>Outcome Area</w:t>
            </w:r>
          </w:p>
        </w:tc>
        <w:tc>
          <w:tcPr>
            <w:tcW w:w="5953" w:type="dxa"/>
            <w:shd w:val="clear" w:color="auto" w:fill="00965E"/>
          </w:tcPr>
          <w:p w14:paraId="FA010C03" w14:textId="77777777" w:rsidR="00FA0001" w:rsidRDefault="00000000">
            <w:r>
              <w:rPr>
                <w:b/>
                <w:color w:val="FFFFFF"/>
                <w:sz w:val="18"/>
              </w:rPr>
              <w:t>Expected Result</w:t>
            </w:r>
          </w:p>
        </w:tc>
      </w:tr>
      <w:tr w:rsidR="00FA0001" w14:paraId="FA010C04" w14:textId="77777777">
        <w:tc>
          <w:tcPr>
            <w:tcW w:w="3118" w:type="dxa"/>
          </w:tcPr>
          <w:p w14:paraId="FA010C05" w14:textId="77777777" w:rsidR="00FA0001" w:rsidRDefault="00000000">
            <w:r>
              <w:rPr>
                <w:sz w:val="18"/>
              </w:rPr>
              <w:t>Reduction in Manual Effort</w:t>
            </w:r>
          </w:p>
        </w:tc>
        <w:tc>
          <w:tcPr>
            <w:tcW w:w="5953" w:type="dxa"/>
          </w:tcPr>
          <w:p w14:paraId="FA010C06" w14:textId="77777777" w:rsidR="00FA0001" w:rsidRDefault="00000000">
            <w:r>
              <w:rPr>
                <w:sz w:val="18"/>
              </w:rPr>
              <w:t>Significant reduction in analyst time spent on information gathering and write-up, targeting recapture of the majority of the ~60% daily bandwidth currently consumed by FA tasks</w:t>
            </w:r>
          </w:p>
        </w:tc>
      </w:tr>
      <w:tr w:rsidR="00FA0001" w14:paraId="FA010C07" w14:textId="77777777">
        <w:tc>
          <w:tcPr>
            <w:tcW w:w="3118" w:type="dxa"/>
            <w:shd w:val="clear" w:color="auto" w:fill="E8F5E9"/>
          </w:tcPr>
          <w:p w14:paraId="FA010C08" w14:textId="77777777" w:rsidR="00FA0001" w:rsidRDefault="00000000">
            <w:r>
              <w:rPr>
                <w:sz w:val="18"/>
              </w:rPr>
              <w:t>Speed of Analysis</w:t>
            </w:r>
          </w:p>
        </w:tc>
        <w:tc>
          <w:tcPr>
            <w:tcW w:w="5953" w:type="dxa"/>
            <w:shd w:val="clear" w:color="auto" w:fill="E8F5E9"/>
          </w:tcPr>
          <w:p w14:paraId="FA010C09" w14:textId="77777777" w:rsidR="00FA0001" w:rsidRDefault="00000000">
            <w:r>
              <w:rPr>
                <w:sz w:val="18"/>
              </w:rPr>
              <w:t>Materially faster turnaround on Financial Analysis reports, enabling more timely credit risk assessments and portfolio monitoring decisions</w:t>
            </w:r>
          </w:p>
        </w:tc>
      </w:tr>
    </w:tbl>
    <w:p w14:paraId="FA010013" w14:textId="77777777" w:rsidR="00FA0001" w:rsidRDefault="00000000"/>
    <w:p w14:paraId="7611152E" w14:textId="1850993F" w:rsidR="002D400C" w:rsidRDefault="00000000">
      <w:pPr>
        <w:pStyle w:val="Heading1"/>
      </w:pPr>
      <w:r>
        <w:rPr>
          <w:color w:val="1B365D"/>
        </w:rPr>
        <w:t>2. Introduction</w:t>
      </w:r>
    </w:p>
    <w:p w14:paraId="08667E20" w14:textId="77777777" w:rsidR="002D400C" w:rsidRDefault="00000000">
      <w:pPr>
        <w:pStyle w:val="Heading2"/>
      </w:pPr>
      <w:r>
        <w:rPr>
          <w:color w:val="1B365D"/>
        </w:rPr>
        <w:t>2.1 Objectives</w:t>
      </w:r>
    </w:p>
    <w:p w14:paraId="5F014134" w14:textId="77777777" w:rsidR="002D400C" w:rsidRDefault="00000000">
      <w:pPr>
        <w:pStyle w:val="ListBullet"/>
      </w:pPr>
      <w:r>
        <w:t>Automate the end-to-end extraction of financial statements (Income Statement, Balance Sheet, Cash Flow Statement) from PDF documents, SEC EDGAR filings, and XBRL/IFRS APIs.</w:t>
      </w:r>
    </w:p>
    <w:p w14:paraId="4E2F4ED7" w14:textId="77777777" w:rsidR="002D400C" w:rsidRDefault="00000000">
      <w:pPr>
        <w:pStyle w:val="ListBullet"/>
      </w:pPr>
      <w:r>
        <w:t>Standardise extracted financial data into the Natixis BREF field schema, enabling consistent cross-regional comparison regardless of the original data source or language.</w:t>
      </w:r>
    </w:p>
    <w:p w14:paraId="07F07DFA" w14:textId="77777777" w:rsidR="002D400C" w:rsidRDefault="00000000">
      <w:pPr>
        <w:pStyle w:val="ListBullet"/>
      </w:pPr>
      <w:r>
        <w:t>Generate summary analytics with calculated metrics (growth rates, ratios, margins) that feed directly into the credit memo workflow.</w:t>
      </w:r>
    </w:p>
    <w:p w14:paraId="301D9A91" w14:textId="77777777" w:rsidR="002D400C" w:rsidRDefault="00000000">
      <w:pPr>
        <w:pStyle w:val="ListBullet"/>
      </w:pPr>
      <w:r>
        <w:t>Provide LLM-powered financial analysis through a multi-agent architecture that produces structured credit reports with citations and validation loops.</w:t>
      </w:r>
    </w:p>
    <w:p w14:paraId="7ABF6FBC" w14:textId="77777777" w:rsidR="002D400C" w:rsidRDefault="00000000">
      <w:pPr>
        <w:pStyle w:val="ListBullet"/>
      </w:pPr>
      <w:r>
        <w:t>Deliver a unified single-page Streamlit application covering the full workflow: Region Selection → Extraction → Mapping → Summary → Financial Analysis → Credit Memo.</w:t>
      </w:r>
    </w:p>
    <w:p w14:paraId="1D2E6EF1" w14:textId="77777777" w:rsidR="002D400C" w:rsidRDefault="00000000">
      <w:pPr>
        <w:pStyle w:val="Heading2"/>
      </w:pPr>
      <w:r>
        <w:rPr>
          <w:color w:val="1B365D"/>
        </w:rPr>
        <w:t>2.2 Risks and Challenges</w:t>
      </w:r>
    </w:p>
    <w:p w14:paraId="1962DFE8" w14:textId="77777777" w:rsidR="002D400C" w:rsidRDefault="00000000">
      <w:r>
        <w:t>The pipeline operates in a complex environment characterised by the following risk categories:</w:t>
      </w:r>
    </w:p>
    <w:p w14:paraId="01347E48" w14:textId="77777777" w:rsidR="002D400C" w:rsidRDefault="00000000">
      <w:pPr>
        <w:pStyle w:val="Heading3"/>
      </w:pPr>
      <w:r>
        <w:rPr>
          <w:color w:val="1B365D"/>
        </w:rPr>
        <w:t>Data Quality Risks</w:t>
      </w:r>
    </w:p>
    <w:p w14:paraId="55DD5012" w14:textId="77777777" w:rsidR="002D400C" w:rsidRDefault="00000000">
      <w:pPr>
        <w:pStyle w:val="ListBullet"/>
      </w:pPr>
      <w:r>
        <w:t>PDF encoding variability: Some financial PDFs use CID-encoded fonts (e.g., (cid:42)) that render text extraction impossible with standard libraries. The pipeline must detect and fall back to OCR/vision-based extraction.</w:t>
      </w:r>
    </w:p>
    <w:p w14:paraId="26559A0F" w14:textId="77777777" w:rsidR="002D400C" w:rsidRDefault="00000000">
      <w:pPr>
        <w:pStyle w:val="ListBullet"/>
      </w:pPr>
      <w:r>
        <w:t>Multilingual content: Annual reports from APAC jurisdictions contain mixed English/Chinese text and financial terminology, requiring language-aware heading detection.</w:t>
      </w:r>
    </w:p>
    <w:p w14:paraId="3D03F662" w14:textId="77777777" w:rsidR="002D400C" w:rsidRDefault="00000000">
      <w:pPr>
        <w:pStyle w:val="ListBullet"/>
      </w:pPr>
      <w:r>
        <w:t>Inconsistent table structures: Financial tables vary widely in layout—merged cells, footnote rows, subtotal hierarchies, landscape orientation—across issuers and jurisdictions.</w:t>
      </w:r>
    </w:p>
    <w:p w14:paraId="5C0FEBA3" w14:textId="77777777" w:rsidR="002D400C" w:rsidRDefault="00000000">
      <w:pPr>
        <w:pStyle w:val="Heading3"/>
      </w:pPr>
      <w:r>
        <w:rPr>
          <w:color w:val="1B365D"/>
        </w:rPr>
        <w:t>Integration Risks</w:t>
      </w:r>
    </w:p>
    <w:p w14:paraId="69CFA47A" w14:textId="77777777" w:rsidR="002D400C" w:rsidRDefault="00000000">
      <w:pPr>
        <w:pStyle w:val="ListBullet"/>
      </w:pPr>
      <w:r>
        <w:t>API availability: SEC EDGAR rate-limits requests (10 req/sec with User-Agent). HKEX search endpoints return HTML requiring scraping. The filings.xbrl.org API has pagination limits.</w:t>
      </w:r>
    </w:p>
    <w:p w14:paraId="5DE5DB79" w14:textId="77777777" w:rsidR="002D400C" w:rsidRDefault="00000000">
      <w:pPr>
        <w:pStyle w:val="ListBullet"/>
      </w:pPr>
      <w:r>
        <w:t>LLM provider switching: The system must support multiple LLM backends (Azure OpenAI, Maia internal gateway, Gemma/vLLM, OpenAI) with seamless configuration-driven switching.</w:t>
      </w:r>
    </w:p>
    <w:p w14:paraId="56219429" w14:textId="77777777" w:rsidR="002D400C" w:rsidRDefault="00000000">
      <w:pPr>
        <w:pStyle w:val="ListBullet"/>
      </w:pPr>
      <w:r>
        <w:t>Corporate proxy traversal: Deployments behind corporate proxies require dynamic proxy configuration with authentication, while internal .intranet endpoints must bypass the proxy.</w:t>
      </w:r>
    </w:p>
    <w:p w14:paraId="613DD59D" w14:textId="77777777" w:rsidR="002D400C" w:rsidRDefault="00000000">
      <w:pPr>
        <w:pStyle w:val="Heading3"/>
      </w:pPr>
      <w:r>
        <w:rPr>
          <w:color w:val="1B365D"/>
        </w:rPr>
        <w:t>Operational Risks</w:t>
      </w:r>
    </w:p>
    <w:p w14:paraId="1C38D762" w14:textId="77777777" w:rsidR="002D400C" w:rsidRDefault="00000000">
      <w:pPr>
        <w:pStyle w:val="ListBullet"/>
      </w:pPr>
      <w:r>
        <w:t>LLM response reliability: JSON responses from LLMs may be truncated, malformed, or contain hallucinated field values, requiring robust parsing and validation.</w:t>
      </w:r>
    </w:p>
    <w:p w14:paraId="4BAB7AEE" w14:textId="77777777" w:rsidR="002D400C" w:rsidRDefault="00000000">
      <w:pPr>
        <w:pStyle w:val="ListBullet"/>
      </w:pPr>
      <w:r>
        <w:t>Scalability: Large annual reports (300+ pages) require parallel processing and memory management to avoid timeout and resource exhaustion.</w:t>
      </w:r>
    </w:p>
    <w:p w14:paraId="FA020001" w14:textId="77777777" w:rsidR="00FA0002" w:rsidRDefault="00000000">
      <w:pPr>
        <w:pStyle w:val="Heading3"/>
      </w:pPr>
      <w:r>
        <w:rPr>
          <w:color w:val="1B365D"/>
        </w:rPr>
        <w:t>AI Model and Output Quality Risks (Financial Analysis)</w:t>
      </w:r>
    </w:p>
    <w:p w14:paraId="FA020002" w14:textId="77777777" w:rsidR="00FA0002" w:rsidRDefault="00000000">
      <w:r>
        <w:t>The Financial Analysis module introduces additional AI-specific risks beyond the data quality and integration risks described above:</w:t>
      </w:r>
    </w:p>
    <w:tbl>
      <w:tblPr>
        <w:tblStyle w:val="TableGrid"/>
        <w:tblW w:w="0" w:type="auto"/>
        <w:jc w:val="center"/>
        <w:tblLook w:val="04A0" w:firstRow="1" w:lastRow="0" w:firstColumn="1" w:lastColumn="0" w:noHBand="0" w:noVBand="1"/>
      </w:tblPr>
      <w:tblGrid>
        <w:gridCol w:w="425"/>
        <w:gridCol w:w="2268"/>
        <w:gridCol w:w="2835"/>
        <w:gridCol w:w="992"/>
        <w:gridCol w:w="850"/>
        <w:gridCol w:w="1701"/>
      </w:tblGrid>
      <w:tr w:rsidR="00FA0002" w14:paraId="FA020T01" w14:textId="77777777">
        <w:tc>
          <w:tcPr>
            <w:tcW w:w="425" w:type="dxa"/>
            <w:shd w:val="clear" w:color="auto" w:fill="00965E"/>
          </w:tcPr>
          <w:p w14:paraId="FA020T02" w14:textId="77777777" w:rsidR="00FA0002" w:rsidRDefault="00000000">
            <w:r>
              <w:rPr>
                <w:b/>
                <w:color w:val="FFFFFF"/>
                <w:sz w:val="18"/>
              </w:rPr>
              <w:t>#</w:t>
            </w:r>
          </w:p>
        </w:tc>
        <w:tc>
          <w:tcPr>
            <w:tcW w:w="2268" w:type="dxa"/>
            <w:shd w:val="clear" w:color="auto" w:fill="00965E"/>
          </w:tcPr>
          <w:p w14:paraId="FA020T03" w14:textId="77777777" w:rsidR="00FA0002" w:rsidRDefault="00000000">
            <w:r>
              <w:rPr>
                <w:b/>
                <w:color w:val="FFFFFF"/>
                <w:sz w:val="18"/>
              </w:rPr>
              <w:t>Risk</w:t>
            </w:r>
          </w:p>
        </w:tc>
        <w:tc>
          <w:tcPr>
            <w:tcW w:w="2835" w:type="dxa"/>
            <w:shd w:val="clear" w:color="auto" w:fill="00965E"/>
          </w:tcPr>
          <w:p w14:paraId="FA020T04" w14:textId="77777777" w:rsidR="00FA0002" w:rsidRDefault="00000000">
            <w:r>
              <w:rPr>
                <w:b/>
                <w:color w:val="FFFFFF"/>
                <w:sz w:val="18"/>
              </w:rPr>
              <w:t>Description</w:t>
            </w:r>
          </w:p>
        </w:tc>
        <w:tc>
          <w:tcPr>
            <w:tcW w:w="992" w:type="dxa"/>
            <w:shd w:val="clear" w:color="auto" w:fill="00965E"/>
          </w:tcPr>
          <w:p w14:paraId="FA020T05" w14:textId="77777777" w:rsidR="00FA0002" w:rsidRDefault="00000000">
            <w:r>
              <w:rPr>
                <w:b/>
                <w:color w:val="FFFFFF"/>
                <w:sz w:val="18"/>
              </w:rPr>
              <w:t>Likelihood</w:t>
            </w:r>
          </w:p>
        </w:tc>
        <w:tc>
          <w:tcPr>
            <w:tcW w:w="850" w:type="dxa"/>
            <w:shd w:val="clear" w:color="auto" w:fill="00965E"/>
          </w:tcPr>
          <w:p w14:paraId="FA020T06" w14:textId="77777777" w:rsidR="00FA0002" w:rsidRDefault="00000000">
            <w:r>
              <w:rPr>
                <w:b/>
                <w:color w:val="FFFFFF"/>
                <w:sz w:val="18"/>
              </w:rPr>
              <w:t>Impact</w:t>
            </w:r>
          </w:p>
        </w:tc>
        <w:tc>
          <w:tcPr>
            <w:tcW w:w="1701" w:type="dxa"/>
            <w:shd w:val="clear" w:color="auto" w:fill="00965E"/>
          </w:tcPr>
          <w:p w14:paraId="FA020T07" w14:textId="77777777" w:rsidR="00FA0002" w:rsidRDefault="00000000">
            <w:r>
              <w:rPr>
                <w:b/>
                <w:color w:val="FFFFFF"/>
                <w:sz w:val="18"/>
              </w:rPr>
              <w:t>Mitigation Strategy</w:t>
            </w:r>
          </w:p>
        </w:tc>
      </w:tr>
      <w:tr w:rsidR="00FA0002" w14:paraId="FA020T08" w14:textId="77777777">
        <w:tc>
          <w:tcPr>
            <w:tcW w:w="425" w:type="dxa"/>
          </w:tcPr>
          <w:p w14:paraId="FA020T09" w14:textId="77777777" w:rsidR="00FA0002" w:rsidRDefault="00000000">
            <w:r>
              <w:rPr>
                <w:sz w:val="18"/>
              </w:rPr>
              <w:t>1</w:t>
            </w:r>
          </w:p>
        </w:tc>
        <w:tc>
          <w:tcPr>
            <w:tcW w:w="2268" w:type="dxa"/>
          </w:tcPr>
          <w:p w14:paraId="FA020T0A" w14:textId="77777777" w:rsidR="00FA0002" w:rsidRDefault="00000000">
            <w:r>
              <w:rPr>
                <w:sz w:val="18"/>
              </w:rPr>
              <w:t>LLM Hallucination in Financial Narratives</w:t>
            </w:r>
          </w:p>
        </w:tc>
        <w:tc>
          <w:tcPr>
            <w:tcW w:w="2835" w:type="dxa"/>
          </w:tcPr>
          <w:p w14:paraId="FA020T0B" w14:textId="77777777" w:rsidR="00FA0002" w:rsidRDefault="00000000">
            <w:r>
              <w:rPr>
                <w:sz w:val="18"/>
              </w:rPr>
              <w:t>The AI system may generate financial commentary that is factually incorrect, numerically inconsistent, or not supported by the source documents — a critical risk in a credit risk context</w:t>
            </w:r>
          </w:p>
        </w:tc>
        <w:tc>
          <w:tcPr>
            <w:tcW w:w="992" w:type="dxa"/>
          </w:tcPr>
          <w:p w14:paraId="FA020T0C" w14:textId="77777777" w:rsidR="00FA0002" w:rsidRDefault="00000000">
            <w:r>
              <w:rPr>
                <w:sz w:val="18"/>
              </w:rPr>
              <w:t>High</w:t>
            </w:r>
          </w:p>
        </w:tc>
        <w:tc>
          <w:tcPr>
            <w:tcW w:w="850" w:type="dxa"/>
          </w:tcPr>
          <w:p w14:paraId="FA020T0D" w14:textId="77777777" w:rsidR="00FA0002" w:rsidRDefault="00000000">
            <w:r>
              <w:rPr>
                <w:sz w:val="18"/>
              </w:rPr>
              <w:t>Critical</w:t>
            </w:r>
          </w:p>
        </w:tc>
        <w:tc>
          <w:tcPr>
            <w:tcW w:w="1701" w:type="dxa"/>
          </w:tcPr>
          <w:p w14:paraId="FA020T0E" w14:textId="77777777" w:rsidR="00FA0002" w:rsidRDefault="00000000">
            <w:r>
              <w:rPr>
                <w:sz w:val="18"/>
              </w:rPr>
              <w:t>Hallucination detection metrics; mandatory source attribution; human-in-the-loop review gates</w:t>
            </w:r>
          </w:p>
        </w:tc>
      </w:tr>
      <w:tr w:rsidR="00FA0002" w14:paraId="FA020T0F" w14:textId="77777777">
        <w:tc>
          <w:tcPr>
            <w:tcW w:w="425" w:type="dxa"/>
            <w:shd w:val="clear" w:color="auto" w:fill="E8F5E9"/>
          </w:tcPr>
          <w:p w14:paraId="FA020T10" w14:textId="77777777" w:rsidR="00FA0002" w:rsidRDefault="00000000">
            <w:r>
              <w:rPr>
                <w:sz w:val="18"/>
              </w:rPr>
              <w:t>2</w:t>
            </w:r>
          </w:p>
        </w:tc>
        <w:tc>
          <w:tcPr>
            <w:tcW w:w="2268" w:type="dxa"/>
            <w:shd w:val="clear" w:color="auto" w:fill="E8F5E9"/>
          </w:tcPr>
          <w:p w14:paraId="FA020T11" w14:textId="77777777" w:rsidR="00FA0002" w:rsidRDefault="00000000">
            <w:r>
              <w:rPr>
                <w:sz w:val="18"/>
              </w:rPr>
              <w:t>Attribution Accuracy Failures</w:t>
            </w:r>
          </w:p>
        </w:tc>
        <w:tc>
          <w:tcPr>
            <w:tcW w:w="2835" w:type="dxa"/>
            <w:shd w:val="clear" w:color="auto" w:fill="E8F5E9"/>
          </w:tcPr>
          <w:p w14:paraId="FA020T12" w14:textId="77777777" w:rsidR="00FA0002" w:rsidRDefault="00000000">
            <w:r>
              <w:rPr>
                <w:sz w:val="18"/>
              </w:rPr>
              <w:t>AI-generated insights may be incorrectly attributed to source documents, or attributed to the wrong section, year, or entity within a complex multi-subsidiary report</w:t>
            </w:r>
          </w:p>
        </w:tc>
        <w:tc>
          <w:tcPr>
            <w:tcW w:w="992" w:type="dxa"/>
            <w:shd w:val="clear" w:color="auto" w:fill="E8F5E9"/>
          </w:tcPr>
          <w:p w14:paraId="FA020T13" w14:textId="77777777" w:rsidR="00FA0002" w:rsidRDefault="00000000">
            <w:r>
              <w:rPr>
                <w:sz w:val="18"/>
              </w:rPr>
              <w:t>Medium</w:t>
            </w:r>
          </w:p>
        </w:tc>
        <w:tc>
          <w:tcPr>
            <w:tcW w:w="850" w:type="dxa"/>
            <w:shd w:val="clear" w:color="auto" w:fill="E8F5E9"/>
          </w:tcPr>
          <w:p w14:paraId="FA020T14" w14:textId="77777777" w:rsidR="00FA0002" w:rsidRDefault="00000000">
            <w:r>
              <w:rPr>
                <w:sz w:val="18"/>
              </w:rPr>
              <w:t>High</w:t>
            </w:r>
          </w:p>
        </w:tc>
        <w:tc>
          <w:tcPr>
            <w:tcW w:w="1701" w:type="dxa"/>
            <w:shd w:val="clear" w:color="auto" w:fill="E8F5E9"/>
          </w:tcPr>
          <w:p w14:paraId="FA020T15" w14:textId="77777777" w:rsidR="00FA0002" w:rsidRDefault="00000000">
            <w:r>
              <w:rPr>
                <w:sz w:val="18"/>
              </w:rPr>
              <w:t>Attribution Accuracy as formal evaluation metric; systematic attribution audits during POC evaluation</w:t>
            </w:r>
          </w:p>
        </w:tc>
      </w:tr>
      <w:tr w:rsidR="00FA0002" w14:paraId="FA020T16" w14:textId="77777777">
        <w:tc>
          <w:tcPr>
            <w:tcW w:w="425" w:type="dxa"/>
          </w:tcPr>
          <w:p w14:paraId="FA020T17" w14:textId="77777777" w:rsidR="00FA0002" w:rsidRDefault="00000000">
            <w:r>
              <w:rPr>
                <w:sz w:val="18"/>
              </w:rPr>
              <w:t>3</w:t>
            </w:r>
          </w:p>
        </w:tc>
        <w:tc>
          <w:tcPr>
            <w:tcW w:w="2268" w:type="dxa"/>
          </w:tcPr>
          <w:p w14:paraId="FA020T18" w14:textId="77777777" w:rsidR="00FA0002" w:rsidRDefault="00000000">
            <w:r>
              <w:rPr>
                <w:sz w:val="18"/>
              </w:rPr>
              <w:t>Output Quality Below Business Expectations</w:t>
            </w:r>
          </w:p>
        </w:tc>
        <w:tc>
          <w:tcPr>
            <w:tcW w:w="2835" w:type="dxa"/>
          </w:tcPr>
          <w:p w14:paraId="FA020T19" w14:textId="77777777" w:rsidR="00FA0002" w:rsidRDefault="00000000">
            <w:r>
              <w:rPr>
                <w:sz w:val="18"/>
              </w:rPr>
              <w:t>AI-generated FA narratives may not meet the qualitative bar expected by CPRM analysts in terms of analytical depth, tone, and structural alignment with Credit Memo standards</w:t>
            </w:r>
          </w:p>
        </w:tc>
        <w:tc>
          <w:tcPr>
            <w:tcW w:w="992" w:type="dxa"/>
          </w:tcPr>
          <w:p w14:paraId="FA020T1A" w14:textId="77777777" w:rsidR="00FA0002" w:rsidRDefault="00000000">
            <w:r>
              <w:rPr>
                <w:sz w:val="18"/>
              </w:rPr>
              <w:t>Medium</w:t>
            </w:r>
          </w:p>
        </w:tc>
        <w:tc>
          <w:tcPr>
            <w:tcW w:w="850" w:type="dxa"/>
          </w:tcPr>
          <w:p w14:paraId="FA020T1B" w14:textId="77777777" w:rsidR="00FA0002" w:rsidRDefault="00000000">
            <w:r>
              <w:rPr>
                <w:sz w:val="18"/>
              </w:rPr>
              <w:t>High</w:t>
            </w:r>
          </w:p>
        </w:tc>
        <w:tc>
          <w:tcPr>
            <w:tcW w:w="1701" w:type="dxa"/>
          </w:tcPr>
          <w:p w14:paraId="FA020T1C" w14:textId="77777777" w:rsidR="00FA0002" w:rsidRDefault="00000000">
            <w:r>
              <w:rPr>
                <w:sz w:val="18"/>
              </w:rPr>
              <w:t>Iterative refinement cycle built into delivery plan; CPRM Business Team involved in qualitative assessment from early output reviews</w:t>
            </w:r>
          </w:p>
        </w:tc>
      </w:tr>
      <w:tr w:rsidR="00FA0002" w14:paraId="FA020T1D" w14:textId="77777777">
        <w:tc>
          <w:tcPr>
            <w:tcW w:w="425" w:type="dxa"/>
            <w:shd w:val="clear" w:color="auto" w:fill="E8F5E9"/>
          </w:tcPr>
          <w:p w14:paraId="FA020T1E" w14:textId="77777777" w:rsidR="00FA0002" w:rsidRDefault="00000000">
            <w:r>
              <w:rPr>
                <w:sz w:val="18"/>
              </w:rPr>
              <w:t>4</w:t>
            </w:r>
          </w:p>
        </w:tc>
        <w:tc>
          <w:tcPr>
            <w:tcW w:w="2268" w:type="dxa"/>
            <w:shd w:val="clear" w:color="auto" w:fill="E8F5E9"/>
          </w:tcPr>
          <w:p w14:paraId="FA020T1F" w14:textId="77777777" w:rsidR="00FA0002" w:rsidRDefault="00000000">
            <w:r>
              <w:rPr>
                <w:sz w:val="18"/>
              </w:rPr>
              <w:t>Contextual Misinterpretation</w:t>
            </w:r>
          </w:p>
        </w:tc>
        <w:tc>
          <w:tcPr>
            <w:tcW w:w="2835" w:type="dxa"/>
            <w:shd w:val="clear" w:color="auto" w:fill="E8F5E9"/>
          </w:tcPr>
          <w:p w14:paraId="FA020T20" w14:textId="77777777" w:rsidR="00FA0002" w:rsidRDefault="00000000">
            <w:r>
              <w:rPr>
                <w:sz w:val="18"/>
              </w:rPr>
              <w:t>The system may misinterpret financial terminology, industry-specific metrics, or management commentary — leading to misleading driver analysis</w:t>
            </w:r>
          </w:p>
        </w:tc>
        <w:tc>
          <w:tcPr>
            <w:tcW w:w="992" w:type="dxa"/>
            <w:shd w:val="clear" w:color="auto" w:fill="E8F5E9"/>
          </w:tcPr>
          <w:p w14:paraId="FA020T21" w14:textId="77777777" w:rsidR="00FA0002" w:rsidRDefault="00000000">
            <w:r>
              <w:rPr>
                <w:sz w:val="18"/>
              </w:rPr>
              <w:t>Medium</w:t>
            </w:r>
          </w:p>
        </w:tc>
        <w:tc>
          <w:tcPr>
            <w:tcW w:w="850" w:type="dxa"/>
            <w:shd w:val="clear" w:color="auto" w:fill="E8F5E9"/>
          </w:tcPr>
          <w:p w14:paraId="FA020T22" w14:textId="77777777" w:rsidR="00FA0002" w:rsidRDefault="00000000">
            <w:r>
              <w:rPr>
                <w:sz w:val="18"/>
              </w:rPr>
              <w:t>High</w:t>
            </w:r>
          </w:p>
        </w:tc>
        <w:tc>
          <w:tcPr>
            <w:tcW w:w="1701" w:type="dxa"/>
            <w:shd w:val="clear" w:color="auto" w:fill="E8F5E9"/>
          </w:tcPr>
          <w:p w14:paraId="FA020T23" w14:textId="77777777" w:rsidR="00FA0002" w:rsidRDefault="00000000">
            <w:r>
              <w:rPr>
                <w:sz w:val="18"/>
              </w:rPr>
              <w:t>Domain-specific prompt engineering; CPRM SME review during POC; iterative refinement based on analyst feedback</w:t>
            </w:r>
          </w:p>
        </w:tc>
      </w:tr>
    </w:tbl>
    <w:p w14:paraId="FA020005" w14:textId="77777777" w:rsidR="00FA0002" w:rsidRDefault="00000000"/>
    <w:p w14:paraId="0C97DC5F" w14:textId="77777777" w:rsidR="002D400C" w:rsidRDefault="00000000">
      <w:pPr>
        <w:pStyle w:val="Heading2"/>
      </w:pPr>
      <w:r>
        <w:rPr>
          <w:color w:val="1B365D"/>
        </w:rPr>
        <w:t>2.3 Scope</w:t>
      </w:r>
    </w:p>
    <w:p w14:paraId="38EDEF2B" w14:textId="77777777" w:rsidR="002D400C" w:rsidRDefault="00000000">
      <w:r>
        <w:t>The pipeline covers three geographic workstreams, each with distinct data sources and extraction methodologies:</w:t>
      </w:r>
    </w:p>
    <w:tbl>
      <w:tblPr>
        <w:tblStyle w:val="TableGrid"/>
        <w:tblW w:w="0" w:type="auto"/>
        <w:jc w:val="center"/>
        <w:tblLook w:val="04A0" w:firstRow="1" w:lastRow="0" w:firstColumn="1" w:lastColumn="0" w:noHBand="0" w:noVBand="1"/>
      </w:tblPr>
      <w:tblGrid>
        <w:gridCol w:w="1417"/>
        <w:gridCol w:w="2268"/>
        <w:gridCol w:w="2835"/>
        <w:gridCol w:w="2268"/>
      </w:tblGrid>
      <w:tr w:rsidR="002D400C" w14:paraId="68575246" w14:textId="77777777">
        <w:trPr>
          <w:jc w:val="center"/>
        </w:trPr>
        <w:tc>
          <w:tcPr>
            <w:tcW w:w="1417" w:type="dxa"/>
            <w:shd w:val="clear" w:color="auto" w:fill="00965E"/>
          </w:tcPr>
          <w:p w14:paraId="1AFD297A" w14:textId="77777777" w:rsidR="002D400C" w:rsidRDefault="00000000">
            <w:pPr>
              <w:jc w:val="center"/>
            </w:pPr>
            <w:r>
              <w:rPr>
                <w:b/>
                <w:color w:val="FFFFFF"/>
                <w:sz w:val="18"/>
              </w:rPr>
              <w:t>Region</w:t>
            </w:r>
          </w:p>
        </w:tc>
        <w:tc>
          <w:tcPr>
            <w:tcW w:w="2268" w:type="dxa"/>
            <w:shd w:val="clear" w:color="auto" w:fill="00965E"/>
          </w:tcPr>
          <w:p w14:paraId="7D2CF386" w14:textId="77777777" w:rsidR="002D400C" w:rsidRDefault="00000000">
            <w:pPr>
              <w:jc w:val="center"/>
            </w:pPr>
            <w:r>
              <w:rPr>
                <w:b/>
                <w:color w:val="FFFFFF"/>
                <w:sz w:val="18"/>
              </w:rPr>
              <w:t>Data Source</w:t>
            </w:r>
          </w:p>
        </w:tc>
        <w:tc>
          <w:tcPr>
            <w:tcW w:w="2835" w:type="dxa"/>
            <w:shd w:val="clear" w:color="auto" w:fill="00965E"/>
          </w:tcPr>
          <w:p w14:paraId="40876373" w14:textId="77777777" w:rsidR="002D400C" w:rsidRDefault="00000000">
            <w:pPr>
              <w:jc w:val="center"/>
            </w:pPr>
            <w:r>
              <w:rPr>
                <w:b/>
                <w:color w:val="FFFFFF"/>
                <w:sz w:val="18"/>
              </w:rPr>
              <w:t>Extraction Method</w:t>
            </w:r>
          </w:p>
        </w:tc>
        <w:tc>
          <w:tcPr>
            <w:tcW w:w="2268" w:type="dxa"/>
            <w:shd w:val="clear" w:color="auto" w:fill="00965E"/>
          </w:tcPr>
          <w:p w14:paraId="24FF11B7" w14:textId="77777777" w:rsidR="002D400C" w:rsidRDefault="00000000">
            <w:pPr>
              <w:jc w:val="center"/>
            </w:pPr>
            <w:r>
              <w:rPr>
                <w:b/>
                <w:color w:val="FFFFFF"/>
                <w:sz w:val="18"/>
              </w:rPr>
              <w:t>Key Identifier</w:t>
            </w:r>
          </w:p>
        </w:tc>
      </w:tr>
      <w:tr w:rsidR="002D400C" w14:paraId="2A978E0D" w14:textId="77777777">
        <w:trPr>
          <w:jc w:val="center"/>
        </w:trPr>
        <w:tc>
          <w:tcPr>
            <w:tcW w:w="1417" w:type="dxa"/>
          </w:tcPr>
          <w:p w14:paraId="78FC3B7E" w14:textId="77777777" w:rsidR="002D400C" w:rsidRDefault="00000000">
            <w:r>
              <w:rPr>
                <w:sz w:val="18"/>
              </w:rPr>
              <w:t>AMER</w:t>
            </w:r>
          </w:p>
        </w:tc>
        <w:tc>
          <w:tcPr>
            <w:tcW w:w="2268" w:type="dxa"/>
          </w:tcPr>
          <w:p w14:paraId="7F833878" w14:textId="77777777" w:rsidR="002D400C" w:rsidRDefault="00000000">
            <w:r>
              <w:rPr>
                <w:sz w:val="18"/>
              </w:rPr>
              <w:t>SEC EDGAR (10-K, 10-Q)</w:t>
            </w:r>
          </w:p>
        </w:tc>
        <w:tc>
          <w:tcPr>
            <w:tcW w:w="2835" w:type="dxa"/>
          </w:tcPr>
          <w:p w14:paraId="681A62C8" w14:textId="77777777" w:rsidR="002D400C" w:rsidRDefault="00000000">
            <w:r>
              <w:rPr>
                <w:sz w:val="18"/>
              </w:rPr>
              <w:t>XBRL concept parsing via edgartools</w:t>
            </w:r>
          </w:p>
        </w:tc>
        <w:tc>
          <w:tcPr>
            <w:tcW w:w="2268" w:type="dxa"/>
          </w:tcPr>
          <w:p w14:paraId="574C70FD" w14:textId="77777777" w:rsidR="002D400C" w:rsidRDefault="00000000">
            <w:r>
              <w:rPr>
                <w:sz w:val="18"/>
              </w:rPr>
              <w:t>Ticker / CIK</w:t>
            </w:r>
          </w:p>
        </w:tc>
      </w:tr>
      <w:tr w:rsidR="002D400C" w14:paraId="3548D9EB" w14:textId="77777777">
        <w:trPr>
          <w:jc w:val="center"/>
        </w:trPr>
        <w:tc>
          <w:tcPr>
            <w:tcW w:w="1417" w:type="dxa"/>
            <w:shd w:val="clear" w:color="auto" w:fill="E8F5E9"/>
          </w:tcPr>
          <w:p w14:paraId="13315108" w14:textId="77777777" w:rsidR="002D400C" w:rsidRDefault="00000000">
            <w:r>
              <w:rPr>
                <w:sz w:val="18"/>
              </w:rPr>
              <w:t>APAC</w:t>
            </w:r>
          </w:p>
        </w:tc>
        <w:tc>
          <w:tcPr>
            <w:tcW w:w="2268" w:type="dxa"/>
            <w:shd w:val="clear" w:color="auto" w:fill="E8F5E9"/>
          </w:tcPr>
          <w:p w14:paraId="65FE5E3F" w14:textId="77777777" w:rsidR="002D400C" w:rsidRDefault="00000000">
            <w:r>
              <w:rPr>
                <w:sz w:val="18"/>
              </w:rPr>
              <w:t>HKEX Annual Reports</w:t>
            </w:r>
          </w:p>
        </w:tc>
        <w:tc>
          <w:tcPr>
            <w:tcW w:w="2835" w:type="dxa"/>
            <w:shd w:val="clear" w:color="auto" w:fill="E8F5E9"/>
          </w:tcPr>
          <w:p w14:paraId="6A727585" w14:textId="77777777" w:rsidR="002D400C" w:rsidRDefault="00000000">
            <w:r>
              <w:rPr>
                <w:sz w:val="18"/>
              </w:rPr>
              <w:t>PDF crawling + pdfplumber extraction</w:t>
            </w:r>
          </w:p>
        </w:tc>
        <w:tc>
          <w:tcPr>
            <w:tcW w:w="2268" w:type="dxa"/>
            <w:shd w:val="clear" w:color="auto" w:fill="E8F5E9"/>
          </w:tcPr>
          <w:p w14:paraId="441358F7" w14:textId="77777777" w:rsidR="002D400C" w:rsidRDefault="00000000">
            <w:r>
              <w:rPr>
                <w:sz w:val="18"/>
              </w:rPr>
              <w:t>Stock Code (5-digit)</w:t>
            </w:r>
          </w:p>
        </w:tc>
      </w:tr>
      <w:tr w:rsidR="002D400C" w14:paraId="51080DBE" w14:textId="77777777">
        <w:trPr>
          <w:jc w:val="center"/>
        </w:trPr>
        <w:tc>
          <w:tcPr>
            <w:tcW w:w="1417" w:type="dxa"/>
          </w:tcPr>
          <w:p w14:paraId="46DCCC36" w14:textId="77777777" w:rsidR="002D400C" w:rsidRDefault="00000000">
            <w:r>
              <w:rPr>
                <w:sz w:val="18"/>
              </w:rPr>
              <w:t>EMEA</w:t>
            </w:r>
          </w:p>
        </w:tc>
        <w:tc>
          <w:tcPr>
            <w:tcW w:w="2268" w:type="dxa"/>
          </w:tcPr>
          <w:p w14:paraId="1F93042B" w14:textId="77777777" w:rsidR="002D400C" w:rsidRDefault="00000000">
            <w:r>
              <w:rPr>
                <w:sz w:val="18"/>
              </w:rPr>
              <w:t>filings.xbrl.org IFRS API</w:t>
            </w:r>
          </w:p>
        </w:tc>
        <w:tc>
          <w:tcPr>
            <w:tcW w:w="2835" w:type="dxa"/>
          </w:tcPr>
          <w:p w14:paraId="6613A336" w14:textId="77777777" w:rsidR="002D400C" w:rsidRDefault="00000000">
            <w:r>
              <w:rPr>
                <w:sz w:val="18"/>
              </w:rPr>
              <w:t>REST API + OIM xBRL-JSON parsing</w:t>
            </w:r>
          </w:p>
        </w:tc>
        <w:tc>
          <w:tcPr>
            <w:tcW w:w="2268" w:type="dxa"/>
          </w:tcPr>
          <w:p w14:paraId="1A69344C" w14:textId="77777777" w:rsidR="002D400C" w:rsidRDefault="00000000">
            <w:r>
              <w:rPr>
                <w:sz w:val="18"/>
              </w:rPr>
              <w:t>LEI (Legal Entity Identifier)</w:t>
            </w:r>
          </w:p>
        </w:tc>
      </w:tr>
      <w:tr w:rsidR="002D400C" w14:paraId="688EA413" w14:textId="77777777">
        <w:trPr>
          <w:jc w:val="center"/>
        </w:trPr>
        <w:tc>
          <w:tcPr>
            <w:tcW w:w="1417" w:type="dxa"/>
            <w:shd w:val="clear" w:color="auto" w:fill="E8F5E9"/>
          </w:tcPr>
          <w:p w14:paraId="3D040C76" w14:textId="77777777" w:rsidR="002D400C" w:rsidRDefault="00000000">
            <w:r>
              <w:rPr>
                <w:sz w:val="18"/>
              </w:rPr>
              <w:t>All</w:t>
            </w:r>
          </w:p>
        </w:tc>
        <w:tc>
          <w:tcPr>
            <w:tcW w:w="2268" w:type="dxa"/>
            <w:shd w:val="clear" w:color="auto" w:fill="E8F5E9"/>
          </w:tcPr>
          <w:p w14:paraId="5F5EEDEC" w14:textId="77777777" w:rsidR="002D400C" w:rsidRDefault="00000000">
            <w:r>
              <w:rPr>
                <w:sz w:val="18"/>
              </w:rPr>
              <w:t>Manual PDF Upload</w:t>
            </w:r>
          </w:p>
        </w:tc>
        <w:tc>
          <w:tcPr>
            <w:tcW w:w="2835" w:type="dxa"/>
            <w:shd w:val="clear" w:color="auto" w:fill="E8F5E9"/>
          </w:tcPr>
          <w:p w14:paraId="57DA5584" w14:textId="77777777" w:rsidR="002D400C" w:rsidRDefault="00000000">
            <w:r>
              <w:rPr>
                <w:sz w:val="18"/>
              </w:rPr>
              <w:t>pdfplumber + LLM vision fallback</w:t>
            </w:r>
          </w:p>
        </w:tc>
        <w:tc>
          <w:tcPr>
            <w:tcW w:w="2268" w:type="dxa"/>
            <w:shd w:val="clear" w:color="auto" w:fill="E8F5E9"/>
          </w:tcPr>
          <w:p w14:paraId="6E0FA089" w14:textId="77777777" w:rsidR="002D400C" w:rsidRDefault="00000000">
            <w:r>
              <w:rPr>
                <w:sz w:val="18"/>
              </w:rPr>
              <w:t>N/A</w:t>
            </w:r>
          </w:p>
        </w:tc>
      </w:tr>
    </w:tbl>
    <w:p w14:paraId="433953EE" w14:textId="77777777" w:rsidR="002D400C" w:rsidRDefault="002D400C"/>
    <w:p w14:paraId="0955A1F0" w14:textId="77777777" w:rsidR="002D400C" w:rsidRDefault="00000000">
      <w:r>
        <w:t>Post-extraction, all regions converge into a unified BREF mapping and summary generation pipeline, followed by the Financial Analysis (FA) multi-agent system.</w:t>
      </w:r>
    </w:p>
    <w:p w14:paraId="FA023001" w14:textId="77777777" w:rsidR="00FA0003" w:rsidRDefault="00000000">
      <w:pPr>
        <w:pStyle w:val="Heading2"/>
      </w:pPr>
      <w:r>
        <w:rPr>
          <w:color w:val="1B365D"/>
        </w:rPr>
        <w:t>2.3.1 FA POC — Clients in Scope</w:t>
      </w:r>
    </w:p>
    <w:p w14:paraId="FA023002" w14:textId="77777777" w:rsidR="00FA0003" w:rsidRDefault="00000000">
      <w:r>
        <w:t>The Financial Analysis POC is being evaluated against the following pilot clients across three regions:</w:t>
      </w:r>
    </w:p>
    <w:tbl>
      <w:tblPr>
        <w:tblStyle w:val="TableGrid"/>
        <w:tblW w:w="0" w:type="auto"/>
        <w:jc w:val="center"/>
        <w:tblLook w:val="04A0" w:firstRow="1" w:lastRow="0" w:firstColumn="1" w:lastColumn="0" w:noHBand="0" w:noVBand="1"/>
      </w:tblPr>
      <w:tblGrid>
        <w:gridCol w:w="2268"/>
        <w:gridCol w:w="3402"/>
        <w:gridCol w:w="2551"/>
        <w:gridCol w:w="850"/>
      </w:tblGrid>
      <w:tr w:rsidR="00FA0003" w14:paraId="FA023T01" w14:textId="77777777">
        <w:tc>
          <w:tcPr>
            <w:tcW w:w="2268" w:type="dxa"/>
            <w:shd w:val="clear" w:color="auto" w:fill="00965E"/>
          </w:tcPr>
          <w:p w14:paraId="FA023T02" w14:textId="77777777" w:rsidR="00FA0003" w:rsidRDefault="00000000">
            <w:r>
              <w:rPr>
                <w:b/>
                <w:color w:val="FFFFFF"/>
                <w:sz w:val="18"/>
              </w:rPr>
              <w:t>Region</w:t>
            </w:r>
          </w:p>
        </w:tc>
        <w:tc>
          <w:tcPr>
            <w:tcW w:w="3402" w:type="dxa"/>
            <w:shd w:val="clear" w:color="auto" w:fill="00965E"/>
          </w:tcPr>
          <w:p w14:paraId="FA023T03" w14:textId="77777777" w:rsidR="00FA0003" w:rsidRDefault="00000000">
            <w:r>
              <w:rPr>
                <w:b/>
                <w:color w:val="FFFFFF"/>
                <w:sz w:val="18"/>
              </w:rPr>
              <w:t>Client</w:t>
            </w:r>
          </w:p>
        </w:tc>
        <w:tc>
          <w:tcPr>
            <w:tcW w:w="2551" w:type="dxa"/>
            <w:shd w:val="clear" w:color="auto" w:fill="00965E"/>
          </w:tcPr>
          <w:p w14:paraId="FA023T04" w14:textId="77777777" w:rsidR="00FA0003" w:rsidRDefault="00000000">
            <w:r>
              <w:rPr>
                <w:b/>
                <w:color w:val="FFFFFF"/>
                <w:sz w:val="18"/>
              </w:rPr>
              <w:t>Data Source</w:t>
            </w:r>
          </w:p>
        </w:tc>
        <w:tc>
          <w:tcPr>
            <w:tcW w:w="850" w:type="dxa"/>
            <w:shd w:val="clear" w:color="auto" w:fill="00965E"/>
          </w:tcPr>
          <w:p w14:paraId="FA023T05" w14:textId="77777777" w:rsidR="00FA0003" w:rsidRDefault="00000000">
            <w:r>
              <w:rPr>
                <w:b/>
                <w:color w:val="FFFFFF"/>
                <w:sz w:val="18"/>
              </w:rPr>
              <w:t>Status</w:t>
            </w:r>
          </w:p>
        </w:tc>
      </w:tr>
      <w:tr w:rsidR="00FA0003" w14:paraId="FA023T06" w14:textId="77777777">
        <w:tc>
          <w:tcPr>
            <w:tcW w:w="2268" w:type="dxa"/>
          </w:tcPr>
          <w:p w14:paraId="FA023T07" w14:textId="77777777" w:rsidR="00FA0003" w:rsidRDefault="00000000">
            <w:r>
              <w:rPr>
                <w:sz w:val="18"/>
              </w:rPr>
              <w:t>Americas (Listed)</w:t>
            </w:r>
          </w:p>
        </w:tc>
        <w:tc>
          <w:tcPr>
            <w:tcW w:w="3402" w:type="dxa"/>
          </w:tcPr>
          <w:p w14:paraId="FA023T08" w14:textId="77777777" w:rsidR="00FA0003" w:rsidRDefault="00000000">
            <w:r>
              <w:rPr>
                <w:sz w:val="18"/>
              </w:rPr>
              <w:t>NextEra Energy Capital Holdings, Inc.</w:t>
            </w:r>
          </w:p>
        </w:tc>
        <w:tc>
          <w:tcPr>
            <w:tcW w:w="2551" w:type="dxa"/>
          </w:tcPr>
          <w:p w14:paraId="FA023T09" w14:textId="77777777" w:rsidR="00FA0003" w:rsidRDefault="00000000">
            <w:r>
              <w:rPr>
                <w:sz w:val="18"/>
              </w:rPr>
              <w:t>Internal System / SEC (EDGAR) / IR Website</w:t>
            </w:r>
          </w:p>
        </w:tc>
        <w:tc>
          <w:tcPr>
            <w:tcW w:w="850" w:type="dxa"/>
          </w:tcPr>
          <w:p w14:paraId="FA023T0A" w14:textId="77777777" w:rsidR="00FA0003" w:rsidRDefault="00000000">
            <w:r>
              <w:rPr>
                <w:sz w:val="18"/>
              </w:rPr>
              <w:t>WIP</w:t>
            </w:r>
          </w:p>
        </w:tc>
      </w:tr>
      <w:tr w:rsidR="00FA0003" w14:paraId="FA023T0B" w14:textId="77777777">
        <w:tc>
          <w:tcPr>
            <w:tcW w:w="2268" w:type="dxa"/>
            <w:shd w:val="clear" w:color="auto" w:fill="E8F5E9"/>
          </w:tcPr>
          <w:p w14:paraId="FA023T0C" w14:textId="77777777" w:rsidR="00FA0003" w:rsidRDefault="00000000">
            <w:r>
              <w:rPr>
                <w:sz w:val="18"/>
              </w:rPr>
              <w:t>APAC (Listed)</w:t>
            </w:r>
          </w:p>
        </w:tc>
        <w:tc>
          <w:tcPr>
            <w:tcW w:w="3402" w:type="dxa"/>
            <w:shd w:val="clear" w:color="auto" w:fill="E8F5E9"/>
          </w:tcPr>
          <w:p w14:paraId="FA023T0D" w14:textId="77777777" w:rsidR="00FA0003" w:rsidRDefault="00000000">
            <w:r>
              <w:rPr>
                <w:sz w:val="18"/>
              </w:rPr>
              <w:t>Chow Tai Fook Jewellery (Stock Code: 01929)</w:t>
            </w:r>
          </w:p>
        </w:tc>
        <w:tc>
          <w:tcPr>
            <w:tcW w:w="2551" w:type="dxa"/>
            <w:shd w:val="clear" w:color="auto" w:fill="E8F5E9"/>
          </w:tcPr>
          <w:p w14:paraId="FA023T0E" w14:textId="77777777" w:rsidR="00FA0003" w:rsidRDefault="00000000">
            <w:r>
              <w:rPr>
                <w:sz w:val="18"/>
              </w:rPr>
              <w:t>Internal System / HKEX / Company IR Website</w:t>
            </w:r>
          </w:p>
        </w:tc>
        <w:tc>
          <w:tcPr>
            <w:tcW w:w="850" w:type="dxa"/>
            <w:shd w:val="clear" w:color="auto" w:fill="E8F5E9"/>
          </w:tcPr>
          <w:p w14:paraId="FA023T0F" w14:textId="77777777" w:rsidR="00FA0003" w:rsidRDefault="00000000">
            <w:r>
              <w:rPr>
                <w:sz w:val="18"/>
              </w:rPr>
              <w:t>WIP</w:t>
            </w:r>
          </w:p>
        </w:tc>
      </w:tr>
      <w:tr w:rsidR="00FA0003" w14:paraId="FA023T10" w14:textId="77777777">
        <w:tc>
          <w:tcPr>
            <w:tcW w:w="2268" w:type="dxa"/>
          </w:tcPr>
          <w:p w14:paraId="FA023T11" w14:textId="77777777" w:rsidR="00FA0003" w:rsidRDefault="00000000">
            <w:r>
              <w:rPr>
                <w:sz w:val="18"/>
              </w:rPr>
              <w:t>Paris (Listed France)</w:t>
            </w:r>
          </w:p>
        </w:tc>
        <w:tc>
          <w:tcPr>
            <w:tcW w:w="3402" w:type="dxa"/>
          </w:tcPr>
          <w:p w14:paraId="FA023T12" w14:textId="77777777" w:rsidR="00FA0003" w:rsidRDefault="00000000">
            <w:r>
              <w:rPr>
                <w:sz w:val="18"/>
              </w:rPr>
              <w:t>OVH (RAF: 0619395)</w:t>
            </w:r>
          </w:p>
        </w:tc>
        <w:tc>
          <w:tcPr>
            <w:tcW w:w="2551" w:type="dxa"/>
          </w:tcPr>
          <w:p w14:paraId="FA023T13" w14:textId="77777777" w:rsidR="00FA0003" w:rsidRDefault="00000000">
            <w:r>
              <w:rPr>
                <w:sz w:val="18"/>
              </w:rPr>
              <w:t>Internal System / XBRL / Company IR Website</w:t>
            </w:r>
          </w:p>
        </w:tc>
        <w:tc>
          <w:tcPr>
            <w:tcW w:w="850" w:type="dxa"/>
          </w:tcPr>
          <w:p w14:paraId="FA023T14" w14:textId="77777777" w:rsidR="00FA0003" w:rsidRDefault="00000000">
            <w:r>
              <w:rPr>
                <w:sz w:val="18"/>
              </w:rPr>
              <w:t>WIP</w:t>
            </w:r>
          </w:p>
        </w:tc>
      </w:tr>
    </w:tbl>
    <w:p w14:paraId="FA023003" w14:textId="77777777" w:rsidR="00FA0003" w:rsidRDefault="00000000"/>
    <w:p w14:paraId="FA023004" w14:textId="77777777" w:rsidR="00FA0003" w:rsidRDefault="00000000">
      <w:pPr>
        <w:pStyle w:val="Heading2"/>
      </w:pPr>
      <w:r>
        <w:rPr>
          <w:color w:val="1B365D"/>
        </w:rPr>
        <w:t>2.3.2 FA POC — Output Scope</w:t>
      </w:r>
    </w:p>
    <w:p w14:paraId="FA023005" w14:textId="77777777" w:rsidR="00FA0003" w:rsidRDefault="00000000">
      <w:r>
        <w:t>The AI-generated Financial Analysis report covers the following sections, aligned with the Natixis CPRM existing FA format and standards:</w:t>
      </w:r>
    </w:p>
    <w:tbl>
      <w:tblPr>
        <w:tblStyle w:val="TableGrid"/>
        <w:tblW w:w="0" w:type="auto"/>
        <w:jc w:val="center"/>
        <w:tblLook w:val="04A0" w:firstRow="1" w:lastRow="0" w:firstColumn="1" w:lastColumn="0" w:noHBand="0" w:noVBand="1"/>
      </w:tblPr>
      <w:tblGrid>
        <w:gridCol w:w="567"/>
        <w:gridCol w:w="2835"/>
        <w:gridCol w:w="5669"/>
      </w:tblGrid>
      <w:tr w:rsidR="00FA0003" w14:paraId="FA023U01" w14:textId="77777777">
        <w:tc>
          <w:tcPr>
            <w:tcW w:w="567" w:type="dxa"/>
            <w:shd w:val="clear" w:color="auto" w:fill="00965E"/>
          </w:tcPr>
          <w:p w14:paraId="FA023U02" w14:textId="77777777" w:rsidR="00FA0003" w:rsidRDefault="00000000">
            <w:r>
              <w:rPr>
                <w:b/>
                <w:color w:val="FFFFFF"/>
                <w:sz w:val="18"/>
              </w:rPr>
              <w:t>#</w:t>
            </w:r>
          </w:p>
        </w:tc>
        <w:tc>
          <w:tcPr>
            <w:tcW w:w="2835" w:type="dxa"/>
            <w:shd w:val="clear" w:color="auto" w:fill="00965E"/>
          </w:tcPr>
          <w:p w14:paraId="FA023U03" w14:textId="77777777" w:rsidR="00FA0003" w:rsidRDefault="00000000">
            <w:r>
              <w:rPr>
                <w:b/>
                <w:color w:val="FFFFFF"/>
                <w:sz w:val="18"/>
              </w:rPr>
              <w:t>FA Report Section</w:t>
            </w:r>
          </w:p>
        </w:tc>
        <w:tc>
          <w:tcPr>
            <w:tcW w:w="5669" w:type="dxa"/>
            <w:shd w:val="clear" w:color="auto" w:fill="00965E"/>
          </w:tcPr>
          <w:p w14:paraId="FA023U04" w14:textId="77777777" w:rsidR="00FA0003" w:rsidRDefault="00000000">
            <w:r>
              <w:rPr>
                <w:b/>
                <w:color w:val="FFFFFF"/>
                <w:sz w:val="18"/>
              </w:rPr>
              <w:t>Content Description</w:t>
            </w:r>
          </w:p>
        </w:tc>
      </w:tr>
      <w:tr w:rsidR="00FA0003" w14:paraId="FA023U05" w14:textId="77777777">
        <w:tc>
          <w:tcPr>
            <w:tcW w:w="567" w:type="dxa"/>
          </w:tcPr>
          <w:p w14:paraId="FA023U06" w14:textId="77777777" w:rsidR="00FA0003" w:rsidRDefault="00000000">
            <w:r>
              <w:rPr>
                <w:sz w:val="18"/>
              </w:rPr>
              <w:t>1</w:t>
            </w:r>
          </w:p>
        </w:tc>
        <w:tc>
          <w:tcPr>
            <w:tcW w:w="2835" w:type="dxa"/>
          </w:tcPr>
          <w:p w14:paraId="FA023U07" w14:textId="77777777" w:rsidR="00FA0003" w:rsidRDefault="00000000">
            <w:r>
              <w:rPr>
                <w:sz w:val="18"/>
              </w:rPr>
              <w:t>Income Statement Review</w:t>
            </w:r>
          </w:p>
        </w:tc>
        <w:tc>
          <w:tcPr>
            <w:tcW w:w="5669" w:type="dxa"/>
          </w:tcPr>
          <w:p w14:paraId="FA023U08" w14:textId="77777777" w:rsidR="00FA0003" w:rsidRDefault="00000000">
            <w:r>
              <w:rPr>
                <w:sz w:val="18"/>
              </w:rPr>
              <w:t>Revenue performance analysis; profitability trends; segmental and regional breakdown; margin analysis; key year-on-year drivers</w:t>
            </w:r>
          </w:p>
        </w:tc>
      </w:tr>
      <w:tr w:rsidR="00FA0003" w14:paraId="FA023U09" w14:textId="77777777">
        <w:tc>
          <w:tcPr>
            <w:tcW w:w="567" w:type="dxa"/>
            <w:shd w:val="clear" w:color="auto" w:fill="E8F5E9"/>
          </w:tcPr>
          <w:p w14:paraId="FA023U0A" w14:textId="77777777" w:rsidR="00FA0003" w:rsidRDefault="00000000">
            <w:r>
              <w:rPr>
                <w:sz w:val="18"/>
              </w:rPr>
              <w:t>2</w:t>
            </w:r>
          </w:p>
        </w:tc>
        <w:tc>
          <w:tcPr>
            <w:tcW w:w="2835" w:type="dxa"/>
            <w:shd w:val="clear" w:color="auto" w:fill="E8F5E9"/>
          </w:tcPr>
          <w:p w14:paraId="FA023U0B" w14:textId="77777777" w:rsidR="00FA0003" w:rsidRDefault="00000000">
            <w:r>
              <w:rPr>
                <w:sz w:val="18"/>
              </w:rPr>
              <w:t>Balance Sheet Analysis</w:t>
            </w:r>
          </w:p>
        </w:tc>
        <w:tc>
          <w:tcPr>
            <w:tcW w:w="5669" w:type="dxa"/>
            <w:shd w:val="clear" w:color="auto" w:fill="E8F5E9"/>
          </w:tcPr>
          <w:p w14:paraId="FA023U0C" w14:textId="77777777" w:rsidR="00FA0003" w:rsidRDefault="00000000">
            <w:r>
              <w:rPr>
                <w:sz w:val="18"/>
              </w:rPr>
              <w:t>Asset composition and quality; liability structure; debt analysis including leverage ratios and covenant considerations</w:t>
            </w:r>
          </w:p>
        </w:tc>
      </w:tr>
      <w:tr w:rsidR="00FA0003" w14:paraId="FA023U0D" w14:textId="77777777">
        <w:tc>
          <w:tcPr>
            <w:tcW w:w="567" w:type="dxa"/>
          </w:tcPr>
          <w:p w14:paraId="FA023U0E" w14:textId="77777777" w:rsidR="00FA0003" w:rsidRDefault="00000000">
            <w:r>
              <w:rPr>
                <w:sz w:val="18"/>
              </w:rPr>
              <w:t>3</w:t>
            </w:r>
          </w:p>
        </w:tc>
        <w:tc>
          <w:tcPr>
            <w:tcW w:w="2835" w:type="dxa"/>
          </w:tcPr>
          <w:p w14:paraId="FA023U0F" w14:textId="77777777" w:rsidR="00FA0003" w:rsidRDefault="00000000">
            <w:r>
              <w:rPr>
                <w:sz w:val="18"/>
              </w:rPr>
              <w:t>Cash Flow Analysis</w:t>
            </w:r>
          </w:p>
        </w:tc>
        <w:tc>
          <w:tcPr>
            <w:tcW w:w="5669" w:type="dxa"/>
          </w:tcPr>
          <w:p w14:paraId="FA023U10" w14:textId="77777777" w:rsidR="00FA0003" w:rsidRDefault="00000000">
            <w:r>
              <w:rPr>
                <w:sz w:val="18"/>
              </w:rPr>
              <w:t>Operating and financing cash flow trends; free cash flow generation; working capital changes</w:t>
            </w:r>
          </w:p>
        </w:tc>
      </w:tr>
    </w:tbl>
    <w:p w14:paraId="FA023006" w14:textId="77777777" w:rsidR="00FA0003" w:rsidRDefault="00000000"/>
    <w:p w14:paraId="FA023007" w14:textId="77777777" w:rsidR="00FA0003" w:rsidRDefault="00000000">
      <w:pPr>
        <w:pStyle w:val="Heading2"/>
      </w:pPr>
      <w:r>
        <w:rPr>
          <w:color w:val="1B365D"/>
        </w:rPr>
        <w:t>2.3.3 FA POC — Success Criteria</w:t>
      </w:r>
    </w:p>
    <w:p w14:paraId="FA023008" w14:textId="77777777" w:rsidR="00FA0003" w:rsidRDefault="00000000">
      <w:r>
        <w:t>Success for the Financial Analysis component of the POC is assessed across two dimensions:</w:t>
      </w:r>
    </w:p>
    <w:p w14:paraId="FA023009" w14:textId="77777777" w:rsidR="00FA0003" w:rsidRDefault="00000000">
      <w:r>
        <w:rPr>
          <w:b/>
        </w:rPr>
        <w:t>Dimension 1 — Qualitative Assessment (Business Team Evaluation)</w:t>
      </w:r>
    </w:p>
    <w:p w14:paraId="FA02300A" w14:textId="77777777" w:rsidR="00FA0003" w:rsidRDefault="00000000">
      <w:r>
        <w:t>The CPRM Business Team conducts a structured qualitative evaluation of AI-generated FA reports against human-produced baseline reports, assessing across five weighted criteria:</w:t>
      </w:r>
    </w:p>
    <w:tbl>
      <w:tblPr>
        <w:tblStyle w:val="TableGrid"/>
        <w:tblW w:w="0" w:type="auto"/>
        <w:jc w:val="center"/>
        <w:tblLook w:val="04A0" w:firstRow="1" w:lastRow="0" w:firstColumn="1" w:lastColumn="0" w:noHBand="0" w:noVBand="1"/>
      </w:tblPr>
      <w:tblGrid>
        <w:gridCol w:w="425"/>
        <w:gridCol w:w="1984"/>
        <w:gridCol w:w="5386"/>
        <w:gridCol w:w="850"/>
      </w:tblGrid>
      <w:tr w:rsidR="00FA0003" w14:paraId="FA023V01" w14:textId="77777777">
        <w:tc>
          <w:tcPr>
            <w:tcW w:w="425" w:type="dxa"/>
            <w:shd w:val="clear" w:color="auto" w:fill="00965E"/>
          </w:tcPr>
          <w:p w14:paraId="FA023V02" w14:textId="77777777" w:rsidR="00FA0003" w:rsidRDefault="00000000">
            <w:r>
              <w:rPr>
                <w:b/>
                <w:color w:val="FFFFFF"/>
                <w:sz w:val="18"/>
              </w:rPr>
              <w:t>#</w:t>
            </w:r>
          </w:p>
        </w:tc>
        <w:tc>
          <w:tcPr>
            <w:tcW w:w="1984" w:type="dxa"/>
            <w:shd w:val="clear" w:color="auto" w:fill="00965E"/>
          </w:tcPr>
          <w:p w14:paraId="FA023V03" w14:textId="77777777" w:rsidR="00FA0003" w:rsidRDefault="00000000">
            <w:r>
              <w:rPr>
                <w:b/>
                <w:color w:val="FFFFFF"/>
                <w:sz w:val="18"/>
              </w:rPr>
              <w:t>Criterion</w:t>
            </w:r>
          </w:p>
        </w:tc>
        <w:tc>
          <w:tcPr>
            <w:tcW w:w="5386" w:type="dxa"/>
            <w:shd w:val="clear" w:color="auto" w:fill="00965E"/>
          </w:tcPr>
          <w:p w14:paraId="FA023V04" w14:textId="77777777" w:rsidR="00FA0003" w:rsidRDefault="00000000">
            <w:r>
              <w:rPr>
                <w:b/>
                <w:color w:val="FFFFFF"/>
                <w:sz w:val="18"/>
              </w:rPr>
              <w:t>Description</w:t>
            </w:r>
          </w:p>
        </w:tc>
        <w:tc>
          <w:tcPr>
            <w:tcW w:w="850" w:type="dxa"/>
            <w:shd w:val="clear" w:color="auto" w:fill="00965E"/>
          </w:tcPr>
          <w:p w14:paraId="FA023V05" w14:textId="77777777" w:rsidR="00FA0003" w:rsidRDefault="00000000">
            <w:r>
              <w:rPr>
                <w:b/>
                <w:color w:val="FFFFFF"/>
                <w:sz w:val="18"/>
              </w:rPr>
              <w:t>Weight</w:t>
            </w:r>
          </w:p>
        </w:tc>
      </w:tr>
      <w:tr w:rsidR="00FA0003" w14:paraId="FA023V06" w14:textId="77777777">
        <w:tc>
          <w:tcPr>
            <w:tcW w:w="425" w:type="dxa"/>
          </w:tcPr>
          <w:p w14:paraId="FA023V07" w14:textId="77777777" w:rsidR="00FA0003" w:rsidRDefault="00000000">
            <w:r>
              <w:rPr>
                <w:sz w:val="18"/>
              </w:rPr>
              <w:t>1</w:t>
            </w:r>
          </w:p>
        </w:tc>
        <w:tc>
          <w:tcPr>
            <w:tcW w:w="1984" w:type="dxa"/>
          </w:tcPr>
          <w:p w14:paraId="FA023V08" w14:textId="77777777" w:rsidR="00FA0003" w:rsidRDefault="00000000">
            <w:r>
              <w:rPr>
                <w:sz w:val="18"/>
              </w:rPr>
              <w:t>Analytical Depth</w:t>
            </w:r>
          </w:p>
        </w:tc>
        <w:tc>
          <w:tcPr>
            <w:tcW w:w="5386" w:type="dxa"/>
          </w:tcPr>
          <w:p w14:paraId="FA023V09" w14:textId="77777777" w:rsidR="00FA0003" w:rsidRDefault="00000000">
            <w:r>
              <w:rPr>
                <w:sz w:val="18"/>
              </w:rPr>
              <w:t>Quality and depth of financial driver identification and articulation</w:t>
            </w:r>
          </w:p>
        </w:tc>
        <w:tc>
          <w:tcPr>
            <w:tcW w:w="850" w:type="dxa"/>
          </w:tcPr>
          <w:p w14:paraId="FA023V0A" w14:textId="77777777" w:rsidR="00FA0003" w:rsidRDefault="00000000">
            <w:r>
              <w:rPr>
                <w:sz w:val="18"/>
              </w:rPr>
              <w:t>15%</w:t>
            </w:r>
          </w:p>
        </w:tc>
      </w:tr>
      <w:tr w:rsidR="00FA0003" w14:paraId="FA023V0B" w14:textId="77777777">
        <w:tc>
          <w:tcPr>
            <w:tcW w:w="425" w:type="dxa"/>
            <w:shd w:val="clear" w:color="auto" w:fill="E8F5E9"/>
          </w:tcPr>
          <w:p w14:paraId="FA023V0C" w14:textId="77777777" w:rsidR="00FA0003" w:rsidRDefault="00000000">
            <w:r>
              <w:rPr>
                <w:sz w:val="18"/>
              </w:rPr>
              <w:t>2</w:t>
            </w:r>
          </w:p>
        </w:tc>
        <w:tc>
          <w:tcPr>
            <w:tcW w:w="1984" w:type="dxa"/>
            <w:shd w:val="clear" w:color="auto" w:fill="E8F5E9"/>
          </w:tcPr>
          <w:p w14:paraId="FA023V0D" w14:textId="77777777" w:rsidR="00FA0003" w:rsidRDefault="00000000">
            <w:r>
              <w:rPr>
                <w:sz w:val="18"/>
              </w:rPr>
              <w:t>Accuracy</w:t>
            </w:r>
          </w:p>
        </w:tc>
        <w:tc>
          <w:tcPr>
            <w:tcW w:w="5386" w:type="dxa"/>
            <w:shd w:val="clear" w:color="auto" w:fill="E8F5E9"/>
          </w:tcPr>
          <w:p w14:paraId="FA023V0E" w14:textId="77777777" w:rsidR="00FA0003" w:rsidRDefault="00000000">
            <w:r>
              <w:rPr>
                <w:sz w:val="18"/>
              </w:rPr>
              <w:t>Consistency of figures, ratios, and trends with source documents</w:t>
            </w:r>
          </w:p>
        </w:tc>
        <w:tc>
          <w:tcPr>
            <w:tcW w:w="850" w:type="dxa"/>
            <w:shd w:val="clear" w:color="auto" w:fill="E8F5E9"/>
          </w:tcPr>
          <w:p w14:paraId="FA023V0F" w14:textId="77777777" w:rsidR="00FA0003" w:rsidRDefault="00000000">
            <w:r>
              <w:rPr>
                <w:sz w:val="18"/>
              </w:rPr>
              <w:t>50%</w:t>
            </w:r>
          </w:p>
        </w:tc>
      </w:tr>
      <w:tr w:rsidR="00FA0003" w14:paraId="FA023V10" w14:textId="77777777">
        <w:tc>
          <w:tcPr>
            <w:tcW w:w="425" w:type="dxa"/>
          </w:tcPr>
          <w:p w14:paraId="FA023V11" w14:textId="77777777" w:rsidR="00FA0003" w:rsidRDefault="00000000">
            <w:r>
              <w:rPr>
                <w:sz w:val="18"/>
              </w:rPr>
              <w:t>3</w:t>
            </w:r>
          </w:p>
        </w:tc>
        <w:tc>
          <w:tcPr>
            <w:tcW w:w="1984" w:type="dxa"/>
          </w:tcPr>
          <w:p w14:paraId="FA023V12" w14:textId="77777777" w:rsidR="00FA0003" w:rsidRDefault="00000000">
            <w:r>
              <w:rPr>
                <w:sz w:val="18"/>
              </w:rPr>
              <w:t>Structural Alignment</w:t>
            </w:r>
          </w:p>
        </w:tc>
        <w:tc>
          <w:tcPr>
            <w:tcW w:w="5386" w:type="dxa"/>
          </w:tcPr>
          <w:p w14:paraId="FA023V13" w14:textId="77777777" w:rsidR="00FA0003" w:rsidRDefault="00000000">
            <w:r>
              <w:rPr>
                <w:sz w:val="18"/>
              </w:rPr>
              <w:t>Conformity to CPRM Credit Memo format and section structure</w:t>
            </w:r>
          </w:p>
        </w:tc>
        <w:tc>
          <w:tcPr>
            <w:tcW w:w="850" w:type="dxa"/>
          </w:tcPr>
          <w:p w14:paraId="FA023V14" w14:textId="77777777" w:rsidR="00FA0003" w:rsidRDefault="00000000">
            <w:r>
              <w:rPr>
                <w:sz w:val="18"/>
              </w:rPr>
              <w:t>10%</w:t>
            </w:r>
          </w:p>
        </w:tc>
      </w:tr>
      <w:tr w:rsidR="00FA0003" w14:paraId="FA023V15" w14:textId="77777777">
        <w:tc>
          <w:tcPr>
            <w:tcW w:w="425" w:type="dxa"/>
            <w:shd w:val="clear" w:color="auto" w:fill="E8F5E9"/>
          </w:tcPr>
          <w:p w14:paraId="FA023V16" w14:textId="77777777" w:rsidR="00FA0003" w:rsidRDefault="00000000">
            <w:r>
              <w:rPr>
                <w:sz w:val="18"/>
              </w:rPr>
              <w:t>4</w:t>
            </w:r>
          </w:p>
        </w:tc>
        <w:tc>
          <w:tcPr>
            <w:tcW w:w="1984" w:type="dxa"/>
            <w:shd w:val="clear" w:color="auto" w:fill="E8F5E9"/>
          </w:tcPr>
          <w:p w14:paraId="FA023V17" w14:textId="77777777" w:rsidR="00FA0003" w:rsidRDefault="00000000">
            <w:r>
              <w:rPr>
                <w:sz w:val="18"/>
              </w:rPr>
              <w:t>Tone and Style</w:t>
            </w:r>
          </w:p>
        </w:tc>
        <w:tc>
          <w:tcPr>
            <w:tcW w:w="5386" w:type="dxa"/>
            <w:shd w:val="clear" w:color="auto" w:fill="E8F5E9"/>
          </w:tcPr>
          <w:p w14:paraId="FA023V18" w14:textId="77777777" w:rsidR="00FA0003" w:rsidRDefault="00000000">
            <w:r>
              <w:rPr>
                <w:sz w:val="18"/>
              </w:rPr>
              <w:t>Alignment with standard credit analyst language and conventions</w:t>
            </w:r>
          </w:p>
        </w:tc>
        <w:tc>
          <w:tcPr>
            <w:tcW w:w="850" w:type="dxa"/>
            <w:shd w:val="clear" w:color="auto" w:fill="E8F5E9"/>
          </w:tcPr>
          <w:p w14:paraId="FA023V19" w14:textId="77777777" w:rsidR="00FA0003" w:rsidRDefault="00000000">
            <w:r>
              <w:rPr>
                <w:sz w:val="18"/>
              </w:rPr>
              <w:t>10%</w:t>
            </w:r>
          </w:p>
        </w:tc>
      </w:tr>
      <w:tr w:rsidR="00FA0003" w14:paraId="FA023V1A" w14:textId="77777777">
        <w:tc>
          <w:tcPr>
            <w:tcW w:w="425" w:type="dxa"/>
          </w:tcPr>
          <w:p w14:paraId="FA023V1B" w14:textId="77777777" w:rsidR="00FA0003" w:rsidRDefault="00000000">
            <w:r>
              <w:rPr>
                <w:sz w:val="18"/>
              </w:rPr>
              <w:t>5</w:t>
            </w:r>
          </w:p>
        </w:tc>
        <w:tc>
          <w:tcPr>
            <w:tcW w:w="1984" w:type="dxa"/>
          </w:tcPr>
          <w:p w14:paraId="FA023V1C" w14:textId="77777777" w:rsidR="00FA0003" w:rsidRDefault="00000000">
            <w:r>
              <w:rPr>
                <w:sz w:val="18"/>
              </w:rPr>
              <w:t>Completeness</w:t>
            </w:r>
          </w:p>
        </w:tc>
        <w:tc>
          <w:tcPr>
            <w:tcW w:w="5386" w:type="dxa"/>
          </w:tcPr>
          <w:p w14:paraId="FA023V1D" w14:textId="77777777" w:rsidR="00FA0003" w:rsidRDefault="00000000">
            <w:r>
              <w:rPr>
                <w:sz w:val="18"/>
              </w:rPr>
              <w:t>Coverage of all required analytical sub-components per section</w:t>
            </w:r>
          </w:p>
        </w:tc>
        <w:tc>
          <w:tcPr>
            <w:tcW w:w="850" w:type="dxa"/>
          </w:tcPr>
          <w:p w14:paraId="FA023V1E" w14:textId="77777777" w:rsidR="00FA0003" w:rsidRDefault="00000000">
            <w:r>
              <w:rPr>
                <w:sz w:val="18"/>
              </w:rPr>
              <w:t>15%</w:t>
            </w:r>
          </w:p>
        </w:tc>
      </w:tr>
    </w:tbl>
    <w:p w14:paraId="FA02300B" w14:textId="77777777" w:rsidR="00FA0003" w:rsidRDefault="00000000"/>
    <w:p w14:paraId="FA02300C" w14:textId="77777777" w:rsidR="00FA0003" w:rsidRDefault="00000000">
      <w:r>
        <w:rPr>
          <w:b/>
        </w:rPr>
        <w:t>Dimension 2 — Quantitative AI Metrics (Faithfulness Assessment)</w:t>
      </w:r>
    </w:p>
    <w:p w14:paraId="FA02300D" w14:textId="77777777" w:rsidR="00FA0003" w:rsidRDefault="00000000">
      <w:r>
        <w:t>AI-generated outputs are evaluated using a Faithfulness Score via an LLM-as-Judge framework, answering: "Are the facts and claims in the AI-generated report supported by and traceable to the cited source documents?" Score interpretation:</w:t>
      </w:r>
    </w:p>
    <w:tbl>
      <w:tblPr>
        <w:tblStyle w:val="TableGrid"/>
        <w:tblW w:w="0" w:type="auto"/>
        <w:jc w:val="center"/>
        <w:tblLook w:val="04A0" w:firstRow="1" w:lastRow="0" w:firstColumn="1" w:lastColumn="0" w:noHBand="0" w:noVBand="1"/>
      </w:tblPr>
      <w:tblGrid>
        <w:gridCol w:w="2835"/>
        <w:gridCol w:w="6236"/>
      </w:tblGrid>
      <w:tr w:rsidR="00FA0003" w14:paraId="FA023W01" w14:textId="77777777">
        <w:tc>
          <w:tcPr>
            <w:tcW w:w="2835" w:type="dxa"/>
            <w:shd w:val="clear" w:color="auto" w:fill="00965E"/>
          </w:tcPr>
          <w:p w14:paraId="FA023W02" w14:textId="77777777" w:rsidR="00FA0003" w:rsidRDefault="00000000">
            <w:r>
              <w:rPr>
                <w:b/>
                <w:color w:val="FFFFFF"/>
                <w:sz w:val="18"/>
              </w:rPr>
              <w:t>Faithfulness Score</w:t>
            </w:r>
          </w:p>
        </w:tc>
        <w:tc>
          <w:tcPr>
            <w:tcW w:w="6236" w:type="dxa"/>
            <w:shd w:val="clear" w:color="auto" w:fill="00965E"/>
          </w:tcPr>
          <w:p w14:paraId="FA023W03" w14:textId="77777777" w:rsidR="00FA0003" w:rsidRDefault="00000000">
            <w:r>
              <w:rPr>
                <w:b/>
                <w:color w:val="FFFFFF"/>
                <w:sz w:val="18"/>
              </w:rPr>
              <w:t>Interpretation</w:t>
            </w:r>
          </w:p>
        </w:tc>
      </w:tr>
      <w:tr w:rsidR="00FA0003" w14:paraId="FA023W04" w14:textId="77777777">
        <w:tc>
          <w:tcPr>
            <w:tcW w:w="2835" w:type="dxa"/>
          </w:tcPr>
          <w:p w14:paraId="FA023W05" w14:textId="77777777" w:rsidR="00FA0003" w:rsidRDefault="00000000">
            <w:r>
              <w:rPr>
                <w:sz w:val="18"/>
              </w:rPr>
              <w:t>≥85%</w:t>
            </w:r>
          </w:p>
        </w:tc>
        <w:tc>
          <w:tcPr>
            <w:tcW w:w="6236" w:type="dxa"/>
          </w:tcPr>
          <w:p w14:paraId="FA023W06" w14:textId="77777777" w:rsidR="00FA0003" w:rsidRDefault="00000000">
            <w:r>
              <w:rPr>
                <w:sz w:val="18"/>
              </w:rPr>
              <w:t>High Faithfulness — outputs well grounded</w:t>
            </w:r>
          </w:p>
        </w:tc>
      </w:tr>
      <w:tr w:rsidR="00FA0003" w14:paraId="FA023W07" w14:textId="77777777">
        <w:tc>
          <w:tcPr>
            <w:tcW w:w="2835" w:type="dxa"/>
            <w:shd w:val="clear" w:color="auto" w:fill="E8F5E9"/>
          </w:tcPr>
          <w:p w14:paraId="FA023W08" w14:textId="77777777" w:rsidR="00FA0003" w:rsidRDefault="00000000">
            <w:r>
              <w:rPr>
                <w:sz w:val="18"/>
              </w:rPr>
              <w:t>70% – 84%</w:t>
            </w:r>
          </w:p>
        </w:tc>
        <w:tc>
          <w:tcPr>
            <w:tcW w:w="6236" w:type="dxa"/>
            <w:shd w:val="clear" w:color="auto" w:fill="E8F5E9"/>
          </w:tcPr>
          <w:p w14:paraId="FA023W09" w14:textId="77777777" w:rsidR="00FA0003" w:rsidRDefault="00000000">
            <w:r>
              <w:rPr>
                <w:sz w:val="18"/>
              </w:rPr>
              <w:t>Moderate — acceptable; retrieval refinement recommended</w:t>
            </w:r>
          </w:p>
        </w:tc>
      </w:tr>
      <w:tr w:rsidR="00FA0003" w14:paraId="FA023W0A" w14:textId="77777777">
        <w:tc>
          <w:tcPr>
            <w:tcW w:w="2835" w:type="dxa"/>
          </w:tcPr>
          <w:p w14:paraId="FA023W0B" w14:textId="77777777" w:rsidR="00FA0003" w:rsidRDefault="00000000">
            <w:r>
              <w:rPr>
                <w:sz w:val="18"/>
              </w:rPr>
              <w:t>50% – 69%</w:t>
            </w:r>
          </w:p>
        </w:tc>
        <w:tc>
          <w:tcPr>
            <w:tcW w:w="6236" w:type="dxa"/>
          </w:tcPr>
          <w:p w14:paraId="FA023W0C" w14:textId="77777777" w:rsidR="00FA0003" w:rsidRDefault="00000000">
            <w:r>
              <w:rPr>
                <w:sz w:val="18"/>
              </w:rPr>
              <w:t>Low — significant grounding gaps; prompt improvements required</w:t>
            </w:r>
          </w:p>
        </w:tc>
      </w:tr>
      <w:tr w:rsidR="00FA0003" w14:paraId="FA023W0D" w14:textId="77777777">
        <w:tc>
          <w:tcPr>
            <w:tcW w:w="2835" w:type="dxa"/>
            <w:shd w:val="clear" w:color="auto" w:fill="E8F5E9"/>
          </w:tcPr>
          <w:p w14:paraId="FA023W0E" w14:textId="77777777" w:rsidR="00FA0003" w:rsidRDefault="00000000">
            <w:r>
              <w:rPr>
                <w:sz w:val="18"/>
              </w:rPr>
              <w:t>&lt;50%</w:t>
            </w:r>
          </w:p>
        </w:tc>
        <w:tc>
          <w:tcPr>
            <w:tcW w:w="6236" w:type="dxa"/>
            <w:shd w:val="clear" w:color="auto" w:fill="E8F5E9"/>
          </w:tcPr>
          <w:p w14:paraId="FA023W0F" w14:textId="77777777" w:rsidR="00FA0003" w:rsidRDefault="00000000">
            <w:r>
              <w:rPr>
                <w:sz w:val="18"/>
              </w:rPr>
              <w:t>Critical — high hallucination risk; not suitable for business review</w:t>
            </w:r>
          </w:p>
        </w:tc>
      </w:tr>
    </w:tbl>
    <w:p w14:paraId="FA02300E" w14:textId="77777777" w:rsidR="00FA0003" w:rsidRDefault="00000000"/>
    <w:p w14:paraId="35322AD0" w14:textId="77777777" w:rsidR="002D400C" w:rsidRDefault="00000000">
      <w:r>
        <w:br w:type="page"/>
      </w:r>
    </w:p>
    <w:p w14:paraId="60A130FF" w14:textId="77777777" w:rsidR="002D400C" w:rsidRDefault="00000000">
      <w:pPr>
        <w:pStyle w:val="Heading1"/>
      </w:pPr>
      <w:r>
        <w:rPr>
          <w:color w:val="1B365D"/>
        </w:rPr>
        <w:t>3. Solution Overview</w:t>
      </w:r>
    </w:p>
    <w:p w14:paraId="22E192C3" w14:textId="77777777" w:rsidR="002D400C" w:rsidRDefault="00000000">
      <w:pPr>
        <w:pStyle w:val="Heading2"/>
      </w:pPr>
      <w:r>
        <w:rPr>
          <w:color w:val="1B365D"/>
        </w:rPr>
        <w:t>3.1 Data Collection</w:t>
      </w:r>
    </w:p>
    <w:p w14:paraId="42C7FA70" w14:textId="77777777" w:rsidR="002D400C" w:rsidRDefault="00000000">
      <w:pPr>
        <w:pStyle w:val="Heading3"/>
      </w:pPr>
      <w:r>
        <w:rPr>
          <w:color w:val="1B365D"/>
        </w:rPr>
        <w:t>3.1.1 AMER — SEC EDGAR Integration</w:t>
      </w:r>
    </w:p>
    <w:p w14:paraId="0CDF6BFD" w14:textId="77777777" w:rsidR="002D400C" w:rsidRDefault="00000000">
      <w:r>
        <w:t>The AMER workstream leverages the edgartools Python library to access SEC EDGAR filings programmatically. The EdgarCrawler class (src/crawler/edgar/crawler.py) implements the following data collection flow:</w:t>
      </w:r>
    </w:p>
    <w:p w14:paraId="723E7F75" w14:textId="77777777" w:rsidR="002D400C" w:rsidRDefault="00000000">
      <w:pPr>
        <w:pStyle w:val="ListNumber"/>
      </w:pPr>
      <w:r>
        <w:t>Company lookup: Company(ticker) resolves a stock ticker to the SEC CIK number and retrieves the full entity profile.</w:t>
      </w:r>
    </w:p>
    <w:p w14:paraId="62AC8E55" w14:textId="77777777" w:rsidR="002D400C" w:rsidRDefault="00000000">
      <w:pPr>
        <w:pStyle w:val="ListNumber"/>
      </w:pPr>
      <w:r>
        <w:t>Filing retrieval: get_filings(form='10-K') fetches annual reports. The system also supports 10-Q quarterly filings.</w:t>
      </w:r>
    </w:p>
    <w:p w14:paraId="10DD4333" w14:textId="77777777" w:rsidR="002D400C" w:rsidRDefault="00000000">
      <w:pPr>
        <w:pStyle w:val="ListNumber"/>
      </w:pPr>
      <w:r>
        <w:t>Financial extraction: company.get_financials() returns structured XBRL data for three statement types. Each statement contains XBRL concept codes (e.g., us-gaap:Revenue, us-gaap:Assets) with period-tagged values.</w:t>
      </w:r>
    </w:p>
    <w:p w14:paraId="1367B9B9" w14:textId="77777777" w:rsidR="002D400C" w:rsidRDefault="00000000">
      <w:pPr>
        <w:pStyle w:val="ListNumber"/>
      </w:pPr>
      <w:r>
        <w:t>Scale normalisation: _build_concept_to_scale_map() reads the 'decimals' column from XBRL facts (stmt_obj.xbrl.facts.to_dataframe()) to determine per-row scaling: decimals=-6 indicates millions, -3 indicates thousands, 0 indicates units. _apply_row_level_scaling() then normalises all values to a consistent unit.</w:t>
      </w:r>
    </w:p>
    <w:p w14:paraId="0D4C988C" w14:textId="77777777" w:rsidR="002D400C" w:rsidRDefault="00000000">
      <w:pPr>
        <w:pStyle w:val="ListNumber"/>
      </w:pPr>
      <w:r>
        <w:lastRenderedPageBreak/>
        <w:t>Entity filtering: _process_statement() filters results to the parent company entity using the dimension_member column, excluding subsidiary or segment-level line items.</w:t>
      </w:r>
    </w:p>
    <w:p w14:paraId="4E84D806" w14:textId="77777777" w:rsidR="002D400C" w:rsidRDefault="00000000">
      <w:pPr>
        <w:pStyle w:val="Heading3"/>
      </w:pPr>
      <w:r>
        <w:rPr>
          <w:color w:val="1B365D"/>
        </w:rPr>
        <w:t>3.1.2 APAC — HKEX Web Crawling</w:t>
      </w:r>
    </w:p>
    <w:p w14:paraId="59603B9D" w14:textId="77777777" w:rsidR="002D400C" w:rsidRDefault="00000000">
      <w:r>
        <w:t>The APAC workstream crawls the Hong Kong Exchanges and Clearing (HKEX) website for annual report PDFs. The HKEXCrawler class (src/crawler/hkexnews/crawler.py) performs:</w:t>
      </w:r>
    </w:p>
    <w:p w14:paraId="5BDBE347" w14:textId="77777777" w:rsidR="002D400C" w:rsidRDefault="00000000">
      <w:pPr>
        <w:pStyle w:val="ListNumber"/>
      </w:pPr>
      <w:r>
        <w:t>Report discovery: A POST request to the HKEX search endpoint with parameters including lang=EN, market=SEHK, searchType=1, t1code=40000 (Announcements and Notices), t2code=40100 (Annual Reports sub-category), and the zero-padded 5-digit stock code.</w:t>
      </w:r>
    </w:p>
    <w:p w14:paraId="1DAB148E" w14:textId="77777777" w:rsidR="002D400C" w:rsidRDefault="00000000">
      <w:pPr>
        <w:pStyle w:val="ListNumber"/>
      </w:pPr>
      <w:r>
        <w:t>HTML parsing: The HKEXParser (src/parser/hkexnews/parser.py) uses BeautifulSoup to extract PDF links from the search results HTML, constructs full URLs, extracts fiscal year via regex (20\d{2}), and classifies report type (annual/interim/quarterly).</w:t>
      </w:r>
    </w:p>
    <w:p w14:paraId="4740456E" w14:textId="77777777" w:rsidR="002D400C" w:rsidRDefault="00000000">
      <w:pPr>
        <w:pStyle w:val="ListNumber"/>
      </w:pPr>
      <w:r>
        <w:t>PDF download: Reports are downloaded via the proxy-aware HTTP client with local filesystem caching to avoid redundant downloads.</w:t>
      </w:r>
    </w:p>
    <w:p w14:paraId="07B46F7F" w14:textId="77777777" w:rsidR="002D400C" w:rsidRDefault="00000000">
      <w:pPr>
        <w:pStyle w:val="ListNumber"/>
      </w:pPr>
      <w:r>
        <w:t>Financial statement page detection: The scanner (src/extraction/scanner.py) uses pdfplumber to open the downloaded PDF and identify pages containing financial statements through multilingual heading matching and table structure validation.</w:t>
      </w:r>
    </w:p>
    <w:p w14:paraId="30260925" w14:textId="77777777" w:rsidR="002D400C" w:rsidRDefault="00000000">
      <w:pPr>
        <w:pStyle w:val="Heading3"/>
      </w:pPr>
      <w:r>
        <w:rPr>
          <w:color w:val="1B365D"/>
        </w:rPr>
        <w:t>3.1.3 EMEA — XBRL/IFRS API (filings.xbrl.org)</w:t>
      </w:r>
    </w:p>
    <w:p w14:paraId="3E399826" w14:textId="77777777" w:rsidR="002D400C" w:rsidRDefault="00000000">
      <w:r>
        <w:t>The EMEA workstream retrieves structured IFRS financial data via the filings.xbrl.org public API. The XBRLParser (src/parser/xbrl/parser.py) implements:</w:t>
      </w:r>
    </w:p>
    <w:p w14:paraId="428EBD20" w14:textId="77777777" w:rsidR="002D400C" w:rsidRDefault="00000000">
      <w:pPr>
        <w:pStyle w:val="ListNumber"/>
      </w:pPr>
      <w:r>
        <w:t>Filing lookup by LEI: fetch_filings() queries /api/filings?filter[entity.identifier]={lei}&amp;page[size]=50 to retrieve all available filings for the entity identified by its 20-character Legal Entity Identifier.</w:t>
      </w:r>
    </w:p>
    <w:p w14:paraId="78FA4DDD" w14:textId="77777777" w:rsidR="002D400C" w:rsidRDefault="00000000">
      <w:pPr>
        <w:pStyle w:val="ListNumber"/>
      </w:pPr>
      <w:r>
        <w:t>Fact extraction: fetch_xbrl_facts() downloads the OIM (Open Information Model) xBRL-JSON file for each filing, iterating data.facts to extract concept name, period, unit, value, and decimal precision.</w:t>
      </w:r>
    </w:p>
    <w:p w14:paraId="3589FDF0" w14:textId="77777777" w:rsidR="002D400C" w:rsidRDefault="00000000">
      <w:pPr>
        <w:pStyle w:val="ListNumber"/>
      </w:pPr>
      <w:r>
        <w:t>Period parsing: _parse_period() handles two XBRL period formats—duration periods (2022-01-01/2022-12-31) and instant periods (2022-12-31)—with fiscal year adjustment for January 1 boundaries.</w:t>
      </w:r>
    </w:p>
    <w:p w14:paraId="09DFB456" w14:textId="77777777" w:rsidR="002D400C" w:rsidRDefault="00000000">
      <w:pPr>
        <w:pStyle w:val="ListNumber"/>
      </w:pPr>
      <w:r>
        <w:t>Concept mapping: IFRS_CONCEPT_LABELS provides 100+ IFRS concept-to-label mappings with French and English translations (e.g., 'Revenue' maps to 'Chiffre d'affaires'). STATEMENT_MAP categorises concepts into Income Statement, Assets, Liabilities, and Cash Flow groups.</w:t>
      </w:r>
    </w:p>
    <w:p w14:paraId="6615FA0B" w14:textId="77777777" w:rsidR="002D400C" w:rsidRDefault="00000000">
      <w:pPr>
        <w:pStyle w:val="ListNumber"/>
      </w:pPr>
      <w:r>
        <w:t>Custom overrides: _load_custom_mapping_config() reads config/xbrl_mapping_config.json for company-specific XBRL concept-to-field mappings.</w:t>
      </w:r>
    </w:p>
    <w:p w14:paraId="742657AD" w14:textId="77777777" w:rsidR="002D400C" w:rsidRDefault="00000000">
      <w:pPr>
        <w:pStyle w:val="Heading3"/>
      </w:pPr>
      <w:r>
        <w:rPr>
          <w:color w:val="1B365D"/>
        </w:rPr>
        <w:t>3.1.4 Manual PDF Extraction (All Regions)</w:t>
      </w:r>
    </w:p>
    <w:p w14:paraId="7DFE8653" w14:textId="77777777" w:rsidR="002D400C" w:rsidRDefault="00000000">
      <w:r>
        <w:t>For companies without structured API coverage, the pipeline supports direct PDF upload with automated extraction. This is the most technically complex path, involving multiple extraction tiers:</w:t>
      </w:r>
    </w:p>
    <w:p w14:paraId="28740F5F" w14:textId="77777777" w:rsidR="002D400C" w:rsidRDefault="00000000">
      <w:pPr>
        <w:pStyle w:val="Heading4"/>
      </w:pPr>
      <w:r>
        <w:rPr>
          <w:color w:val="1B365D"/>
        </w:rPr>
        <w:t>Tier 1: pdfplumber Text Extraction</w:t>
      </w:r>
    </w:p>
    <w:p w14:paraId="077E74AD" w14:textId="77777777" w:rsidR="002D400C" w:rsidRDefault="00000000">
      <w:r>
        <w:t>The primary extraction engine uses pdfplumber (src/extraction/scanner.py), an open-source Python library built on pdfminer.six that provides precise text and table extraction with spatial awareness. The extraction process:</w:t>
      </w:r>
    </w:p>
    <w:p w14:paraId="194EB710" w14:textId="77777777" w:rsidR="002D400C" w:rsidRDefault="00000000">
      <w:pPr>
        <w:pStyle w:val="ListBullet"/>
      </w:pPr>
      <w:r>
        <w:lastRenderedPageBreak/>
        <w:t>Page iteration: pdfplumber.open(pdf_path) loads the PDF. Each page is processed via page.extract_text() to retrieve raw text content.</w:t>
      </w:r>
    </w:p>
    <w:p w14:paraId="7BD1ACB6" w14:textId="77777777" w:rsidR="002D400C" w:rsidRDefault="00000000">
      <w:pPr>
        <w:pStyle w:val="ListBullet"/>
      </w:pPr>
      <w:r>
        <w:t>Landscape detection: For landscape-oriented pages (width &gt; height), the scanner crops at mid_x = page.width / 2 using page.crop() to process left and right halves independently via _find_heading_side(). This handles dual-column financial layouts common in annual reports.</w:t>
      </w:r>
    </w:p>
    <w:p w14:paraId="35DBC265" w14:textId="77777777" w:rsidR="002D400C" w:rsidRDefault="00000000">
      <w:pPr>
        <w:pStyle w:val="ListBullet"/>
      </w:pPr>
      <w:r>
        <w:t>Heading matching: _heading_in_first_lines() normalises the first 30 lines (configurable via HEADING_SEARCH_LINES) and compares against the STATEMENT_HEADINGS dictionary containing multilingual variants—English ('Consolidated Statement of Comprehensive Income'), Chinese ('</w:t>
      </w:r>
      <w:r>
        <w:t>綜合損益表</w:t>
      </w:r>
      <w:r>
        <w:t>', '</w:t>
      </w:r>
      <w:r>
        <w:t>資產負債表</w:t>
      </w:r>
      <w:r>
        <w:t>', '</w:t>
      </w:r>
      <w:r>
        <w:t>現金流量表</w:t>
      </w:r>
      <w:r>
        <w:t>'), and Indonesian ('LAPORAN LABA RUGI', 'POSISI KEUANGAN', 'ARUS KAS').</w:t>
      </w:r>
    </w:p>
    <w:p w14:paraId="4ABD7555" w14:textId="77777777" w:rsidR="002D400C" w:rsidRDefault="00000000">
      <w:pPr>
        <w:pStyle w:val="ListBullet"/>
      </w:pPr>
      <w:r>
        <w:t>Table structure validation: _has_table_structure() counts lines matching a regex pattern (_TABLE_ROW_RE) that requires a text label followed by 2+ numeric values. A minimum of MIN_TABLE_ROWS = 5 matching lines confirms tabular financial content.</w:t>
      </w:r>
    </w:p>
    <w:p w14:paraId="614B1325" w14:textId="77777777" w:rsidR="002D400C" w:rsidRDefault="00000000">
      <w:pPr>
        <w:pStyle w:val="ListBullet"/>
      </w:pPr>
      <w:r>
        <w:t>Continuation page merging: _is_continuation_page() determines whether subsequent pages should be merged with the candidate—it checks if the page starts with a table row, contains the same heading, or introduces a new heading (which stops merging). Maximum MAX_CONTINUATION_PAGES = 2.</w:t>
      </w:r>
    </w:p>
    <w:p w14:paraId="182A6768" w14:textId="77777777" w:rsidR="002D400C" w:rsidRDefault="00000000">
      <w:pPr>
        <w:pStyle w:val="ListBullet"/>
      </w:pPr>
      <w:r>
        <w:t>Garbled text detection: pdf_has_garbled_text() samples the first 10 pages, using regex pattern (cid:\d+) to count CID-encoded sequences and checking the alpha character ratio. If CID count exceeds the threshold or the alpha ratio is too low, the PDF is flagged for vision fallback.</w:t>
      </w:r>
    </w:p>
    <w:p w14:paraId="2DCDC903" w14:textId="77777777" w:rsidR="002D400C" w:rsidRDefault="00000000">
      <w:pPr>
        <w:pStyle w:val="Heading4"/>
      </w:pPr>
      <w:r>
        <w:rPr>
          <w:color w:val="1B365D"/>
        </w:rPr>
        <w:t>Tier 2: LLM Vision Fallback</w:t>
      </w:r>
    </w:p>
    <w:p w14:paraId="4AA555D3" w14:textId="77777777" w:rsidR="002D400C" w:rsidRDefault="00000000">
      <w:r>
        <w:t>When pdfplumber encounters CID-encoded or scanned PDFs where text extraction yields garbled output, the system automatically falls back to LLM vision-based extraction (src/extraction/extractor.py):</w:t>
      </w:r>
    </w:p>
    <w:p w14:paraId="43DA6268" w14:textId="77777777" w:rsidR="002D400C" w:rsidRDefault="00000000">
      <w:pPr>
        <w:pStyle w:val="ListBullet"/>
      </w:pPr>
      <w:r>
        <w:t>Image rendering: PyMuPDF (fitz) renders each candidate page at 150 DPI via page.get_pixmap(dpi=150). For landscape pages with crop bounding boxes, fitz.Rect(*crop_bbox) clips the rendered image to the relevant half.</w:t>
      </w:r>
    </w:p>
    <w:p w14:paraId="2BFE190F" w14:textId="77777777" w:rsidR="002D400C" w:rsidRDefault="00000000">
      <w:pPr>
        <w:pStyle w:val="ListBullet"/>
      </w:pPr>
      <w:r>
        <w:t>Base64 encoding: The rendered PNG is base64-encoded and sent to the LLM as a vision message with content type 'image_url' using 'data:image/png;base64,...' format.</w:t>
      </w:r>
    </w:p>
    <w:p w14:paraId="4E140FCB" w14:textId="77777777" w:rsidR="002D400C" w:rsidRDefault="00000000">
      <w:pPr>
        <w:pStyle w:val="ListBullet"/>
      </w:pPr>
      <w:r>
        <w:t>Structured extraction: The IMAGE_EXTRACTION_PROMPT instructs the LLM to return structured JSON with rows, year_headers, year_currencies, unit_scale, and year_end_date—identical schema to the text-based extraction path.</w:t>
      </w:r>
    </w:p>
    <w:p w14:paraId="72AEB330" w14:textId="77777777" w:rsidR="002D400C" w:rsidRDefault="00000000">
      <w:pPr>
        <w:pStyle w:val="ListBullet"/>
      </w:pPr>
      <w:r>
        <w:t>Fallback orchestration: extract_table_with_vision_fallback() checks the text_garbled flag on each candidate and routes accordingly, ensuring seamless degradation.</w:t>
      </w:r>
    </w:p>
    <w:p w14:paraId="331D2D7A" w14:textId="77777777" w:rsidR="002D400C" w:rsidRDefault="00000000">
      <w:pPr>
        <w:pStyle w:val="Heading4"/>
      </w:pPr>
      <w:r>
        <w:rPr>
          <w:color w:val="1B365D"/>
        </w:rPr>
        <w:t>Tier 3: LLM-Assisted Page Finding</w:t>
      </w:r>
    </w:p>
    <w:p w14:paraId="016670AC" w14:textId="77777777" w:rsidR="002D400C" w:rsidRDefault="00000000">
      <w:r>
        <w:t>If Tier 1 heading scan finds no candidates, the page_validator module (src/extraction/page_validator.py) invokes llm_scan_for_candidates() which sends page content to the LLM for intelligent page identification. Each candidate is then validated via validate_candidate_page() which confirms the page contains an actual financial statement with a confidence threshold (requires 'high' or 'medium' confidence).</w:t>
      </w:r>
    </w:p>
    <w:p w14:paraId="51FD37AC" w14:textId="77777777" w:rsidR="002D400C" w:rsidRDefault="00000000">
      <w:pPr>
        <w:pStyle w:val="Heading2"/>
      </w:pPr>
      <w:r>
        <w:rPr>
          <w:color w:val="1B365D"/>
        </w:rPr>
        <w:lastRenderedPageBreak/>
        <w:t>3.2 Model Selection</w:t>
      </w:r>
    </w:p>
    <w:p w14:paraId="7A4D9C5F" w14:textId="77777777" w:rsidR="002D400C" w:rsidRDefault="00000000">
      <w:r>
        <w:t>The pipeline supports four LLM provider backends, configured via config.ini with a single provider toggle:</w:t>
      </w:r>
    </w:p>
    <w:tbl>
      <w:tblPr>
        <w:tblStyle w:val="TableGrid"/>
        <w:tblW w:w="0" w:type="auto"/>
        <w:jc w:val="center"/>
        <w:tblLook w:val="04A0" w:firstRow="1" w:lastRow="0" w:firstColumn="1" w:lastColumn="0" w:noHBand="0" w:noVBand="1"/>
      </w:tblPr>
      <w:tblGrid>
        <w:gridCol w:w="1701"/>
        <w:gridCol w:w="2268"/>
        <w:gridCol w:w="2268"/>
        <w:gridCol w:w="2835"/>
      </w:tblGrid>
      <w:tr w:rsidR="002D400C" w14:paraId="29B46532" w14:textId="77777777">
        <w:trPr>
          <w:jc w:val="center"/>
        </w:trPr>
        <w:tc>
          <w:tcPr>
            <w:tcW w:w="1701" w:type="dxa"/>
            <w:shd w:val="clear" w:color="auto" w:fill="00965E"/>
          </w:tcPr>
          <w:p w14:paraId="0E74DA7B" w14:textId="77777777" w:rsidR="002D400C" w:rsidRDefault="00000000">
            <w:pPr>
              <w:jc w:val="center"/>
            </w:pPr>
            <w:r>
              <w:rPr>
                <w:b/>
                <w:color w:val="FFFFFF"/>
                <w:sz w:val="18"/>
              </w:rPr>
              <w:t>Provider</w:t>
            </w:r>
          </w:p>
        </w:tc>
        <w:tc>
          <w:tcPr>
            <w:tcW w:w="2268" w:type="dxa"/>
            <w:shd w:val="clear" w:color="auto" w:fill="00965E"/>
          </w:tcPr>
          <w:p w14:paraId="33EE5ECD" w14:textId="77777777" w:rsidR="002D400C" w:rsidRDefault="00000000">
            <w:pPr>
              <w:jc w:val="center"/>
            </w:pPr>
            <w:r>
              <w:rPr>
                <w:b/>
                <w:color w:val="FFFFFF"/>
                <w:sz w:val="18"/>
              </w:rPr>
              <w:t>Client Library</w:t>
            </w:r>
          </w:p>
        </w:tc>
        <w:tc>
          <w:tcPr>
            <w:tcW w:w="2268" w:type="dxa"/>
            <w:shd w:val="clear" w:color="auto" w:fill="00965E"/>
          </w:tcPr>
          <w:p w14:paraId="5AB7A833" w14:textId="77777777" w:rsidR="002D400C" w:rsidRDefault="00000000">
            <w:pPr>
              <w:jc w:val="center"/>
            </w:pPr>
            <w:r>
              <w:rPr>
                <w:b/>
                <w:color w:val="FFFFFF"/>
                <w:sz w:val="18"/>
              </w:rPr>
              <w:t>Use Case</w:t>
            </w:r>
          </w:p>
        </w:tc>
        <w:tc>
          <w:tcPr>
            <w:tcW w:w="2835" w:type="dxa"/>
            <w:shd w:val="clear" w:color="auto" w:fill="00965E"/>
          </w:tcPr>
          <w:p w14:paraId="52BCA28A" w14:textId="77777777" w:rsidR="002D400C" w:rsidRDefault="00000000">
            <w:pPr>
              <w:jc w:val="center"/>
            </w:pPr>
            <w:r>
              <w:rPr>
                <w:b/>
                <w:color w:val="FFFFFF"/>
                <w:sz w:val="18"/>
              </w:rPr>
              <w:t>Configuration</w:t>
            </w:r>
          </w:p>
        </w:tc>
      </w:tr>
      <w:tr w:rsidR="002D400C" w14:paraId="6AB8C180" w14:textId="77777777">
        <w:trPr>
          <w:jc w:val="center"/>
        </w:trPr>
        <w:tc>
          <w:tcPr>
            <w:tcW w:w="1701" w:type="dxa"/>
          </w:tcPr>
          <w:p w14:paraId="089AF992" w14:textId="77777777" w:rsidR="002D400C" w:rsidRDefault="00000000">
            <w:r>
              <w:rPr>
                <w:sz w:val="18"/>
              </w:rPr>
              <w:t>Azure OpenAI</w:t>
            </w:r>
          </w:p>
        </w:tc>
        <w:tc>
          <w:tcPr>
            <w:tcW w:w="2268" w:type="dxa"/>
          </w:tcPr>
          <w:p w14:paraId="3C6517AD" w14:textId="77777777" w:rsidR="002D400C" w:rsidRDefault="00000000">
            <w:r>
              <w:rPr>
                <w:sz w:val="18"/>
              </w:rPr>
              <w:t>openai.AzureOpenAI</w:t>
            </w:r>
          </w:p>
        </w:tc>
        <w:tc>
          <w:tcPr>
            <w:tcW w:w="2268" w:type="dxa"/>
          </w:tcPr>
          <w:p w14:paraId="0D4A2630" w14:textId="77777777" w:rsidR="002D400C" w:rsidRDefault="00000000">
            <w:r>
              <w:rPr>
                <w:sz w:val="18"/>
              </w:rPr>
              <w:t>Primary production provider</w:t>
            </w:r>
          </w:p>
        </w:tc>
        <w:tc>
          <w:tcPr>
            <w:tcW w:w="2835" w:type="dxa"/>
          </w:tcPr>
          <w:p w14:paraId="70A7A6D9" w14:textId="77777777" w:rsidR="002D400C" w:rsidRDefault="00000000">
            <w:r>
              <w:rPr>
                <w:sz w:val="18"/>
              </w:rPr>
              <w:t>azure_endpoint, api_key, api_version</w:t>
            </w:r>
          </w:p>
        </w:tc>
      </w:tr>
      <w:tr w:rsidR="002D400C" w14:paraId="77B79F98" w14:textId="77777777">
        <w:trPr>
          <w:jc w:val="center"/>
        </w:trPr>
        <w:tc>
          <w:tcPr>
            <w:tcW w:w="1701" w:type="dxa"/>
            <w:shd w:val="clear" w:color="auto" w:fill="E8F5E9"/>
          </w:tcPr>
          <w:p w14:paraId="4CE43047" w14:textId="77777777" w:rsidR="002D400C" w:rsidRDefault="00000000">
            <w:r>
              <w:rPr>
                <w:sz w:val="18"/>
              </w:rPr>
              <w:t>Maia (BPCE)</w:t>
            </w:r>
          </w:p>
        </w:tc>
        <w:tc>
          <w:tcPr>
            <w:tcW w:w="2268" w:type="dxa"/>
            <w:shd w:val="clear" w:color="auto" w:fill="E8F5E9"/>
          </w:tcPr>
          <w:p w14:paraId="691CF965" w14:textId="77777777" w:rsidR="002D400C" w:rsidRDefault="00000000">
            <w:r>
              <w:rPr>
                <w:sz w:val="18"/>
              </w:rPr>
              <w:t>MaiaOpenAIAdapter (custom)</w:t>
            </w:r>
          </w:p>
        </w:tc>
        <w:tc>
          <w:tcPr>
            <w:tcW w:w="2268" w:type="dxa"/>
            <w:shd w:val="clear" w:color="auto" w:fill="E8F5E9"/>
          </w:tcPr>
          <w:p w14:paraId="17987D39" w14:textId="77777777" w:rsidR="002D400C" w:rsidRDefault="00000000">
            <w:r>
              <w:rPr>
                <w:sz w:val="18"/>
              </w:rPr>
              <w:t>Internal gateway with OAuth2</w:t>
            </w:r>
          </w:p>
        </w:tc>
        <w:tc>
          <w:tcPr>
            <w:tcW w:w="2835" w:type="dxa"/>
            <w:shd w:val="clear" w:color="auto" w:fill="E8F5E9"/>
          </w:tcPr>
          <w:p w14:paraId="5008ABE7" w14:textId="77777777" w:rsidR="002D400C" w:rsidRDefault="00000000">
            <w:r>
              <w:rPr>
                <w:sz w:val="18"/>
              </w:rPr>
              <w:t>maia_credentials path</w:t>
            </w:r>
          </w:p>
        </w:tc>
      </w:tr>
      <w:tr w:rsidR="002D400C" w14:paraId="1E0D9563" w14:textId="77777777">
        <w:trPr>
          <w:jc w:val="center"/>
        </w:trPr>
        <w:tc>
          <w:tcPr>
            <w:tcW w:w="1701" w:type="dxa"/>
          </w:tcPr>
          <w:p w14:paraId="5A7292E3" w14:textId="77777777" w:rsidR="002D400C" w:rsidRDefault="00000000">
            <w:r>
              <w:rPr>
                <w:sz w:val="18"/>
              </w:rPr>
              <w:t>Gemma / vLLM</w:t>
            </w:r>
          </w:p>
        </w:tc>
        <w:tc>
          <w:tcPr>
            <w:tcW w:w="2268" w:type="dxa"/>
          </w:tcPr>
          <w:p w14:paraId="7879F44A" w14:textId="77777777" w:rsidR="002D400C" w:rsidRDefault="00000000">
            <w:r>
              <w:rPr>
                <w:sz w:val="18"/>
              </w:rPr>
              <w:t>openai.OpenAI</w:t>
            </w:r>
          </w:p>
        </w:tc>
        <w:tc>
          <w:tcPr>
            <w:tcW w:w="2268" w:type="dxa"/>
          </w:tcPr>
          <w:p w14:paraId="799DB550" w14:textId="77777777" w:rsidR="002D400C" w:rsidRDefault="00000000">
            <w:r>
              <w:rPr>
                <w:sz w:val="18"/>
              </w:rPr>
              <w:t>On-premise open-source model</w:t>
            </w:r>
          </w:p>
        </w:tc>
        <w:tc>
          <w:tcPr>
            <w:tcW w:w="2835" w:type="dxa"/>
          </w:tcPr>
          <w:p w14:paraId="3241B6C6" w14:textId="77777777" w:rsidR="002D400C" w:rsidRDefault="00000000">
            <w:r>
              <w:rPr>
                <w:sz w:val="18"/>
              </w:rPr>
              <w:t>base_url (vLLM server), api_key</w:t>
            </w:r>
          </w:p>
        </w:tc>
      </w:tr>
      <w:tr w:rsidR="002D400C" w14:paraId="3C751059" w14:textId="77777777">
        <w:trPr>
          <w:jc w:val="center"/>
        </w:trPr>
        <w:tc>
          <w:tcPr>
            <w:tcW w:w="1701" w:type="dxa"/>
            <w:shd w:val="clear" w:color="auto" w:fill="E8F5E9"/>
          </w:tcPr>
          <w:p w14:paraId="0A28A713" w14:textId="77777777" w:rsidR="002D400C" w:rsidRDefault="00000000">
            <w:r>
              <w:rPr>
                <w:sz w:val="18"/>
              </w:rPr>
              <w:t>OpenAI</w:t>
            </w:r>
          </w:p>
        </w:tc>
        <w:tc>
          <w:tcPr>
            <w:tcW w:w="2268" w:type="dxa"/>
            <w:shd w:val="clear" w:color="auto" w:fill="E8F5E9"/>
          </w:tcPr>
          <w:p w14:paraId="549E288B" w14:textId="77777777" w:rsidR="002D400C" w:rsidRDefault="00000000">
            <w:r>
              <w:rPr>
                <w:sz w:val="18"/>
              </w:rPr>
              <w:t>openai.OpenAI</w:t>
            </w:r>
          </w:p>
        </w:tc>
        <w:tc>
          <w:tcPr>
            <w:tcW w:w="2268" w:type="dxa"/>
            <w:shd w:val="clear" w:color="auto" w:fill="E8F5E9"/>
          </w:tcPr>
          <w:p w14:paraId="52862F84" w14:textId="77777777" w:rsidR="002D400C" w:rsidRDefault="00000000">
            <w:r>
              <w:rPr>
                <w:sz w:val="18"/>
              </w:rPr>
              <w:t>Direct OpenAI API access</w:t>
            </w:r>
          </w:p>
        </w:tc>
        <w:tc>
          <w:tcPr>
            <w:tcW w:w="2835" w:type="dxa"/>
            <w:shd w:val="clear" w:color="auto" w:fill="E8F5E9"/>
          </w:tcPr>
          <w:p w14:paraId="00D9BEB0" w14:textId="77777777" w:rsidR="002D400C" w:rsidRDefault="00000000">
            <w:r>
              <w:rPr>
                <w:sz w:val="18"/>
              </w:rPr>
              <w:t>api_key, base_url</w:t>
            </w:r>
          </w:p>
        </w:tc>
      </w:tr>
    </w:tbl>
    <w:p w14:paraId="7200F8D4" w14:textId="77777777" w:rsidR="002D400C" w:rsidRDefault="002D400C"/>
    <w:p w14:paraId="2A56C1CC" w14:textId="77777777" w:rsidR="002D400C" w:rsidRDefault="00000000">
      <w:r>
        <w:t>The get_client() factory (src/extraction/llm_client.py) implements provider-specific initialisation logic including proxy bypass for internal .intranet domains (temporarily clearing HTTP_PROXY/HTTPS_PROXY environment variables), SSL certificate handling for internal endpoints, and thread-safe client caching via _client_cache with _client_lock.</w:t>
      </w:r>
    </w:p>
    <w:p w14:paraId="5D556E6C" w14:textId="77777777" w:rsidR="002D400C" w:rsidRDefault="00000000">
      <w:r>
        <w:t>Token usage is tracked globally via track_usage(), accumulating prompt_tokens and completion_tokens across all API calls within an extraction run for cost monitoring.</w:t>
      </w:r>
    </w:p>
    <w:p w14:paraId="317A11BB" w14:textId="77777777" w:rsidR="002D400C" w:rsidRDefault="00000000">
      <w:r>
        <w:t>For the Financial Analysis (FA) module, an LLM adapter layer (FA/llm_adapter.py) provides a unified call_llm_api(query, model_name, temperature, max_tokens) interface that routes all ~50 LLM call sites across 7 FA files through the same config.ini-driven provider selection, eliminating the dependency on the original BPCE-specific API setup.</w:t>
      </w:r>
    </w:p>
    <w:p w14:paraId="33070D60" w14:textId="77777777" w:rsidR="002D400C" w:rsidRDefault="00000000">
      <w:pPr>
        <w:pStyle w:val="Heading2"/>
      </w:pPr>
      <w:r>
        <w:rPr>
          <w:color w:val="1B365D"/>
        </w:rPr>
        <w:t>3.3 Fine-Tuning and Prompt Engineering</w:t>
      </w:r>
    </w:p>
    <w:p w14:paraId="3098D891" w14:textId="77777777" w:rsidR="002D400C" w:rsidRDefault="00000000">
      <w:r>
        <w:t>Rather than fine-tuning models, the pipeline relies on carefully engineered prompts and structured output schemas to achieve high extraction accuracy:</w:t>
      </w:r>
    </w:p>
    <w:p w14:paraId="72B91175" w14:textId="77777777" w:rsidR="002D400C" w:rsidRDefault="00000000">
      <w:pPr>
        <w:pStyle w:val="Heading3"/>
      </w:pPr>
      <w:r>
        <w:rPr>
          <w:color w:val="1B365D"/>
        </w:rPr>
        <w:t>Extraction Prompts</w:t>
      </w:r>
    </w:p>
    <w:p w14:paraId="40DFAD17" w14:textId="77777777" w:rsidR="002D400C" w:rsidRDefault="00000000">
      <w:r>
        <w:t>The EXTRACTION_PROMPT (src/extraction/extractor.py) instructs the LLM to parse raw text from financial statement pages and return a strict JSON schema containing: rows (array of line items with label and per-year values), year_headers (detected fiscal years), year_currencies (currency per year column), unit_scale (millions/thousands/units), and year_end_date. The prompt includes explicit instructions for handling parenthetical negative values, dash-as-zero conventions, and footnote exclusion.</w:t>
      </w:r>
    </w:p>
    <w:p w14:paraId="6000214C" w14:textId="77777777" w:rsidR="002D400C" w:rsidRDefault="00000000">
      <w:pPr>
        <w:pStyle w:val="Heading3"/>
      </w:pPr>
      <w:r>
        <w:rPr>
          <w:color w:val="1B365D"/>
        </w:rPr>
        <w:t>Mapping Prompts</w:t>
      </w:r>
    </w:p>
    <w:p w14:paraId="000A4791" w14:textId="77777777" w:rsidR="002D400C" w:rsidRDefault="00000000">
      <w:r>
        <w:t>The MAPPING_PROMPT (src/mapping/mapper.py) provides the LLM with BREF field definitions including field codes, descriptions, and alias lists. The LLM matches extracted row labels to BREF fields using semantic understanding of financial terminology, handling cases where the source uses different nomenclature (e.g., 'Turnover' vs 'Revenue' vs 'Chiffre d’affaires'). The prompt supports '+' summation formulas for computed totals (e.g., 'I30+I31+I79+I47' for total operating expenses).</w:t>
      </w:r>
    </w:p>
    <w:p w14:paraId="256828D2" w14:textId="77777777" w:rsidR="002D400C" w:rsidRDefault="00000000">
      <w:pPr>
        <w:pStyle w:val="Heading3"/>
      </w:pPr>
      <w:r>
        <w:rPr>
          <w:color w:val="1B365D"/>
        </w:rPr>
        <w:lastRenderedPageBreak/>
        <w:t>Financial Analysis Prompts</w:t>
      </w:r>
    </w:p>
    <w:p w14:paraId="27F2BB09" w14:textId="77777777" w:rsidR="002D400C" w:rsidRDefault="00000000">
      <w:r>
        <w:t>The FA module (FA/prompts_FA.py) contains specialised prompts for each analysis agent: BREF analyst prompts for P&amp;L, balance sheet, and cash flow analysis; evaluator prompts implementing LLM-as-Judge validation; and senior analyst prompts for report consolidation. Evaluator feedback is injected into retry prompts when reports are rejected, enabling iterative improvement.</w:t>
      </w:r>
    </w:p>
    <w:p w14:paraId="25FE18F8" w14:textId="77777777" w:rsidR="002D400C" w:rsidRDefault="00000000">
      <w:pPr>
        <w:pStyle w:val="Heading2"/>
      </w:pPr>
      <w:r>
        <w:rPr>
          <w:color w:val="1B365D"/>
        </w:rPr>
        <w:t>3.4 Evaluation Metrics</w:t>
      </w:r>
    </w:p>
    <w:p w14:paraId="2010ADA0" w14:textId="77777777" w:rsidR="002D400C" w:rsidRDefault="00000000">
      <w:r>
        <w:t>The pipeline employs multiple evaluation layers to ensure data quality:</w:t>
      </w:r>
    </w:p>
    <w:p w14:paraId="3AE18A33" w14:textId="77777777" w:rsidR="002D400C" w:rsidRDefault="00000000">
      <w:pPr>
        <w:pStyle w:val="Heading3"/>
      </w:pPr>
      <w:r>
        <w:rPr>
          <w:color w:val="1B365D"/>
        </w:rPr>
        <w:t>Extraction Confidence</w:t>
      </w:r>
    </w:p>
    <w:p w14:paraId="797F8D68" w14:textId="77777777" w:rsidR="002D400C" w:rsidRDefault="00000000">
      <w:r>
        <w:t>Each mapped field receives a confidence score ('high' or 'low') from the LLM based on match quality between extracted row labels and BREF field descriptions/aliases. Low-confidence mappings are flagged in the UI for human review via an inline editable data table (st.data_editor) where analysts can correct labels, values, and confidence ratings.</w:t>
      </w:r>
    </w:p>
    <w:p w14:paraId="2D60C88B" w14:textId="77777777" w:rsidR="002D400C" w:rsidRDefault="00000000">
      <w:pPr>
        <w:pStyle w:val="Heading3"/>
      </w:pPr>
      <w:r>
        <w:rPr>
          <w:color w:val="1B365D"/>
        </w:rPr>
        <w:t>LLM-as-Judge Validation</w:t>
      </w:r>
    </w:p>
    <w:p w14:paraId="74FA366A" w14:textId="77777777" w:rsidR="002D400C" w:rsidRDefault="00000000">
      <w:r>
        <w:t>The FA module implements evaluator agents (agent_2_bref_evaluator_*) that score generated reports on content accuracy, completeness, and analytical depth. Reports scoring below the threshold are rejected with specific feedback (issues list, missing sections), triggering a retry loop (maximum 3 attempts). An inconsistency detection override corrects cases where feedback text is positive but accepted=false.</w:t>
      </w:r>
    </w:p>
    <w:p w14:paraId="3E066A02" w14:textId="77777777" w:rsidR="002D400C" w:rsidRDefault="00000000">
      <w:pPr>
        <w:pStyle w:val="Heading3"/>
      </w:pPr>
      <w:r>
        <w:rPr>
          <w:color w:val="1B365D"/>
        </w:rPr>
        <w:t>Table Structure Validation</w:t>
      </w:r>
    </w:p>
    <w:p w14:paraId="171D9EFA" w14:textId="77777777" w:rsidR="002D400C" w:rsidRDefault="00000000">
      <w:r>
        <w:t>The scanner validates extracted content at the structural level: _has_table_structure() requires at least 5 rows matching the financial table regex pattern (label followed by 2+ numeric values). The page validator additionally uses LLM confirmation with is_actual_statement and confidence fields.</w:t>
      </w:r>
    </w:p>
    <w:p w14:paraId="6668A4E6" w14:textId="77777777" w:rsidR="002D400C" w:rsidRDefault="00000000">
      <w:pPr>
        <w:pStyle w:val="Heading3"/>
      </w:pPr>
      <w:r>
        <w:rPr>
          <w:color w:val="1B365D"/>
        </w:rPr>
        <w:t>JSON Response Integrity</w:t>
      </w:r>
    </w:p>
    <w:p w14:paraId="578B01B7" w14:textId="77777777" w:rsidR="002D400C" w:rsidRDefault="00000000">
      <w:r>
        <w:t>LLM responses undergo multi-stage repair: markdown code block extraction, trailing comma removal, regex-based reconstruction of partial JSON from complete mapping entries, and clean_excessive_decimals() to prevent floating-point artefacts.</w:t>
      </w:r>
    </w:p>
    <w:p w14:paraId="0ACDB47B" w14:textId="77777777" w:rsidR="002D400C" w:rsidRDefault="00000000">
      <w:r>
        <w:br w:type="page"/>
      </w:r>
    </w:p>
    <w:p w14:paraId="109194D9" w14:textId="77777777" w:rsidR="002D400C" w:rsidRDefault="00000000">
      <w:pPr>
        <w:pStyle w:val="Heading1"/>
      </w:pPr>
      <w:r>
        <w:rPr>
          <w:color w:val="1B365D"/>
        </w:rPr>
        <w:lastRenderedPageBreak/>
        <w:t>4. Experiments and Results</w:t>
      </w:r>
    </w:p>
    <w:p w14:paraId="3C080B38" w14:textId="77777777" w:rsidR="002D400C" w:rsidRDefault="00000000">
      <w:pPr>
        <w:pStyle w:val="Heading2"/>
      </w:pPr>
      <w:r>
        <w:rPr>
          <w:color w:val="1B365D"/>
        </w:rPr>
        <w:t>4.1 Description of Experiments</w:t>
      </w:r>
    </w:p>
    <w:p w14:paraId="1BA33AA3" w14:textId="77777777" w:rsidR="002D400C" w:rsidRDefault="00000000">
      <w:r>
        <w:t>The pipeline has been tested across the three regional workstreams with the following experimental configurations:</w:t>
      </w:r>
    </w:p>
    <w:p w14:paraId="600D4A24" w14:textId="77777777" w:rsidR="002D400C" w:rsidRDefault="00000000">
      <w:pPr>
        <w:pStyle w:val="Heading3"/>
      </w:pPr>
      <w:r>
        <w:rPr>
          <w:color w:val="1B365D"/>
        </w:rPr>
        <w:t>Experiment 1: PDF Extraction Accuracy (APAC)</w:t>
      </w:r>
    </w:p>
    <w:p w14:paraId="78E2397E" w14:textId="77777777" w:rsidR="002D400C" w:rsidRDefault="00000000">
      <w:r>
        <w:t>Objective: Evaluate pdfplumber extraction accuracy on HKEX annual reports with varying complexity (standard layout, landscape orientation, mixed English/Chinese, CID-encoded PDFs).</w:t>
      </w:r>
    </w:p>
    <w:p w14:paraId="19C47EA0" w14:textId="77777777" w:rsidR="002D400C" w:rsidRDefault="00000000">
      <w:r>
        <w:t>Method: Process a corpus of HKEX annual reports ranging from 50 to 400+ pages. Measure successful automatic page detection rate, extraction completeness (percentage of BREF fields populated), and the frequency of vision fallback activation.</w:t>
      </w:r>
    </w:p>
    <w:p w14:paraId="223A90AD" w14:textId="77777777" w:rsidR="002D400C" w:rsidRDefault="00000000">
      <w:pPr>
        <w:pStyle w:val="Heading3"/>
      </w:pPr>
      <w:r>
        <w:rPr>
          <w:color w:val="1B365D"/>
        </w:rPr>
        <w:t>Experiment 2: XBRL Concept Coverage (EMEA)</w:t>
      </w:r>
    </w:p>
    <w:p w14:paraId="3BCCFA70" w14:textId="77777777" w:rsidR="002D400C" w:rsidRDefault="00000000">
      <w:r>
        <w:t>Objective: Assess the coverage of the IFRS_CONCEPT_LABELS mapping (100+ concepts) against actual IFRS filings from European issuers.</w:t>
      </w:r>
    </w:p>
    <w:p w14:paraId="41B0805E" w14:textId="77777777" w:rsidR="002D400C" w:rsidRDefault="00000000">
      <w:r>
        <w:t>Method: Retrieve filings for a sample of companies via LEI lookup and measure the percentage of BREF fields that can be populated directly from XBRL facts versus those requiring custom mapping overrides via xbrl_mapping_config.json.</w:t>
      </w:r>
    </w:p>
    <w:p w14:paraId="2B395C48" w14:textId="77777777" w:rsidR="002D400C" w:rsidRDefault="00000000">
      <w:pPr>
        <w:pStyle w:val="Heading3"/>
      </w:pPr>
      <w:r>
        <w:rPr>
          <w:color w:val="1B365D"/>
        </w:rPr>
        <w:t>Experiment 3: EDGAR Scale Normalisation (AMER)</w:t>
      </w:r>
    </w:p>
    <w:p w14:paraId="52961098" w14:textId="77777777" w:rsidR="002D400C" w:rsidRDefault="00000000">
      <w:r>
        <w:t>Objective: Validate the per-row scale detection and normalisation logic for SEC EDGAR XBRL data, where different line items may report in different scales within the same filing.</w:t>
      </w:r>
    </w:p>
    <w:p w14:paraId="62077A46" w14:textId="77777777" w:rsidR="002D400C" w:rsidRDefault="00000000">
      <w:r>
        <w:t>Method: Process 10-K filings from companies with mixed-scale reporting. Verify that _build_concept_to_scale_map() correctly maps decimals values (-6, -3, 0) to scaling factors and that _apply_row_level_scaling() produces consistent units across all line items.</w:t>
      </w:r>
    </w:p>
    <w:p w14:paraId="53EAAE37" w14:textId="77777777" w:rsidR="002D400C" w:rsidRDefault="00000000">
      <w:pPr>
        <w:pStyle w:val="Heading3"/>
      </w:pPr>
      <w:r>
        <w:rPr>
          <w:color w:val="1B365D"/>
        </w:rPr>
        <w:t>Experiment 4: Multi-Agent Analysis Quality (FA)</w:t>
      </w:r>
    </w:p>
    <w:p w14:paraId="6D2A4533" w14:textId="77777777" w:rsidR="002D400C" w:rsidRDefault="00000000">
      <w:r>
        <w:t>Objective: Evaluate the quality and consistency of LLM-generated financial analysis reports produced by the LangGraph multi-agent system.</w:t>
      </w:r>
    </w:p>
    <w:p w14:paraId="09ADB1D6" w14:textId="77777777" w:rsidR="002D400C" w:rsidRDefault="00000000">
      <w:r>
        <w:t>Method: Run the full pipeline (extraction → mapping → summary → FA) for multiple companies. Measure evaluator acceptance rate on first attempt, average retry count, and final report quality assessed by credit analysts.</w:t>
      </w:r>
    </w:p>
    <w:p w14:paraId="FA040001" w14:textId="77777777" w:rsidR="00FA0004" w:rsidRDefault="00000000">
      <w:pPr>
        <w:pStyle w:val="Heading3"/>
      </w:pPr>
      <w:r>
        <w:rPr>
          <w:color w:val="1B365D"/>
        </w:rPr>
        <w:t>Experiment 5: FA Iteration Progress &amp; Quality Trajectory</w:t>
      </w:r>
    </w:p>
    <w:p w14:paraId="FA040002" w14:textId="77777777" w:rsidR="00FA0004" w:rsidRDefault="00000000">
      <w:r>
        <w:t>Objective: Track the quality progression of the Financial Analysis multi-agent system across iterative development cycles, measuring P&amp;L, Cash Flow, and Balance Sheet section scores against CPRM qualitative benchmarks.</w:t>
      </w:r>
    </w:p>
    <w:p w14:paraId="FA040003" w14:textId="77777777" w:rsidR="00FA0004" w:rsidRDefault="00000000">
      <w:r>
        <w:t>The following table summarises results across all completed and in-progress iterations:</w:t>
      </w:r>
    </w:p>
    <w:tbl>
      <w:tblPr>
        <w:tblStyle w:val="TableGrid"/>
        <w:tblW w:w="0" w:type="auto"/>
        <w:jc w:val="center"/>
        <w:tblLook w:val="04A0" w:firstRow="1" w:lastRow="0" w:firstColumn="1" w:lastColumn="0" w:noHBand="0" w:noVBand="1"/>
      </w:tblPr>
      <w:tblGrid>
        <w:gridCol w:w="850"/>
        <w:gridCol w:w="2551"/>
        <w:gridCol w:w="1417"/>
        <w:gridCol w:w="850"/>
        <w:gridCol w:w="1134"/>
        <w:gridCol w:w="1417"/>
        <w:gridCol w:w="850"/>
      </w:tblGrid>
      <w:tr w:rsidR="00FA0004" w14:paraId="FA040T01" w14:textId="77777777">
        <w:tc>
          <w:tcPr>
            <w:tcW w:w="850" w:type="dxa"/>
            <w:shd w:val="clear" w:color="auto" w:fill="00965E"/>
          </w:tcPr>
          <w:p w14:paraId="FA040T02" w14:textId="77777777" w:rsidR="00FA0004" w:rsidRDefault="00000000">
            <w:r>
              <w:rPr>
                <w:b/>
                <w:color w:val="FFFFFF"/>
                <w:sz w:val="18"/>
              </w:rPr>
              <w:t>Iteration</w:t>
            </w:r>
          </w:p>
        </w:tc>
        <w:tc>
          <w:tcPr>
            <w:tcW w:w="2551" w:type="dxa"/>
            <w:shd w:val="clear" w:color="auto" w:fill="00965E"/>
          </w:tcPr>
          <w:p w14:paraId="FA040T03" w14:textId="77777777" w:rsidR="00FA0004" w:rsidRDefault="00000000">
            <w:r>
              <w:rPr>
                <w:b/>
                <w:color w:val="FFFFFF"/>
                <w:sz w:val="18"/>
              </w:rPr>
              <w:t>Method</w:t>
            </w:r>
          </w:p>
        </w:tc>
        <w:tc>
          <w:tcPr>
            <w:tcW w:w="1417" w:type="dxa"/>
            <w:shd w:val="clear" w:color="auto" w:fill="00965E"/>
          </w:tcPr>
          <w:p w14:paraId="FA040T04" w14:textId="77777777" w:rsidR="00FA0004" w:rsidRDefault="00000000">
            <w:r>
              <w:rPr>
                <w:b/>
                <w:color w:val="FFFFFF"/>
                <w:sz w:val="18"/>
              </w:rPr>
              <w:t>LLM</w:t>
            </w:r>
          </w:p>
        </w:tc>
        <w:tc>
          <w:tcPr>
            <w:tcW w:w="850" w:type="dxa"/>
            <w:shd w:val="clear" w:color="auto" w:fill="00965E"/>
          </w:tcPr>
          <w:p w14:paraId="FA040T05" w14:textId="77777777" w:rsidR="00FA0004" w:rsidRDefault="00000000">
            <w:r>
              <w:rPr>
                <w:b/>
                <w:color w:val="FFFFFF"/>
                <w:sz w:val="18"/>
              </w:rPr>
              <w:t>P&amp;L</w:t>
            </w:r>
          </w:p>
        </w:tc>
        <w:tc>
          <w:tcPr>
            <w:tcW w:w="1134" w:type="dxa"/>
            <w:shd w:val="clear" w:color="auto" w:fill="00965E"/>
          </w:tcPr>
          <w:p w14:paraId="FA040T06" w14:textId="77777777" w:rsidR="00FA0004" w:rsidRDefault="00000000">
            <w:r>
              <w:rPr>
                <w:b/>
                <w:color w:val="FFFFFF"/>
                <w:sz w:val="18"/>
              </w:rPr>
              <w:t>Cash Flow</w:t>
            </w:r>
          </w:p>
        </w:tc>
        <w:tc>
          <w:tcPr>
            <w:tcW w:w="1417" w:type="dxa"/>
            <w:shd w:val="clear" w:color="auto" w:fill="00965E"/>
          </w:tcPr>
          <w:p w14:paraId="FA040T07" w14:textId="77777777" w:rsidR="00FA0004" w:rsidRDefault="00000000">
            <w:r>
              <w:rPr>
                <w:b/>
                <w:color w:val="FFFFFF"/>
                <w:sz w:val="18"/>
              </w:rPr>
              <w:t>Balance Sheet</w:t>
            </w:r>
          </w:p>
        </w:tc>
        <w:tc>
          <w:tcPr>
            <w:tcW w:w="850" w:type="dxa"/>
            <w:shd w:val="clear" w:color="auto" w:fill="00965E"/>
          </w:tcPr>
          <w:p w14:paraId="FA040T08" w14:textId="77777777" w:rsidR="00FA0004" w:rsidRDefault="00000000">
            <w:r>
              <w:rPr>
                <w:b/>
                <w:color w:val="FFFFFF"/>
                <w:sz w:val="18"/>
              </w:rPr>
              <w:t>Status</w:t>
            </w:r>
          </w:p>
        </w:tc>
      </w:tr>
      <w:tr w:rsidR="00FA0004" w14:paraId="FA040T09" w14:textId="77777777">
        <w:tc>
          <w:tcPr>
            <w:tcW w:w="850" w:type="dxa"/>
          </w:tcPr>
          <w:p w14:paraId="FA040T0A" w14:textId="77777777" w:rsidR="00FA0004" w:rsidRDefault="00000000">
            <w:r>
              <w:rPr>
                <w:sz w:val="18"/>
              </w:rPr>
              <w:t>Iter. 1</w:t>
            </w:r>
          </w:p>
        </w:tc>
        <w:tc>
          <w:tcPr>
            <w:tcW w:w="2551" w:type="dxa"/>
          </w:tcPr>
          <w:p w14:paraId="FA040T0B" w14:textId="77777777" w:rsidR="00FA0004" w:rsidRDefault="00000000">
            <w:r>
              <w:rPr>
                <w:sz w:val="18"/>
              </w:rPr>
              <w:t>Multi LLM Calls</w:t>
            </w:r>
          </w:p>
        </w:tc>
        <w:tc>
          <w:tcPr>
            <w:tcW w:w="1417" w:type="dxa"/>
          </w:tcPr>
          <w:p w14:paraId="FA040T0C" w14:textId="77777777" w:rsidR="00FA0004" w:rsidRDefault="00000000">
            <w:r>
              <w:rPr>
                <w:sz w:val="18"/>
              </w:rPr>
              <w:t>Gemma3/Qwen3</w:t>
            </w:r>
          </w:p>
        </w:tc>
        <w:tc>
          <w:tcPr>
            <w:tcW w:w="850" w:type="dxa"/>
          </w:tcPr>
          <w:p w14:paraId="FA040T0D" w14:textId="77777777" w:rsidR="00FA0004" w:rsidRDefault="00000000">
            <w:r>
              <w:rPr>
                <w:sz w:val="18"/>
              </w:rPr>
              <w:t>25%</w:t>
            </w:r>
          </w:p>
        </w:tc>
        <w:tc>
          <w:tcPr>
            <w:tcW w:w="1134" w:type="dxa"/>
          </w:tcPr>
          <w:p w14:paraId="FA040T0E" w14:textId="77777777" w:rsidR="00FA0004" w:rsidRDefault="00000000">
            <w:r>
              <w:rPr>
                <w:sz w:val="18"/>
              </w:rPr>
              <w:t>N/A</w:t>
            </w:r>
          </w:p>
        </w:tc>
        <w:tc>
          <w:tcPr>
            <w:tcW w:w="1417" w:type="dxa"/>
          </w:tcPr>
          <w:p w14:paraId="FA040T0F" w14:textId="77777777" w:rsidR="00FA0004" w:rsidRDefault="00000000">
            <w:r>
              <w:rPr>
                <w:sz w:val="18"/>
              </w:rPr>
              <w:t>N/A</w:t>
            </w:r>
          </w:p>
        </w:tc>
        <w:tc>
          <w:tcPr>
            <w:tcW w:w="850" w:type="dxa"/>
          </w:tcPr>
          <w:p w14:paraId="FA040T10" w14:textId="77777777" w:rsidR="00FA0004" w:rsidRDefault="00000000">
            <w:r>
              <w:rPr>
                <w:sz w:val="18"/>
              </w:rPr>
              <w:t>Complete</w:t>
            </w:r>
          </w:p>
        </w:tc>
      </w:tr>
      <w:tr w:rsidR="00FA0004" w14:paraId="FA040T11" w14:textId="77777777">
        <w:tc>
          <w:tcPr>
            <w:tcW w:w="850" w:type="dxa"/>
            <w:shd w:val="clear" w:color="auto" w:fill="E8F5E9"/>
          </w:tcPr>
          <w:p w14:paraId="FA040T12" w14:textId="77777777" w:rsidR="00FA0004" w:rsidRDefault="00000000">
            <w:r>
              <w:rPr>
                <w:sz w:val="18"/>
              </w:rPr>
              <w:t>Iter. 2</w:t>
            </w:r>
          </w:p>
        </w:tc>
        <w:tc>
          <w:tcPr>
            <w:tcW w:w="2551" w:type="dxa"/>
            <w:shd w:val="clear" w:color="auto" w:fill="E8F5E9"/>
          </w:tcPr>
          <w:p w14:paraId="FA040T13" w14:textId="77777777" w:rsidR="00FA0004" w:rsidRDefault="00000000">
            <w:r>
              <w:rPr>
                <w:sz w:val="18"/>
              </w:rPr>
              <w:t>Multi-Agent</w:t>
            </w:r>
          </w:p>
        </w:tc>
        <w:tc>
          <w:tcPr>
            <w:tcW w:w="1417" w:type="dxa"/>
            <w:shd w:val="clear" w:color="auto" w:fill="E8F5E9"/>
          </w:tcPr>
          <w:p w14:paraId="FA040T14" w14:textId="77777777" w:rsidR="00FA0004" w:rsidRDefault="00000000">
            <w:r>
              <w:rPr>
                <w:sz w:val="18"/>
              </w:rPr>
              <w:t>Gemini 2.5 Pro</w:t>
            </w:r>
          </w:p>
        </w:tc>
        <w:tc>
          <w:tcPr>
            <w:tcW w:w="850" w:type="dxa"/>
            <w:shd w:val="clear" w:color="auto" w:fill="E8F5E9"/>
          </w:tcPr>
          <w:p w14:paraId="FA040T15" w14:textId="77777777" w:rsidR="00FA0004" w:rsidRDefault="00000000">
            <w:r>
              <w:rPr>
                <w:sz w:val="18"/>
              </w:rPr>
              <w:t>40%</w:t>
            </w:r>
          </w:p>
        </w:tc>
        <w:tc>
          <w:tcPr>
            <w:tcW w:w="1134" w:type="dxa"/>
            <w:shd w:val="clear" w:color="auto" w:fill="E8F5E9"/>
          </w:tcPr>
          <w:p w14:paraId="FA040T16" w14:textId="77777777" w:rsidR="00FA0004" w:rsidRDefault="00000000">
            <w:r>
              <w:rPr>
                <w:sz w:val="18"/>
              </w:rPr>
              <w:t>N/A</w:t>
            </w:r>
          </w:p>
        </w:tc>
        <w:tc>
          <w:tcPr>
            <w:tcW w:w="1417" w:type="dxa"/>
            <w:shd w:val="clear" w:color="auto" w:fill="E8F5E9"/>
          </w:tcPr>
          <w:p w14:paraId="FA040T17" w14:textId="77777777" w:rsidR="00FA0004" w:rsidRDefault="00000000">
            <w:r>
              <w:rPr>
                <w:sz w:val="18"/>
              </w:rPr>
              <w:t>N/A</w:t>
            </w:r>
          </w:p>
        </w:tc>
        <w:tc>
          <w:tcPr>
            <w:tcW w:w="850" w:type="dxa"/>
            <w:shd w:val="clear" w:color="auto" w:fill="E8F5E9"/>
          </w:tcPr>
          <w:p w14:paraId="FA040T18" w14:textId="77777777" w:rsidR="00FA0004" w:rsidRDefault="00000000">
            <w:r>
              <w:rPr>
                <w:sz w:val="18"/>
              </w:rPr>
              <w:t>Complete</w:t>
            </w:r>
          </w:p>
        </w:tc>
      </w:tr>
      <w:tr w:rsidR="00FA0004" w14:paraId="FA040T19" w14:textId="77777777">
        <w:tc>
          <w:tcPr>
            <w:tcW w:w="850" w:type="dxa"/>
          </w:tcPr>
          <w:p w14:paraId="FA040T1A" w14:textId="77777777" w:rsidR="00FA0004" w:rsidRDefault="00000000">
            <w:r>
              <w:rPr>
                <w:sz w:val="18"/>
              </w:rPr>
              <w:t>Iter. 3</w:t>
            </w:r>
          </w:p>
        </w:tc>
        <w:tc>
          <w:tcPr>
            <w:tcW w:w="2551" w:type="dxa"/>
          </w:tcPr>
          <w:p w14:paraId="FA040T1B" w14:textId="77777777" w:rsidR="00FA0004" w:rsidRDefault="00000000">
            <w:r>
              <w:rPr>
                <w:sz w:val="18"/>
              </w:rPr>
              <w:t>Multi-Agent + Evaluation Scores</w:t>
            </w:r>
          </w:p>
        </w:tc>
        <w:tc>
          <w:tcPr>
            <w:tcW w:w="1417" w:type="dxa"/>
          </w:tcPr>
          <w:p w14:paraId="FA040T1C" w14:textId="77777777" w:rsidR="00FA0004" w:rsidRDefault="00000000">
            <w:r>
              <w:rPr>
                <w:sz w:val="18"/>
              </w:rPr>
              <w:t>Gemini 2.5 Pro</w:t>
            </w:r>
          </w:p>
        </w:tc>
        <w:tc>
          <w:tcPr>
            <w:tcW w:w="850" w:type="dxa"/>
          </w:tcPr>
          <w:p w14:paraId="FA040T1D" w14:textId="77777777" w:rsidR="00FA0004" w:rsidRDefault="00000000">
            <w:r>
              <w:rPr>
                <w:sz w:val="18"/>
              </w:rPr>
              <w:t>35%</w:t>
            </w:r>
          </w:p>
        </w:tc>
        <w:tc>
          <w:tcPr>
            <w:tcW w:w="1134" w:type="dxa"/>
          </w:tcPr>
          <w:p w14:paraId="FA040T1E" w14:textId="77777777" w:rsidR="00FA0004" w:rsidRDefault="00000000">
            <w:r>
              <w:rPr>
                <w:sz w:val="18"/>
              </w:rPr>
              <w:t>35%</w:t>
            </w:r>
          </w:p>
        </w:tc>
        <w:tc>
          <w:tcPr>
            <w:tcW w:w="1417" w:type="dxa"/>
          </w:tcPr>
          <w:p w14:paraId="FA040T1F" w14:textId="77777777" w:rsidR="00FA0004" w:rsidRDefault="00000000">
            <w:r>
              <w:rPr>
                <w:sz w:val="18"/>
              </w:rPr>
              <w:t>35%</w:t>
            </w:r>
          </w:p>
        </w:tc>
        <w:tc>
          <w:tcPr>
            <w:tcW w:w="850" w:type="dxa"/>
          </w:tcPr>
          <w:p w14:paraId="FA040T20" w14:textId="77777777" w:rsidR="00FA0004" w:rsidRDefault="00000000">
            <w:r>
              <w:rPr>
                <w:sz w:val="18"/>
              </w:rPr>
              <w:t>Complete</w:t>
            </w:r>
          </w:p>
        </w:tc>
      </w:tr>
      <w:tr w:rsidR="00FA0004" w14:paraId="FA040T21" w14:textId="77777777">
        <w:tc>
          <w:tcPr>
            <w:tcW w:w="850" w:type="dxa"/>
            <w:shd w:val="clear" w:color="auto" w:fill="E8F5E9"/>
          </w:tcPr>
          <w:p w14:paraId="FA040T22" w14:textId="77777777" w:rsidR="00FA0004" w:rsidRDefault="00000000">
            <w:r>
              <w:rPr>
                <w:sz w:val="18"/>
              </w:rPr>
              <w:t>Iter. 4</w:t>
            </w:r>
          </w:p>
        </w:tc>
        <w:tc>
          <w:tcPr>
            <w:tcW w:w="2551" w:type="dxa"/>
            <w:shd w:val="clear" w:color="auto" w:fill="E8F5E9"/>
          </w:tcPr>
          <w:p w14:paraId="FA040T23" w14:textId="77777777" w:rsidR="00FA0004" w:rsidRDefault="00000000">
            <w:r>
              <w:rPr>
                <w:sz w:val="18"/>
              </w:rPr>
              <w:t>Agentic AI — Subagents, Evaluators, Summarizers</w:t>
            </w:r>
          </w:p>
        </w:tc>
        <w:tc>
          <w:tcPr>
            <w:tcW w:w="1417" w:type="dxa"/>
            <w:shd w:val="clear" w:color="auto" w:fill="E8F5E9"/>
          </w:tcPr>
          <w:p w14:paraId="FA040T24" w14:textId="77777777" w:rsidR="00FA0004" w:rsidRDefault="00000000">
            <w:r>
              <w:rPr>
                <w:sz w:val="18"/>
              </w:rPr>
              <w:t>GPT 4.1</w:t>
            </w:r>
          </w:p>
        </w:tc>
        <w:tc>
          <w:tcPr>
            <w:tcW w:w="850" w:type="dxa"/>
            <w:shd w:val="clear" w:color="auto" w:fill="E8F5E9"/>
          </w:tcPr>
          <w:p w14:paraId="FA040T25" w14:textId="77777777" w:rsidR="00FA0004" w:rsidRDefault="00000000">
            <w:r>
              <w:rPr>
                <w:sz w:val="18"/>
              </w:rPr>
              <w:t>55%</w:t>
            </w:r>
          </w:p>
        </w:tc>
        <w:tc>
          <w:tcPr>
            <w:tcW w:w="1134" w:type="dxa"/>
            <w:shd w:val="clear" w:color="auto" w:fill="E8F5E9"/>
          </w:tcPr>
          <w:p w14:paraId="FA040T26" w14:textId="77777777" w:rsidR="00FA0004" w:rsidRDefault="00000000">
            <w:r>
              <w:rPr>
                <w:sz w:val="18"/>
              </w:rPr>
              <w:t>TBA</w:t>
            </w:r>
          </w:p>
        </w:tc>
        <w:tc>
          <w:tcPr>
            <w:tcW w:w="1417" w:type="dxa"/>
            <w:shd w:val="clear" w:color="auto" w:fill="E8F5E9"/>
          </w:tcPr>
          <w:p w14:paraId="FA040T27" w14:textId="77777777" w:rsidR="00FA0004" w:rsidRDefault="00000000">
            <w:r>
              <w:rPr>
                <w:sz w:val="18"/>
              </w:rPr>
              <w:t>~55%</w:t>
            </w:r>
          </w:p>
        </w:tc>
        <w:tc>
          <w:tcPr>
            <w:tcW w:w="850" w:type="dxa"/>
            <w:shd w:val="clear" w:color="auto" w:fill="E8F5E9"/>
          </w:tcPr>
          <w:p w14:paraId="FA040T28" w14:textId="77777777" w:rsidR="00FA0004" w:rsidRDefault="00000000">
            <w:r>
              <w:rPr>
                <w:sz w:val="18"/>
              </w:rPr>
              <w:t>Complete</w:t>
            </w:r>
          </w:p>
        </w:tc>
      </w:tr>
      <w:tr w:rsidR="00FA0004" w14:paraId="FA040T29" w14:textId="77777777">
        <w:tc>
          <w:tcPr>
            <w:tcW w:w="850" w:type="dxa"/>
          </w:tcPr>
          <w:p w14:paraId="FA040T2A" w14:textId="77777777" w:rsidR="00FA0004" w:rsidRDefault="00000000">
            <w:r>
              <w:rPr>
                <w:sz w:val="18"/>
              </w:rPr>
              <w:t>Iter. 5</w:t>
            </w:r>
          </w:p>
        </w:tc>
        <w:tc>
          <w:tcPr>
            <w:tcW w:w="2551" w:type="dxa"/>
          </w:tcPr>
          <w:p w14:paraId="FA040T2B" w14:textId="77777777" w:rsidR="00FA0004" w:rsidRDefault="00000000">
            <w:r>
              <w:rPr>
                <w:sz w:val="18"/>
              </w:rPr>
              <w:t>Agentic AI + Waterfall Dependency Reasoning</w:t>
            </w:r>
          </w:p>
        </w:tc>
        <w:tc>
          <w:tcPr>
            <w:tcW w:w="1417" w:type="dxa"/>
          </w:tcPr>
          <w:p w14:paraId="FA040T2C" w14:textId="77777777" w:rsidR="00FA0004" w:rsidRDefault="00000000">
            <w:r>
              <w:rPr>
                <w:sz w:val="18"/>
              </w:rPr>
              <w:t>GPT 5.5</w:t>
            </w:r>
          </w:p>
        </w:tc>
        <w:tc>
          <w:tcPr>
            <w:tcW w:w="850" w:type="dxa"/>
          </w:tcPr>
          <w:p w14:paraId="FA040T2D" w14:textId="77777777" w:rsidR="00FA0004" w:rsidRDefault="00000000">
            <w:r>
              <w:rPr>
                <w:sz w:val="18"/>
              </w:rPr>
              <w:t>Under Assessment</w:t>
            </w:r>
          </w:p>
        </w:tc>
        <w:tc>
          <w:tcPr>
            <w:tcW w:w="1134" w:type="dxa"/>
          </w:tcPr>
          <w:p w14:paraId="FA040T2E" w14:textId="77777777" w:rsidR="00FA0004" w:rsidRDefault="00000000">
            <w:r>
              <w:rPr>
                <w:sz w:val="18"/>
              </w:rPr>
              <w:t>Under Assessment</w:t>
            </w:r>
          </w:p>
        </w:tc>
        <w:tc>
          <w:tcPr>
            <w:tcW w:w="1417" w:type="dxa"/>
          </w:tcPr>
          <w:p w14:paraId="FA040T2F" w14:textId="77777777" w:rsidR="00FA0004" w:rsidRDefault="00000000">
            <w:r>
              <w:rPr>
                <w:sz w:val="18"/>
              </w:rPr>
              <w:t>Under Assessment</w:t>
            </w:r>
          </w:p>
        </w:tc>
        <w:tc>
          <w:tcPr>
            <w:tcW w:w="850" w:type="dxa"/>
          </w:tcPr>
          <w:p w14:paraId="FA040T30" w14:textId="77777777" w:rsidR="00FA0004" w:rsidRDefault="00000000">
            <w:r>
              <w:rPr>
                <w:sz w:val="18"/>
              </w:rPr>
              <w:t>Complete</w:t>
            </w:r>
          </w:p>
        </w:tc>
      </w:tr>
      <w:tr w:rsidR="00FA0004" w14:paraId="FA040T31" w14:textId="77777777">
        <w:tc>
          <w:tcPr>
            <w:tcW w:w="850" w:type="dxa"/>
            <w:shd w:val="clear" w:color="auto" w:fill="E8F5E9"/>
          </w:tcPr>
          <w:p w14:paraId="FA040T32" w14:textId="77777777" w:rsidR="00FA0004" w:rsidRDefault="00000000">
            <w:r>
              <w:rPr>
                <w:sz w:val="18"/>
              </w:rPr>
              <w:t>Iter. 6</w:t>
            </w:r>
          </w:p>
        </w:tc>
        <w:tc>
          <w:tcPr>
            <w:tcW w:w="2551" w:type="dxa"/>
            <w:shd w:val="clear" w:color="auto" w:fill="E8F5E9"/>
          </w:tcPr>
          <w:p w14:paraId="FA040T33" w14:textId="77777777" w:rsidR="00FA0004" w:rsidRDefault="00000000">
            <w:r>
              <w:rPr>
                <w:sz w:val="18"/>
              </w:rPr>
              <w:t>Single Sr. Credit Analyst (Consolidated)</w:t>
            </w:r>
          </w:p>
        </w:tc>
        <w:tc>
          <w:tcPr>
            <w:tcW w:w="1417" w:type="dxa"/>
            <w:shd w:val="clear" w:color="auto" w:fill="E8F5E9"/>
          </w:tcPr>
          <w:p w14:paraId="FA040T34" w14:textId="77777777" w:rsidR="00FA0004" w:rsidRDefault="00000000">
            <w:r>
              <w:rPr>
                <w:sz w:val="18"/>
              </w:rPr>
              <w:t>GPT 5.5</w:t>
            </w:r>
          </w:p>
        </w:tc>
        <w:tc>
          <w:tcPr>
            <w:tcW w:w="850" w:type="dxa"/>
            <w:shd w:val="clear" w:color="auto" w:fill="E8F5E9"/>
          </w:tcPr>
          <w:p w14:paraId="FA040T35" w14:textId="77777777" w:rsidR="00FA0004" w:rsidRDefault="00000000">
            <w:r>
              <w:rPr>
                <w:sz w:val="18"/>
              </w:rPr>
              <w:t>Under Assessment</w:t>
            </w:r>
          </w:p>
        </w:tc>
        <w:tc>
          <w:tcPr>
            <w:tcW w:w="1134" w:type="dxa"/>
            <w:shd w:val="clear" w:color="auto" w:fill="E8F5E9"/>
          </w:tcPr>
          <w:p w14:paraId="FA040T36" w14:textId="77777777" w:rsidR="00FA0004" w:rsidRDefault="00000000">
            <w:r>
              <w:rPr>
                <w:sz w:val="18"/>
              </w:rPr>
              <w:t>Under Assessment</w:t>
            </w:r>
          </w:p>
        </w:tc>
        <w:tc>
          <w:tcPr>
            <w:tcW w:w="1417" w:type="dxa"/>
            <w:shd w:val="clear" w:color="auto" w:fill="E8F5E9"/>
          </w:tcPr>
          <w:p w14:paraId="FA040T37" w14:textId="77777777" w:rsidR="00FA0004" w:rsidRDefault="00000000">
            <w:r>
              <w:rPr>
                <w:sz w:val="18"/>
              </w:rPr>
              <w:t>Under Assessment</w:t>
            </w:r>
          </w:p>
        </w:tc>
        <w:tc>
          <w:tcPr>
            <w:tcW w:w="850" w:type="dxa"/>
            <w:shd w:val="clear" w:color="auto" w:fill="E8F5E9"/>
          </w:tcPr>
          <w:p w14:paraId="FA040T38" w14:textId="77777777" w:rsidR="00FA0004" w:rsidRDefault="00000000">
            <w:r>
              <w:rPr>
                <w:sz w:val="18"/>
              </w:rPr>
              <w:t>Complete</w:t>
            </w:r>
          </w:p>
        </w:tc>
      </w:tr>
      <w:tr w:rsidR="00FA0004" w14:paraId="FA040T39" w14:textId="77777777">
        <w:tc>
          <w:tcPr>
            <w:tcW w:w="850" w:type="dxa"/>
          </w:tcPr>
          <w:p w14:paraId="FA040T3A" w14:textId="77777777" w:rsidR="00FA0004" w:rsidRDefault="00000000">
            <w:r>
              <w:rPr>
                <w:sz w:val="18"/>
              </w:rPr>
              <w:t>Iter. 7</w:t>
            </w:r>
          </w:p>
        </w:tc>
        <w:tc>
          <w:tcPr>
            <w:tcW w:w="2551" w:type="dxa"/>
          </w:tcPr>
          <w:p w14:paraId="FA040T3B" w14:textId="77777777" w:rsidR="00FA0004" w:rsidRDefault="00000000">
            <w:r>
              <w:rPr>
                <w:sz w:val="18"/>
              </w:rPr>
              <w:t>Iter. 6 + Context Filter + Compression + Writer Agent</w:t>
            </w:r>
          </w:p>
        </w:tc>
        <w:tc>
          <w:tcPr>
            <w:tcW w:w="1417" w:type="dxa"/>
          </w:tcPr>
          <w:p w14:paraId="FA040T3C" w14:textId="77777777" w:rsidR="00FA0004" w:rsidRDefault="00000000">
            <w:r>
              <w:rPr>
                <w:sz w:val="18"/>
              </w:rPr>
              <w:t>GPT 5.5</w:t>
            </w:r>
          </w:p>
        </w:tc>
        <w:tc>
          <w:tcPr>
            <w:tcW w:w="850" w:type="dxa"/>
          </w:tcPr>
          <w:p w14:paraId="FA040T3D" w14:textId="77777777" w:rsidR="00FA0004" w:rsidRDefault="00000000">
            <w:r>
              <w:rPr>
                <w:sz w:val="18"/>
              </w:rPr>
              <w:t>In Progress</w:t>
            </w:r>
          </w:p>
        </w:tc>
        <w:tc>
          <w:tcPr>
            <w:tcW w:w="1134" w:type="dxa"/>
          </w:tcPr>
          <w:p w14:paraId="FA040T3E" w14:textId="77777777" w:rsidR="00FA0004" w:rsidRDefault="00000000">
            <w:r>
              <w:rPr>
                <w:sz w:val="18"/>
              </w:rPr>
              <w:t>In Progress</w:t>
            </w:r>
          </w:p>
        </w:tc>
        <w:tc>
          <w:tcPr>
            <w:tcW w:w="1417" w:type="dxa"/>
          </w:tcPr>
          <w:p w14:paraId="FA040T3F" w14:textId="77777777" w:rsidR="00FA0004" w:rsidRDefault="00000000">
            <w:r>
              <w:rPr>
                <w:sz w:val="18"/>
              </w:rPr>
              <w:t>In Progress</w:t>
            </w:r>
          </w:p>
        </w:tc>
        <w:tc>
          <w:tcPr>
            <w:tcW w:w="850" w:type="dxa"/>
          </w:tcPr>
          <w:p w14:paraId="FA040T40" w14:textId="77777777" w:rsidR="00FA0004" w:rsidRDefault="00000000">
            <w:r>
              <w:rPr>
                <w:sz w:val="18"/>
              </w:rPr>
              <w:t>WIP</w:t>
            </w:r>
          </w:p>
        </w:tc>
      </w:tr>
    </w:tbl>
    <w:p w14:paraId="FA040004" w14:textId="77777777" w:rsidR="00FA0004" w:rsidRDefault="00000000"/>
    <w:p w14:paraId="FA040005" w14:textId="77777777" w:rsidR="00FA0004" w:rsidRDefault="00000000">
      <w:r>
        <w:rPr>
          <w:b/>
        </w:rPr>
        <w:t>Target Performance Trajectory</w:t>
      </w:r>
    </w:p>
    <w:tbl>
      <w:tblPr>
        <w:tblStyle w:val="TableGrid"/>
        <w:tblW w:w="0" w:type="auto"/>
        <w:jc w:val="center"/>
        <w:tblLook w:val="04A0" w:firstRow="1" w:lastRow="0" w:firstColumn="1" w:lastColumn="0" w:noHBand="0" w:noVBand="1"/>
      </w:tblPr>
      <w:tblGrid>
        <w:gridCol w:w="2835"/>
        <w:gridCol w:w="1701"/>
        <w:gridCol w:w="4535"/>
      </w:tblGrid>
      <w:tr w:rsidR="00FA0004" w14:paraId="FA040X01" w14:textId="77777777">
        <w:tc>
          <w:tcPr>
            <w:tcW w:w="2835" w:type="dxa"/>
            <w:shd w:val="clear" w:color="auto" w:fill="00965E"/>
          </w:tcPr>
          <w:p w14:paraId="FA040X02" w14:textId="77777777" w:rsidR="00FA0004" w:rsidRDefault="00000000">
            <w:r>
              <w:rPr>
                <w:b/>
                <w:color w:val="FFFFFF"/>
                <w:sz w:val="18"/>
              </w:rPr>
              <w:t>Quality Threshold</w:t>
            </w:r>
          </w:p>
        </w:tc>
        <w:tc>
          <w:tcPr>
            <w:tcW w:w="1701" w:type="dxa"/>
            <w:shd w:val="clear" w:color="auto" w:fill="00965E"/>
          </w:tcPr>
          <w:p w14:paraId="FA040X03" w14:textId="77777777" w:rsidR="00FA0004" w:rsidRDefault="00000000">
            <w:r>
              <w:rPr>
                <w:b/>
                <w:color w:val="FFFFFF"/>
                <w:sz w:val="18"/>
              </w:rPr>
              <w:t>Target Score</w:t>
            </w:r>
          </w:p>
        </w:tc>
        <w:tc>
          <w:tcPr>
            <w:tcW w:w="4535" w:type="dxa"/>
            <w:shd w:val="clear" w:color="auto" w:fill="00965E"/>
          </w:tcPr>
          <w:p w14:paraId="FA040X04" w14:textId="77777777" w:rsidR="00FA0004" w:rsidRDefault="00000000">
            <w:r>
              <w:rPr>
                <w:b/>
                <w:color w:val="FFFFFF"/>
                <w:sz w:val="18"/>
              </w:rPr>
              <w:t>Status</w:t>
            </w:r>
          </w:p>
        </w:tc>
      </w:tr>
      <w:tr w:rsidR="00FA0004" w14:paraId="FA040X05" w14:textId="77777777">
        <w:tc>
          <w:tcPr>
            <w:tcW w:w="2835" w:type="dxa"/>
          </w:tcPr>
          <w:p w14:paraId="FA040X06" w14:textId="77777777" w:rsidR="00FA0004" w:rsidRDefault="00000000">
            <w:r>
              <w:rPr>
                <w:sz w:val="18"/>
              </w:rPr>
              <w:t>Initial Full Coverage</w:t>
            </w:r>
          </w:p>
        </w:tc>
        <w:tc>
          <w:tcPr>
            <w:tcW w:w="1701" w:type="dxa"/>
          </w:tcPr>
          <w:p w14:paraId="FA040X07" w14:textId="77777777" w:rsidR="00FA0004" w:rsidRDefault="00000000">
            <w:r>
              <w:rPr>
                <w:sz w:val="18"/>
              </w:rPr>
              <w:t>≥35%</w:t>
            </w:r>
          </w:p>
        </w:tc>
        <w:tc>
          <w:tcPr>
            <w:tcW w:w="4535" w:type="dxa"/>
          </w:tcPr>
          <w:p w14:paraId="FA040X08" w14:textId="77777777" w:rsidR="00FA0004" w:rsidRDefault="00000000">
            <w:r>
              <w:rPr>
                <w:sz w:val="18"/>
              </w:rPr>
              <w:t>✅ Achieved — Iteration 3</w:t>
            </w:r>
          </w:p>
        </w:tc>
      </w:tr>
      <w:tr w:rsidR="00FA0004" w14:paraId="FA040X09" w14:textId="77777777">
        <w:tc>
          <w:tcPr>
            <w:tcW w:w="2835" w:type="dxa"/>
            <w:shd w:val="clear" w:color="auto" w:fill="E8F5E9"/>
          </w:tcPr>
          <w:p w14:paraId="FA040X0A" w14:textId="77777777" w:rsidR="00FA0004" w:rsidRDefault="00000000">
            <w:r>
              <w:rPr>
                <w:sz w:val="18"/>
              </w:rPr>
              <w:t>Developing Quality</w:t>
            </w:r>
          </w:p>
        </w:tc>
        <w:tc>
          <w:tcPr>
            <w:tcW w:w="1701" w:type="dxa"/>
            <w:shd w:val="clear" w:color="auto" w:fill="E8F5E9"/>
          </w:tcPr>
          <w:p w14:paraId="FA040X0B" w14:textId="77777777" w:rsidR="00FA0004" w:rsidRDefault="00000000">
            <w:r>
              <w:rPr>
                <w:sz w:val="18"/>
              </w:rPr>
              <w:t>≥60%</w:t>
            </w:r>
          </w:p>
        </w:tc>
        <w:tc>
          <w:tcPr>
            <w:tcW w:w="4535" w:type="dxa"/>
            <w:shd w:val="clear" w:color="auto" w:fill="E8F5E9"/>
          </w:tcPr>
          <w:p w14:paraId="FA040X0C" w14:textId="77777777" w:rsidR="00FA0004" w:rsidRDefault="00000000">
            <w:r>
              <w:rPr>
                <w:sz w:val="18"/>
              </w:rPr>
              <w:t>✅ Achieved — Iteration 4 (P&amp;L &amp; BS)</w:t>
            </w:r>
          </w:p>
        </w:tc>
      </w:tr>
      <w:tr w:rsidR="00FA0004" w14:paraId="FA040X0D" w14:textId="77777777">
        <w:tc>
          <w:tcPr>
            <w:tcW w:w="2835" w:type="dxa"/>
          </w:tcPr>
          <w:p w14:paraId="FA040X0E" w14:textId="77777777" w:rsidR="00FA0004" w:rsidRDefault="00000000">
            <w:r>
              <w:rPr>
                <w:sz w:val="18"/>
              </w:rPr>
              <w:t>Good Quality</w:t>
            </w:r>
          </w:p>
        </w:tc>
        <w:tc>
          <w:tcPr>
            <w:tcW w:w="1701" w:type="dxa"/>
          </w:tcPr>
          <w:p w14:paraId="FA040X0F" w14:textId="77777777" w:rsidR="00FA0004" w:rsidRDefault="00000000">
            <w:r>
              <w:rPr>
                <w:sz w:val="18"/>
              </w:rPr>
              <w:t>≥70%</w:t>
            </w:r>
          </w:p>
        </w:tc>
        <w:tc>
          <w:tcPr>
            <w:tcW w:w="4535" w:type="dxa"/>
          </w:tcPr>
          <w:p w14:paraId="FA040X10" w14:textId="77777777" w:rsidR="00FA0004" w:rsidRDefault="00000000">
            <w:r>
              <w:rPr>
                <w:sz w:val="18"/>
              </w:rPr>
              <w:t>🔄 Target — Iterations 5 / 6</w:t>
            </w:r>
          </w:p>
        </w:tc>
      </w:tr>
      <w:tr w:rsidR="00FA0004" w14:paraId="FA040X11" w14:textId="77777777">
        <w:tc>
          <w:tcPr>
            <w:tcW w:w="2835" w:type="dxa"/>
            <w:shd w:val="clear" w:color="auto" w:fill="E8F5E9"/>
          </w:tcPr>
          <w:p w14:paraId="FA040X12" w14:textId="77777777" w:rsidR="00FA0004" w:rsidRDefault="00000000">
            <w:r>
              <w:rPr>
                <w:sz w:val="18"/>
              </w:rPr>
              <w:t>Excellent Quality</w:t>
            </w:r>
          </w:p>
        </w:tc>
        <w:tc>
          <w:tcPr>
            <w:tcW w:w="1701" w:type="dxa"/>
            <w:shd w:val="clear" w:color="auto" w:fill="E8F5E9"/>
          </w:tcPr>
          <w:p w14:paraId="FA040X13" w14:textId="77777777" w:rsidR="00FA0004" w:rsidRDefault="00000000">
            <w:r>
              <w:rPr>
                <w:sz w:val="18"/>
              </w:rPr>
              <w:t>≥80%</w:t>
            </w:r>
          </w:p>
        </w:tc>
        <w:tc>
          <w:tcPr>
            <w:tcW w:w="4535" w:type="dxa"/>
            <w:shd w:val="clear" w:color="auto" w:fill="E8F5E9"/>
          </w:tcPr>
          <w:p w14:paraId="FA040X14" w14:textId="77777777" w:rsidR="00FA0004" w:rsidRDefault="00000000">
            <w:r>
              <w:rPr>
                <w:sz w:val="18"/>
              </w:rPr>
              <w:t>🎯 Target — Iteration 8 and beyond</w:t>
            </w:r>
          </w:p>
        </w:tc>
      </w:tr>
    </w:tbl>
    <w:p w14:paraId="FA040006" w14:textId="77777777" w:rsidR="00FA0004" w:rsidRDefault="00000000"/>
    <w:p w14:paraId="678C1F67" w14:textId="77777777" w:rsidR="002D400C" w:rsidRDefault="00000000">
      <w:pPr>
        <w:pStyle w:val="Heading2"/>
      </w:pPr>
      <w:r>
        <w:rPr>
          <w:color w:val="1B365D"/>
        </w:rPr>
        <w:t>4.2 Performance Metrics</w:t>
      </w:r>
    </w:p>
    <w:tbl>
      <w:tblPr>
        <w:tblStyle w:val="TableGrid"/>
        <w:tblW w:w="0" w:type="auto"/>
        <w:jc w:val="center"/>
        <w:tblLook w:val="04A0" w:firstRow="1" w:lastRow="0" w:firstColumn="1" w:lastColumn="0" w:noHBand="0" w:noVBand="1"/>
      </w:tblPr>
      <w:tblGrid>
        <w:gridCol w:w="2268"/>
        <w:gridCol w:w="1417"/>
        <w:gridCol w:w="5386"/>
      </w:tblGrid>
      <w:tr w:rsidR="002D400C" w14:paraId="3697C75C" w14:textId="77777777">
        <w:trPr>
          <w:jc w:val="center"/>
        </w:trPr>
        <w:tc>
          <w:tcPr>
            <w:tcW w:w="2268" w:type="dxa"/>
            <w:shd w:val="clear" w:color="auto" w:fill="00965E"/>
          </w:tcPr>
          <w:p w14:paraId="059DA942" w14:textId="77777777" w:rsidR="002D400C" w:rsidRDefault="00000000">
            <w:pPr>
              <w:jc w:val="center"/>
            </w:pPr>
            <w:r>
              <w:rPr>
                <w:b/>
                <w:color w:val="FFFFFF"/>
                <w:sz w:val="18"/>
              </w:rPr>
              <w:t>Metric</w:t>
            </w:r>
          </w:p>
        </w:tc>
        <w:tc>
          <w:tcPr>
            <w:tcW w:w="1417" w:type="dxa"/>
            <w:shd w:val="clear" w:color="auto" w:fill="00965E"/>
          </w:tcPr>
          <w:p w14:paraId="0C72FF9A" w14:textId="77777777" w:rsidR="002D400C" w:rsidRDefault="00000000">
            <w:pPr>
              <w:jc w:val="center"/>
            </w:pPr>
            <w:r>
              <w:rPr>
                <w:b/>
                <w:color w:val="FFFFFF"/>
                <w:sz w:val="18"/>
              </w:rPr>
              <w:t>Target</w:t>
            </w:r>
          </w:p>
        </w:tc>
        <w:tc>
          <w:tcPr>
            <w:tcW w:w="5386" w:type="dxa"/>
            <w:shd w:val="clear" w:color="auto" w:fill="00965E"/>
          </w:tcPr>
          <w:p w14:paraId="32C47A62" w14:textId="77777777" w:rsidR="002D400C" w:rsidRDefault="00000000">
            <w:pPr>
              <w:jc w:val="center"/>
            </w:pPr>
            <w:r>
              <w:rPr>
                <w:b/>
                <w:color w:val="FFFFFF"/>
                <w:sz w:val="18"/>
              </w:rPr>
              <w:t>Description</w:t>
            </w:r>
          </w:p>
        </w:tc>
      </w:tr>
      <w:tr w:rsidR="002D400C" w14:paraId="19DA55EF" w14:textId="77777777">
        <w:trPr>
          <w:jc w:val="center"/>
        </w:trPr>
        <w:tc>
          <w:tcPr>
            <w:tcW w:w="2268" w:type="dxa"/>
          </w:tcPr>
          <w:p w14:paraId="77C7F261" w14:textId="77777777" w:rsidR="002D400C" w:rsidRDefault="00000000">
            <w:r>
              <w:rPr>
                <w:sz w:val="18"/>
              </w:rPr>
              <w:t>Page Detection Rate</w:t>
            </w:r>
          </w:p>
        </w:tc>
        <w:tc>
          <w:tcPr>
            <w:tcW w:w="1417" w:type="dxa"/>
          </w:tcPr>
          <w:p w14:paraId="4CAA6AE6" w14:textId="77777777" w:rsidR="002D400C" w:rsidRDefault="00000000">
            <w:r>
              <w:rPr>
                <w:sz w:val="18"/>
              </w:rPr>
              <w:t>≥90%</w:t>
            </w:r>
          </w:p>
        </w:tc>
        <w:tc>
          <w:tcPr>
            <w:tcW w:w="5386" w:type="dxa"/>
          </w:tcPr>
          <w:p w14:paraId="40D3D68A" w14:textId="77777777" w:rsidR="002D400C" w:rsidRDefault="00000000">
            <w:r>
              <w:rPr>
                <w:sz w:val="18"/>
              </w:rPr>
              <w:t>Percentage of financial statements correctly identified by automatic heading scan</w:t>
            </w:r>
          </w:p>
        </w:tc>
      </w:tr>
      <w:tr w:rsidR="002D400C" w14:paraId="2521CF95" w14:textId="77777777">
        <w:trPr>
          <w:jc w:val="center"/>
        </w:trPr>
        <w:tc>
          <w:tcPr>
            <w:tcW w:w="2268" w:type="dxa"/>
            <w:shd w:val="clear" w:color="auto" w:fill="E8F5E9"/>
          </w:tcPr>
          <w:p w14:paraId="681F7795" w14:textId="77777777" w:rsidR="002D400C" w:rsidRDefault="00000000">
            <w:r>
              <w:rPr>
                <w:sz w:val="18"/>
              </w:rPr>
              <w:t>Extraction Completeness</w:t>
            </w:r>
          </w:p>
        </w:tc>
        <w:tc>
          <w:tcPr>
            <w:tcW w:w="1417" w:type="dxa"/>
            <w:shd w:val="clear" w:color="auto" w:fill="E8F5E9"/>
          </w:tcPr>
          <w:p w14:paraId="1A3B6D17" w14:textId="77777777" w:rsidR="002D400C" w:rsidRDefault="00000000">
            <w:r>
              <w:rPr>
                <w:sz w:val="18"/>
              </w:rPr>
              <w:t>≥85%</w:t>
            </w:r>
          </w:p>
        </w:tc>
        <w:tc>
          <w:tcPr>
            <w:tcW w:w="5386" w:type="dxa"/>
            <w:shd w:val="clear" w:color="auto" w:fill="E8F5E9"/>
          </w:tcPr>
          <w:p w14:paraId="74D4DCA6" w14:textId="77777777" w:rsidR="002D400C" w:rsidRDefault="00000000">
            <w:r>
              <w:rPr>
                <w:sz w:val="18"/>
              </w:rPr>
              <w:t>Percentage of BREF fields populated after LLM mapping</w:t>
            </w:r>
          </w:p>
        </w:tc>
      </w:tr>
      <w:tr w:rsidR="002D400C" w14:paraId="1B3710F6" w14:textId="77777777">
        <w:trPr>
          <w:jc w:val="center"/>
        </w:trPr>
        <w:tc>
          <w:tcPr>
            <w:tcW w:w="2268" w:type="dxa"/>
          </w:tcPr>
          <w:p w14:paraId="1D254399" w14:textId="77777777" w:rsidR="002D400C" w:rsidRDefault="00000000">
            <w:r>
              <w:rPr>
                <w:sz w:val="18"/>
              </w:rPr>
              <w:t>Vision Fallback Rate</w:t>
            </w:r>
          </w:p>
        </w:tc>
        <w:tc>
          <w:tcPr>
            <w:tcW w:w="1417" w:type="dxa"/>
          </w:tcPr>
          <w:p w14:paraId="399F0E76" w14:textId="77777777" w:rsidR="002D400C" w:rsidRDefault="00000000">
            <w:r>
              <w:rPr>
                <w:sz w:val="18"/>
              </w:rPr>
              <w:t>&lt;15%</w:t>
            </w:r>
          </w:p>
        </w:tc>
        <w:tc>
          <w:tcPr>
            <w:tcW w:w="5386" w:type="dxa"/>
          </w:tcPr>
          <w:p w14:paraId="25FAA274" w14:textId="77777777" w:rsidR="002D400C" w:rsidRDefault="00000000">
            <w:r>
              <w:rPr>
                <w:sz w:val="18"/>
              </w:rPr>
              <w:t>Percentage of PDFs requiring vision-based extraction</w:t>
            </w:r>
          </w:p>
        </w:tc>
      </w:tr>
      <w:tr w:rsidR="002D400C" w14:paraId="0AECDFE6" w14:textId="77777777">
        <w:trPr>
          <w:jc w:val="center"/>
        </w:trPr>
        <w:tc>
          <w:tcPr>
            <w:tcW w:w="2268" w:type="dxa"/>
            <w:shd w:val="clear" w:color="auto" w:fill="E8F5E9"/>
          </w:tcPr>
          <w:p w14:paraId="2A927886" w14:textId="77777777" w:rsidR="002D400C" w:rsidRDefault="00000000">
            <w:r>
              <w:rPr>
                <w:sz w:val="18"/>
              </w:rPr>
              <w:lastRenderedPageBreak/>
              <w:t>Evaluator First-Pass Acceptance</w:t>
            </w:r>
          </w:p>
        </w:tc>
        <w:tc>
          <w:tcPr>
            <w:tcW w:w="1417" w:type="dxa"/>
            <w:shd w:val="clear" w:color="auto" w:fill="E8F5E9"/>
          </w:tcPr>
          <w:p w14:paraId="50266746" w14:textId="77777777" w:rsidR="002D400C" w:rsidRDefault="00000000">
            <w:r>
              <w:rPr>
                <w:sz w:val="18"/>
              </w:rPr>
              <w:t>≥70%</w:t>
            </w:r>
          </w:p>
        </w:tc>
        <w:tc>
          <w:tcPr>
            <w:tcW w:w="5386" w:type="dxa"/>
            <w:shd w:val="clear" w:color="auto" w:fill="E8F5E9"/>
          </w:tcPr>
          <w:p w14:paraId="6C54C3EA" w14:textId="77777777" w:rsidR="002D400C" w:rsidRDefault="00000000">
            <w:r>
              <w:rPr>
                <w:sz w:val="18"/>
              </w:rPr>
              <w:t>Percentage of FA reports accepted without retry</w:t>
            </w:r>
          </w:p>
        </w:tc>
      </w:tr>
      <w:tr w:rsidR="002D400C" w14:paraId="2F2E3AD4" w14:textId="77777777">
        <w:trPr>
          <w:jc w:val="center"/>
        </w:trPr>
        <w:tc>
          <w:tcPr>
            <w:tcW w:w="2268" w:type="dxa"/>
          </w:tcPr>
          <w:p w14:paraId="3C561FA5" w14:textId="77777777" w:rsidR="002D400C" w:rsidRDefault="00000000">
            <w:r>
              <w:rPr>
                <w:sz w:val="18"/>
              </w:rPr>
              <w:t>End-to-End Latency</w:t>
            </w:r>
          </w:p>
        </w:tc>
        <w:tc>
          <w:tcPr>
            <w:tcW w:w="1417" w:type="dxa"/>
          </w:tcPr>
          <w:p w14:paraId="4F08D368" w14:textId="77777777" w:rsidR="002D400C" w:rsidRDefault="00000000">
            <w:r>
              <w:rPr>
                <w:sz w:val="18"/>
              </w:rPr>
              <w:t>&lt;5 min</w:t>
            </w:r>
          </w:p>
        </w:tc>
        <w:tc>
          <w:tcPr>
            <w:tcW w:w="5386" w:type="dxa"/>
          </w:tcPr>
          <w:p w14:paraId="20A32E26" w14:textId="77777777" w:rsidR="002D400C" w:rsidRDefault="00000000">
            <w:r>
              <w:rPr>
                <w:sz w:val="18"/>
              </w:rPr>
              <w:t>Time from PDF upload to summary generation (single company)</w:t>
            </w:r>
          </w:p>
        </w:tc>
      </w:tr>
      <w:tr w:rsidR="002D400C" w14:paraId="6574BAD3" w14:textId="77777777">
        <w:trPr>
          <w:jc w:val="center"/>
        </w:trPr>
        <w:tc>
          <w:tcPr>
            <w:tcW w:w="2268" w:type="dxa"/>
            <w:shd w:val="clear" w:color="auto" w:fill="E8F5E9"/>
          </w:tcPr>
          <w:p w14:paraId="1B939462" w14:textId="77777777" w:rsidR="002D400C" w:rsidRDefault="00000000">
            <w:r>
              <w:rPr>
                <w:sz w:val="18"/>
              </w:rPr>
              <w:t>Cross-Statement Ratio Accuracy</w:t>
            </w:r>
          </w:p>
        </w:tc>
        <w:tc>
          <w:tcPr>
            <w:tcW w:w="1417" w:type="dxa"/>
            <w:shd w:val="clear" w:color="auto" w:fill="E8F5E9"/>
          </w:tcPr>
          <w:p w14:paraId="07B04461" w14:textId="77777777" w:rsidR="002D400C" w:rsidRDefault="00000000">
            <w:r>
              <w:rPr>
                <w:sz w:val="18"/>
              </w:rPr>
              <w:t>≥95%</w:t>
            </w:r>
          </w:p>
        </w:tc>
        <w:tc>
          <w:tcPr>
            <w:tcW w:w="5386" w:type="dxa"/>
            <w:shd w:val="clear" w:color="auto" w:fill="E8F5E9"/>
          </w:tcPr>
          <w:p w14:paraId="103BE960" w14:textId="77777777" w:rsidR="002D400C" w:rsidRDefault="00000000">
            <w:r>
              <w:rPr>
                <w:sz w:val="18"/>
              </w:rPr>
              <w:t>Accuracy of computed inter-statement metrics</w:t>
            </w:r>
          </w:p>
        </w:tc>
      </w:tr>
    </w:tbl>
    <w:p w14:paraId="4A301E46" w14:textId="77777777" w:rsidR="002D400C" w:rsidRDefault="002D400C"/>
    <w:p w14:paraId="3306334E" w14:textId="77777777" w:rsidR="002D400C" w:rsidRDefault="00000000">
      <w:pPr>
        <w:pStyle w:val="Heading2"/>
      </w:pPr>
      <w:r>
        <w:rPr>
          <w:color w:val="1B365D"/>
        </w:rPr>
        <w:t>4.3 Comparative Analysis</w:t>
      </w:r>
    </w:p>
    <w:p w14:paraId="0FEB02F1" w14:textId="77777777" w:rsidR="002D400C" w:rsidRDefault="00000000">
      <w:r>
        <w:t>The pipeline's extraction methodology compares favourably against alternative approaches:</w:t>
      </w:r>
    </w:p>
    <w:tbl>
      <w:tblPr>
        <w:tblStyle w:val="TableGrid"/>
        <w:tblW w:w="0" w:type="auto"/>
        <w:jc w:val="center"/>
        <w:tblLook w:val="04A0" w:firstRow="1" w:lastRow="0" w:firstColumn="1" w:lastColumn="0" w:noHBand="0" w:noVBand="1"/>
      </w:tblPr>
      <w:tblGrid>
        <w:gridCol w:w="1701"/>
        <w:gridCol w:w="2551"/>
        <w:gridCol w:w="2551"/>
        <w:gridCol w:w="2268"/>
      </w:tblGrid>
      <w:tr w:rsidR="002D400C" w14:paraId="18483F72" w14:textId="77777777">
        <w:trPr>
          <w:jc w:val="center"/>
        </w:trPr>
        <w:tc>
          <w:tcPr>
            <w:tcW w:w="1701" w:type="dxa"/>
            <w:shd w:val="clear" w:color="auto" w:fill="00965E"/>
          </w:tcPr>
          <w:p w14:paraId="45DC9597" w14:textId="77777777" w:rsidR="002D400C" w:rsidRDefault="00000000">
            <w:pPr>
              <w:jc w:val="center"/>
            </w:pPr>
            <w:r>
              <w:rPr>
                <w:b/>
                <w:color w:val="FFFFFF"/>
                <w:sz w:val="18"/>
              </w:rPr>
              <w:t>Approach</w:t>
            </w:r>
          </w:p>
        </w:tc>
        <w:tc>
          <w:tcPr>
            <w:tcW w:w="2551" w:type="dxa"/>
            <w:shd w:val="clear" w:color="auto" w:fill="00965E"/>
          </w:tcPr>
          <w:p w14:paraId="3A63AAFB" w14:textId="77777777" w:rsidR="002D400C" w:rsidRDefault="00000000">
            <w:pPr>
              <w:jc w:val="center"/>
            </w:pPr>
            <w:r>
              <w:rPr>
                <w:b/>
                <w:color w:val="FFFFFF"/>
                <w:sz w:val="18"/>
              </w:rPr>
              <w:t>Strengths</w:t>
            </w:r>
          </w:p>
        </w:tc>
        <w:tc>
          <w:tcPr>
            <w:tcW w:w="2551" w:type="dxa"/>
            <w:shd w:val="clear" w:color="auto" w:fill="00965E"/>
          </w:tcPr>
          <w:p w14:paraId="1CA332F5" w14:textId="77777777" w:rsidR="002D400C" w:rsidRDefault="00000000">
            <w:pPr>
              <w:jc w:val="center"/>
            </w:pPr>
            <w:r>
              <w:rPr>
                <w:b/>
                <w:color w:val="FFFFFF"/>
                <w:sz w:val="18"/>
              </w:rPr>
              <w:t>Weaknesses</w:t>
            </w:r>
          </w:p>
        </w:tc>
        <w:tc>
          <w:tcPr>
            <w:tcW w:w="2268" w:type="dxa"/>
            <w:shd w:val="clear" w:color="auto" w:fill="00965E"/>
          </w:tcPr>
          <w:p w14:paraId="3BE69754" w14:textId="77777777" w:rsidR="002D400C" w:rsidRDefault="00000000">
            <w:pPr>
              <w:jc w:val="center"/>
            </w:pPr>
            <w:r>
              <w:rPr>
                <w:b/>
                <w:color w:val="FFFFFF"/>
                <w:sz w:val="18"/>
              </w:rPr>
              <w:t>Pipeline Use</w:t>
            </w:r>
          </w:p>
        </w:tc>
      </w:tr>
      <w:tr w:rsidR="002D400C" w14:paraId="4AF6FE20" w14:textId="77777777">
        <w:trPr>
          <w:jc w:val="center"/>
        </w:trPr>
        <w:tc>
          <w:tcPr>
            <w:tcW w:w="1701" w:type="dxa"/>
          </w:tcPr>
          <w:p w14:paraId="26B6A84C" w14:textId="77777777" w:rsidR="002D400C" w:rsidRDefault="00000000">
            <w:r>
              <w:rPr>
                <w:sz w:val="18"/>
              </w:rPr>
              <w:t>pdfplumber (text)</w:t>
            </w:r>
          </w:p>
        </w:tc>
        <w:tc>
          <w:tcPr>
            <w:tcW w:w="2551" w:type="dxa"/>
          </w:tcPr>
          <w:p w14:paraId="486321B5" w14:textId="77777777" w:rsidR="002D400C" w:rsidRDefault="00000000">
            <w:r>
              <w:rPr>
                <w:sz w:val="18"/>
              </w:rPr>
              <w:t>High accuracy on native PDFs, preserves spatial layout</w:t>
            </w:r>
          </w:p>
        </w:tc>
        <w:tc>
          <w:tcPr>
            <w:tcW w:w="2551" w:type="dxa"/>
          </w:tcPr>
          <w:p w14:paraId="1E10FC24" w14:textId="77777777" w:rsidR="002D400C" w:rsidRDefault="00000000">
            <w:r>
              <w:rPr>
                <w:sz w:val="18"/>
              </w:rPr>
              <w:t>Fails on CID-encoded/scanned PDFs</w:t>
            </w:r>
          </w:p>
        </w:tc>
        <w:tc>
          <w:tcPr>
            <w:tcW w:w="2268" w:type="dxa"/>
          </w:tcPr>
          <w:p w14:paraId="0CA5AD53" w14:textId="77777777" w:rsidR="002D400C" w:rsidRDefault="00000000">
            <w:r>
              <w:rPr>
                <w:sz w:val="18"/>
              </w:rPr>
              <w:t>Primary Tier 1 extractor</w:t>
            </w:r>
          </w:p>
        </w:tc>
      </w:tr>
      <w:tr w:rsidR="002D400C" w14:paraId="65AD1865" w14:textId="77777777">
        <w:trPr>
          <w:jc w:val="center"/>
        </w:trPr>
        <w:tc>
          <w:tcPr>
            <w:tcW w:w="1701" w:type="dxa"/>
            <w:shd w:val="clear" w:color="auto" w:fill="E8F5E9"/>
          </w:tcPr>
          <w:p w14:paraId="007FFB94" w14:textId="77777777" w:rsidR="002D400C" w:rsidRDefault="00000000">
            <w:r>
              <w:rPr>
                <w:sz w:val="18"/>
              </w:rPr>
              <w:t>LLM Vision (image)</w:t>
            </w:r>
          </w:p>
        </w:tc>
        <w:tc>
          <w:tcPr>
            <w:tcW w:w="2551" w:type="dxa"/>
            <w:shd w:val="clear" w:color="auto" w:fill="E8F5E9"/>
          </w:tcPr>
          <w:p w14:paraId="48E30A19" w14:textId="77777777" w:rsidR="002D400C" w:rsidRDefault="00000000">
            <w:r>
              <w:rPr>
                <w:sz w:val="18"/>
              </w:rPr>
              <w:t>Handles any visual format, language-agnostic</w:t>
            </w:r>
          </w:p>
        </w:tc>
        <w:tc>
          <w:tcPr>
            <w:tcW w:w="2551" w:type="dxa"/>
            <w:shd w:val="clear" w:color="auto" w:fill="E8F5E9"/>
          </w:tcPr>
          <w:p w14:paraId="490736CD" w14:textId="77777777" w:rsidR="002D400C" w:rsidRDefault="00000000">
            <w:r>
              <w:rPr>
                <w:sz w:val="18"/>
              </w:rPr>
              <w:t>Higher cost, slower, requires rendering</w:t>
            </w:r>
          </w:p>
        </w:tc>
        <w:tc>
          <w:tcPr>
            <w:tcW w:w="2268" w:type="dxa"/>
            <w:shd w:val="clear" w:color="auto" w:fill="E8F5E9"/>
          </w:tcPr>
          <w:p w14:paraId="34CE33FC" w14:textId="77777777" w:rsidR="002D400C" w:rsidRDefault="00000000">
            <w:r>
              <w:rPr>
                <w:sz w:val="18"/>
              </w:rPr>
              <w:t>Tier 2 fallback for garbled text</w:t>
            </w:r>
          </w:p>
        </w:tc>
      </w:tr>
      <w:tr w:rsidR="002D400C" w14:paraId="43BF87A0" w14:textId="77777777">
        <w:trPr>
          <w:jc w:val="center"/>
        </w:trPr>
        <w:tc>
          <w:tcPr>
            <w:tcW w:w="1701" w:type="dxa"/>
          </w:tcPr>
          <w:p w14:paraId="3C8DD054" w14:textId="77777777" w:rsidR="002D400C" w:rsidRDefault="00000000">
            <w:r>
              <w:rPr>
                <w:sz w:val="18"/>
              </w:rPr>
              <w:t>XBRL API (structured)</w:t>
            </w:r>
          </w:p>
        </w:tc>
        <w:tc>
          <w:tcPr>
            <w:tcW w:w="2551" w:type="dxa"/>
          </w:tcPr>
          <w:p w14:paraId="277E071A" w14:textId="77777777" w:rsidR="002D400C" w:rsidRDefault="00000000">
            <w:r>
              <w:rPr>
                <w:sz w:val="18"/>
              </w:rPr>
              <w:t>Machine-readable, no extraction errors</w:t>
            </w:r>
          </w:p>
        </w:tc>
        <w:tc>
          <w:tcPr>
            <w:tcW w:w="2551" w:type="dxa"/>
          </w:tcPr>
          <w:p w14:paraId="28E32918" w14:textId="77777777" w:rsidR="002D400C" w:rsidRDefault="00000000">
            <w:r>
              <w:rPr>
                <w:sz w:val="18"/>
              </w:rPr>
              <w:t>Limited to IFRS filers, API dependency</w:t>
            </w:r>
          </w:p>
        </w:tc>
        <w:tc>
          <w:tcPr>
            <w:tcW w:w="2268" w:type="dxa"/>
          </w:tcPr>
          <w:p w14:paraId="2DAC3D7C" w14:textId="77777777" w:rsidR="002D400C" w:rsidRDefault="00000000">
            <w:r>
              <w:rPr>
                <w:sz w:val="18"/>
              </w:rPr>
              <w:t>EMEA primary, AMER primary</w:t>
            </w:r>
          </w:p>
        </w:tc>
      </w:tr>
      <w:tr w:rsidR="002D400C" w14:paraId="49E18F76" w14:textId="77777777">
        <w:trPr>
          <w:jc w:val="center"/>
        </w:trPr>
        <w:tc>
          <w:tcPr>
            <w:tcW w:w="1701" w:type="dxa"/>
            <w:shd w:val="clear" w:color="auto" w:fill="E8F5E9"/>
          </w:tcPr>
          <w:p w14:paraId="25C2ED34" w14:textId="77777777" w:rsidR="002D400C" w:rsidRDefault="00000000">
            <w:r>
              <w:rPr>
                <w:sz w:val="18"/>
              </w:rPr>
              <w:t>Tabula / Camelot</w:t>
            </w:r>
          </w:p>
        </w:tc>
        <w:tc>
          <w:tcPr>
            <w:tcW w:w="2551" w:type="dxa"/>
            <w:shd w:val="clear" w:color="auto" w:fill="E8F5E9"/>
          </w:tcPr>
          <w:p w14:paraId="4212A2D5" w14:textId="77777777" w:rsidR="002D400C" w:rsidRDefault="00000000">
            <w:r>
              <w:rPr>
                <w:sz w:val="18"/>
              </w:rPr>
              <w:t>Good for simple tables</w:t>
            </w:r>
          </w:p>
        </w:tc>
        <w:tc>
          <w:tcPr>
            <w:tcW w:w="2551" w:type="dxa"/>
            <w:shd w:val="clear" w:color="auto" w:fill="E8F5E9"/>
          </w:tcPr>
          <w:p w14:paraId="5FFD8F08" w14:textId="77777777" w:rsidR="002D400C" w:rsidRDefault="00000000">
            <w:r>
              <w:rPr>
                <w:sz w:val="18"/>
              </w:rPr>
              <w:t>Poor with complex layouts, merged cells</w:t>
            </w:r>
          </w:p>
        </w:tc>
        <w:tc>
          <w:tcPr>
            <w:tcW w:w="2268" w:type="dxa"/>
            <w:shd w:val="clear" w:color="auto" w:fill="E8F5E9"/>
          </w:tcPr>
          <w:p w14:paraId="1D6514F4" w14:textId="77777777" w:rsidR="002D400C" w:rsidRDefault="00000000">
            <w:r>
              <w:rPr>
                <w:sz w:val="18"/>
              </w:rPr>
              <w:t>Not used (pdfplumber superior)</w:t>
            </w:r>
          </w:p>
        </w:tc>
      </w:tr>
      <w:tr w:rsidR="002D400C" w14:paraId="2AED0780" w14:textId="77777777">
        <w:trPr>
          <w:jc w:val="center"/>
        </w:trPr>
        <w:tc>
          <w:tcPr>
            <w:tcW w:w="1701" w:type="dxa"/>
          </w:tcPr>
          <w:p w14:paraId="6D496BE5" w14:textId="77777777" w:rsidR="002D400C" w:rsidRDefault="00000000">
            <w:r>
              <w:rPr>
                <w:sz w:val="18"/>
              </w:rPr>
              <w:t>AWS Textract / GCP Vision</w:t>
            </w:r>
          </w:p>
        </w:tc>
        <w:tc>
          <w:tcPr>
            <w:tcW w:w="2551" w:type="dxa"/>
          </w:tcPr>
          <w:p w14:paraId="34BD1BB7" w14:textId="77777777" w:rsidR="002D400C" w:rsidRDefault="00000000">
            <w:r>
              <w:rPr>
                <w:sz w:val="18"/>
              </w:rPr>
              <w:t>Robust OCR, table detection</w:t>
            </w:r>
          </w:p>
        </w:tc>
        <w:tc>
          <w:tcPr>
            <w:tcW w:w="2551" w:type="dxa"/>
          </w:tcPr>
          <w:p w14:paraId="55DD0822" w14:textId="77777777" w:rsidR="002D400C" w:rsidRDefault="00000000">
            <w:r>
              <w:rPr>
                <w:sz w:val="18"/>
              </w:rPr>
              <w:t>Cloud dependency, cost at scale, data sovereignty</w:t>
            </w:r>
          </w:p>
        </w:tc>
        <w:tc>
          <w:tcPr>
            <w:tcW w:w="2268" w:type="dxa"/>
          </w:tcPr>
          <w:p w14:paraId="1B8DD33A" w14:textId="77777777" w:rsidR="002D400C" w:rsidRDefault="00000000">
            <w:r>
              <w:rPr>
                <w:sz w:val="18"/>
              </w:rPr>
              <w:t>Not used (LLM vision preferred)</w:t>
            </w:r>
          </w:p>
        </w:tc>
      </w:tr>
    </w:tbl>
    <w:p w14:paraId="62459283" w14:textId="77777777" w:rsidR="002D400C" w:rsidRDefault="002D400C"/>
    <w:p w14:paraId="2212A3B4" w14:textId="77777777" w:rsidR="002D400C" w:rsidRDefault="00000000">
      <w:pPr>
        <w:pStyle w:val="Heading2"/>
      </w:pPr>
      <w:r>
        <w:rPr>
          <w:color w:val="1B365D"/>
        </w:rPr>
        <w:t>4.4 Error Analysis</w:t>
      </w:r>
    </w:p>
    <w:p w14:paraId="401EEA63" w14:textId="77777777" w:rsidR="002D400C" w:rsidRDefault="00000000">
      <w:r>
        <w:t>The following error categories have been identified during pipeline operation:</w:t>
      </w:r>
    </w:p>
    <w:p w14:paraId="7D12A211" w14:textId="77777777" w:rsidR="002D400C" w:rsidRDefault="00000000">
      <w:pPr>
        <w:pStyle w:val="Heading3"/>
      </w:pPr>
      <w:r>
        <w:rPr>
          <w:color w:val="1B365D"/>
        </w:rPr>
        <w:t>Extraction Errors</w:t>
      </w:r>
    </w:p>
    <w:p w14:paraId="4EE058AA" w14:textId="77777777" w:rsidR="002D400C" w:rsidRDefault="00000000">
      <w:pPr>
        <w:pStyle w:val="ListBullet"/>
      </w:pPr>
      <w:r>
        <w:t>Merged cell misalignment: pdfplumber occasionally splits merged header cells, causing year column misalignment. Mitigated by LLM-based header detection in the extraction prompt.</w:t>
      </w:r>
    </w:p>
    <w:p w14:paraId="0FB66094" w14:textId="77777777" w:rsidR="002D400C" w:rsidRDefault="00000000">
      <w:pPr>
        <w:pStyle w:val="ListBullet"/>
      </w:pPr>
      <w:r>
        <w:t>Footnote inclusion: Financial tables with in-line footnotes may cause spurious rows. The extraction prompt explicitly instructs footnote exclusion.</w:t>
      </w:r>
    </w:p>
    <w:p w14:paraId="62A3DA0A" w14:textId="77777777" w:rsidR="002D400C" w:rsidRDefault="00000000">
      <w:pPr>
        <w:pStyle w:val="ListBullet"/>
      </w:pPr>
      <w:r>
        <w:t>Currency symbol confusion: Dollar signs ($) in multiple currencies (USD, HKD, SGD) require contextual disambiguation via the year_currencies output field.</w:t>
      </w:r>
    </w:p>
    <w:p w14:paraId="42F0AE63" w14:textId="77777777" w:rsidR="002D400C" w:rsidRDefault="00000000">
      <w:pPr>
        <w:pStyle w:val="Heading3"/>
      </w:pPr>
      <w:r>
        <w:rPr>
          <w:color w:val="1B365D"/>
        </w:rPr>
        <w:t>Mapping Errors</w:t>
      </w:r>
    </w:p>
    <w:p w14:paraId="265EF65D" w14:textId="77777777" w:rsidR="002D400C" w:rsidRDefault="00000000">
      <w:pPr>
        <w:pStyle w:val="ListBullet"/>
      </w:pPr>
      <w:r>
        <w:t>Alias coverage gaps: Some regional financial terms lack aliases in field_mappings.py (3600+ lines). Example: Indonesian term 'Beban Pokok Pendapatan' for Cost of Revenue may not be in the alias list.</w:t>
      </w:r>
    </w:p>
    <w:p w14:paraId="241E24EE" w14:textId="77777777" w:rsidR="002D400C" w:rsidRDefault="00000000">
      <w:pPr>
        <w:pStyle w:val="ListBullet"/>
      </w:pPr>
      <w:r>
        <w:t>Summation field conflicts: Calculated fields (is_calculated=True) with formulas like 'I30+I31+I79+I47' may conflict with LLM-extracted totals when the source document uses different aggregation.</w:t>
      </w:r>
    </w:p>
    <w:p w14:paraId="337B7B74" w14:textId="77777777" w:rsidR="002D400C" w:rsidRDefault="00000000">
      <w:pPr>
        <w:pStyle w:val="ListBullet"/>
      </w:pPr>
      <w:r>
        <w:t>Confidence calibration: LLM confidence ratings ('high'/'low') are binary rather than continuous, limiting granular quality assessment.</w:t>
      </w:r>
    </w:p>
    <w:p w14:paraId="233BE570" w14:textId="77777777" w:rsidR="002D400C" w:rsidRDefault="00000000">
      <w:r>
        <w:br w:type="page"/>
      </w:r>
    </w:p>
    <w:p w14:paraId="4BDDBA6D" w14:textId="77777777" w:rsidR="002D400C" w:rsidRDefault="00000000">
      <w:pPr>
        <w:pStyle w:val="Heading1"/>
      </w:pPr>
      <w:r>
        <w:rPr>
          <w:color w:val="1B365D"/>
        </w:rPr>
        <w:lastRenderedPageBreak/>
        <w:t>5. Discussion</w:t>
      </w:r>
    </w:p>
    <w:p w14:paraId="1445BF0B" w14:textId="77777777" w:rsidR="002D400C" w:rsidRDefault="00000000">
      <w:pPr>
        <w:pStyle w:val="Heading2"/>
      </w:pPr>
      <w:r>
        <w:rPr>
          <w:color w:val="1B365D"/>
        </w:rPr>
        <w:t>5.1 Interpretation of Results</w:t>
      </w:r>
    </w:p>
    <w:p w14:paraId="52BEBB7F" w14:textId="77777777" w:rsidR="002D400C" w:rsidRDefault="00000000">
      <w:r>
        <w:t>The pipeline demonstrates that a hybrid approach—combining rule-based extraction (pdfplumber, regex heading matching, table structure validation) with LLM-powered semantic understanding (field mapping, vision fallback, page validation)—delivers robust financial data extraction across diverse source formats and languages.</w:t>
      </w:r>
    </w:p>
    <w:p w14:paraId="7A2BE14F" w14:textId="77777777" w:rsidR="002D400C" w:rsidRDefault="00000000">
      <w:r>
        <w:t>The tiered extraction architecture (pdfplumber → LLM vision → LLM page scan) ensures graceful degradation: the fast, deterministic Tier 1 handles the majority of cases, while the more expensive LLM tiers activate only when needed, optimising both accuracy and cost.</w:t>
      </w:r>
    </w:p>
    <w:p w14:paraId="006F7C4E" w14:textId="77777777" w:rsidR="002D400C" w:rsidRDefault="00000000">
      <w:r>
        <w:t>The BREF field schema acts as a universal normalisation layer, enabling consistent cross-regional analysis despite fundamental differences in source data structures (XBRL concepts vs PDF tables vs API JSON).</w:t>
      </w:r>
    </w:p>
    <w:p w14:paraId="FA050001" w14:textId="77777777" w:rsidR="00FA0005" w:rsidRDefault="00000000">
      <w:pPr>
        <w:pStyle w:val="Heading2"/>
      </w:pPr>
      <w:r>
        <w:rPr>
          <w:color w:val="1B365D"/>
        </w:rPr>
        <w:t>5.1.1 FA Module — Key Observations from Iteration Progress</w:t>
      </w:r>
    </w:p>
    <w:p w14:paraId="FA050002" w14:textId="77777777" w:rsidR="00FA0005" w:rsidRDefault="00000000">
      <w:r>
        <w:t>Across seven iterations of the Financial Analysis multi-agent system, the following key patterns have been observed:</w:t>
      </w:r>
    </w:p>
    <w:tbl>
      <w:tblPr>
        <w:tblStyle w:val="TableGrid"/>
        <w:tblW w:w="0" w:type="auto"/>
        <w:jc w:val="center"/>
        <w:tblLook w:val="04A0" w:firstRow="1" w:lastRow="0" w:firstColumn="1" w:lastColumn="0" w:noHBand="0" w:noVBand="1"/>
      </w:tblPr>
      <w:tblGrid>
        <w:gridCol w:w="3402"/>
        <w:gridCol w:w="5669"/>
      </w:tblGrid>
      <w:tr w:rsidR="00FA0005" w14:paraId="FA050T01" w14:textId="77777777">
        <w:tc>
          <w:tcPr>
            <w:tcW w:w="3402" w:type="dxa"/>
            <w:shd w:val="clear" w:color="auto" w:fill="00965E"/>
          </w:tcPr>
          <w:p w14:paraId="FA050T02" w14:textId="77777777" w:rsidR="00FA0005" w:rsidRDefault="00000000">
            <w:r>
              <w:rPr>
                <w:b/>
                <w:color w:val="FFFFFF"/>
                <w:sz w:val="18"/>
              </w:rPr>
              <w:t>Observation</w:t>
            </w:r>
          </w:p>
        </w:tc>
        <w:tc>
          <w:tcPr>
            <w:tcW w:w="5669" w:type="dxa"/>
            <w:shd w:val="clear" w:color="auto" w:fill="00965E"/>
          </w:tcPr>
          <w:p w14:paraId="FA050T03" w14:textId="77777777" w:rsidR="00FA0005" w:rsidRDefault="00000000">
            <w:r>
              <w:rPr>
                <w:b/>
                <w:color w:val="FFFFFF"/>
                <w:sz w:val="18"/>
              </w:rPr>
              <w:t>Detail</w:t>
            </w:r>
          </w:p>
        </w:tc>
      </w:tr>
      <w:tr w:rsidR="00FA0005" w14:paraId="FA050T04" w14:textId="77777777">
        <w:tc>
          <w:tcPr>
            <w:tcW w:w="3402" w:type="dxa"/>
          </w:tcPr>
          <w:p w14:paraId="FA050T05" w14:textId="77777777" w:rsidR="00FA0005" w:rsidRDefault="00000000">
            <w:r>
              <w:rPr>
                <w:sz w:val="18"/>
              </w:rPr>
              <w:t>LLM Upgrades Drive Significant Gains</w:t>
            </w:r>
          </w:p>
        </w:tc>
        <w:tc>
          <w:tcPr>
            <w:tcW w:w="5669" w:type="dxa"/>
          </w:tcPr>
          <w:p w14:paraId="FA050T06" w14:textId="77777777" w:rsidR="00FA0005" w:rsidRDefault="00000000">
            <w:r>
              <w:rPr>
                <w:sz w:val="18"/>
              </w:rPr>
              <w:t>Each LLM upgrade (Gemma3 → Gemini → GPT 4.1 → GPT 5.5) delivered measurable quality improvements, confirming LLM capability as a primary quality driver</w:t>
            </w:r>
          </w:p>
        </w:tc>
      </w:tr>
      <w:tr w:rsidR="00FA0005" w14:paraId="FA050T07" w14:textId="77777777">
        <w:tc>
          <w:tcPr>
            <w:tcW w:w="3402" w:type="dxa"/>
            <w:shd w:val="clear" w:color="auto" w:fill="E8F5E9"/>
          </w:tcPr>
          <w:p w14:paraId="FA050T08" w14:textId="77777777" w:rsidR="00FA0005" w:rsidRDefault="00000000">
            <w:r>
              <w:rPr>
                <w:sz w:val="18"/>
              </w:rPr>
              <w:t>Scope Expansion Causes Temporary Regression</w:t>
            </w:r>
          </w:p>
        </w:tc>
        <w:tc>
          <w:tcPr>
            <w:tcW w:w="5669" w:type="dxa"/>
            <w:shd w:val="clear" w:color="auto" w:fill="E8F5E9"/>
          </w:tcPr>
          <w:p w14:paraId="FA050T09" w14:textId="77777777" w:rsidR="00FA0005" w:rsidRDefault="00000000">
            <w:r>
              <w:rPr>
                <w:sz w:val="18"/>
              </w:rPr>
              <w:t>Adding CF &amp; BS in Iteration 3 temporarily reduced P&amp;L scores — a recognized trade-off during rapid scope expansion</w:t>
            </w:r>
          </w:p>
        </w:tc>
      </w:tr>
      <w:tr w:rsidR="00FA0005" w14:paraId="FA050T0A" w14:textId="77777777">
        <w:tc>
          <w:tcPr>
            <w:tcW w:w="3402" w:type="dxa"/>
          </w:tcPr>
          <w:p w14:paraId="FA050T0B" w14:textId="77777777" w:rsidR="00FA0005" w:rsidRDefault="00000000">
            <w:r>
              <w:rPr>
                <w:sz w:val="18"/>
              </w:rPr>
              <w:t>Agentic Architecture is the Key Quality Enabler</w:t>
            </w:r>
          </w:p>
        </w:tc>
        <w:tc>
          <w:tcPr>
            <w:tcW w:w="5669" w:type="dxa"/>
          </w:tcPr>
          <w:p w14:paraId="FA050T0C" w14:textId="77777777" w:rsidR="00FA0005" w:rsidRDefault="00000000">
            <w:r>
              <w:rPr>
                <w:sz w:val="18"/>
              </w:rPr>
              <w:t>The largest single-iteration gain came from transitioning to a fully agentic architecture in Iteration 4</w:t>
            </w:r>
          </w:p>
        </w:tc>
      </w:tr>
      <w:tr w:rsidR="00FA0005" w14:paraId="FA050T0D" w14:textId="77777777">
        <w:tc>
          <w:tcPr>
            <w:tcW w:w="3402" w:type="dxa"/>
            <w:shd w:val="clear" w:color="auto" w:fill="E8F5E9"/>
          </w:tcPr>
          <w:p w14:paraId="FA050T0E" w14:textId="77777777" w:rsidR="00FA0005" w:rsidRDefault="00000000">
            <w:r>
              <w:rPr>
                <w:sz w:val="18"/>
              </w:rPr>
              <w:t>Over-Decomposition Risks Coherence</w:t>
            </w:r>
          </w:p>
        </w:tc>
        <w:tc>
          <w:tcPr>
            <w:tcW w:w="5669" w:type="dxa"/>
            <w:shd w:val="clear" w:color="auto" w:fill="E8F5E9"/>
          </w:tcPr>
          <w:p w14:paraId="FA050T0F" w14:textId="77777777" w:rsidR="00FA0005" w:rsidRDefault="00000000">
            <w:r>
              <w:rPr>
                <w:sz w:val="18"/>
              </w:rPr>
              <w:t>Iteration 6's consolidation of multiple agents into one Sr. Credit Analyst addresses the analytical fragmentation risk of highly decomposed agent architectures</w:t>
            </w:r>
          </w:p>
        </w:tc>
      </w:tr>
      <w:tr w:rsidR="00FA0005" w14:paraId="FA050T10" w14:textId="77777777">
        <w:tc>
          <w:tcPr>
            <w:tcW w:w="3402" w:type="dxa"/>
          </w:tcPr>
          <w:p w14:paraId="FA050T11" w14:textId="77777777" w:rsidR="00FA0005" w:rsidRDefault="00000000">
            <w:r>
              <w:rPr>
                <w:sz w:val="18"/>
              </w:rPr>
              <w:t>Hallucination Concentration Pattern</w:t>
            </w:r>
          </w:p>
        </w:tc>
        <w:tc>
          <w:tcPr>
            <w:tcW w:w="5669" w:type="dxa"/>
          </w:tcPr>
          <w:p w14:paraId="FA050T12" w14:textId="77777777" w:rsidR="00FA0005" w:rsidRDefault="00000000">
            <w:r>
              <w:rPr>
                <w:sz w:val="18"/>
              </w:rPr>
              <w:t>Unsupported claims tend to concentrate in inference-heavy sections (e.g., liquidity outlook, forward-looking commentary) rather than retrospective financial data sections</w:t>
            </w:r>
          </w:p>
        </w:tc>
      </w:tr>
    </w:tbl>
    <w:p w14:paraId="FA050003" w14:textId="77777777" w:rsidR="00FA0005" w:rsidRDefault="00000000"/>
    <w:p w14:paraId="50005F54" w14:textId="77777777" w:rsidR="002D400C" w:rsidRDefault="00000000">
      <w:pPr>
        <w:pStyle w:val="Heading2"/>
      </w:pPr>
      <w:r>
        <w:rPr>
          <w:color w:val="1B365D"/>
        </w:rPr>
        <w:t>5.2 Challenges and Limitations</w:t>
      </w:r>
    </w:p>
    <w:p w14:paraId="3955ECB0" w14:textId="77777777" w:rsidR="002D400C" w:rsidRDefault="00000000">
      <w:pPr>
        <w:pStyle w:val="Heading3"/>
      </w:pPr>
      <w:r>
        <w:rPr>
          <w:color w:val="1B365D"/>
        </w:rPr>
        <w:t>5.2.1 Extraction Challenges</w:t>
      </w:r>
    </w:p>
    <w:p w14:paraId="3065F2B5" w14:textId="77777777" w:rsidR="002D400C" w:rsidRDefault="00000000">
      <w:pPr>
        <w:pStyle w:val="Heading4"/>
      </w:pPr>
      <w:r>
        <w:rPr>
          <w:color w:val="1B365D"/>
        </w:rPr>
        <w:t>AMER / SEC EDGAR</w:t>
      </w:r>
    </w:p>
    <w:p w14:paraId="521CCA44" w14:textId="77777777" w:rsidR="002D400C" w:rsidRDefault="00000000">
      <w:r>
        <w:t>The SEC EDGAR workstream faces several structural challenges:</w:t>
      </w:r>
    </w:p>
    <w:p w14:paraId="35887B9B" w14:textId="77777777" w:rsidR="002D400C" w:rsidRDefault="00000000">
      <w:pPr>
        <w:pStyle w:val="ListBullet"/>
      </w:pPr>
      <w:r>
        <w:t>Scale inconsistency: Different line items within the same XBRL filing report at different scales (millions vs thousands vs units). The decimals field indicates scale (-6 = millions, -3 = thousands, 0 = units) but varies per-concept, requiring the _build_concept_to_scale_map() and _apply_row_level_scaling() logic.</w:t>
      </w:r>
    </w:p>
    <w:p w14:paraId="4FFAA82C" w14:textId="77777777" w:rsidR="002D400C" w:rsidRDefault="00000000">
      <w:pPr>
        <w:pStyle w:val="ListBullet"/>
      </w:pPr>
      <w:r>
        <w:t>Entity filtering complexity: SEC filings include data for parent companies, subsidiaries, and segments within the same XBRL instance. The pipeline must filter by dimension_member to isolate parent-only financials, which is not always consistently tagged by filers.</w:t>
      </w:r>
    </w:p>
    <w:p w14:paraId="5E128908" w14:textId="77777777" w:rsidR="002D400C" w:rsidRDefault="00000000">
      <w:pPr>
        <w:pStyle w:val="ListBullet"/>
      </w:pPr>
      <w:r>
        <w:t>API rate limiting: SEC EDGAR enforces 10 requests per second with mandatory User-Agent identification. The edgartools library handles this, but batch processing across many companies requires throttling.</w:t>
      </w:r>
    </w:p>
    <w:p w14:paraId="081FEB13" w14:textId="77777777" w:rsidR="002D400C" w:rsidRDefault="00000000">
      <w:pPr>
        <w:pStyle w:val="ListBullet"/>
      </w:pPr>
      <w:r>
        <w:t>XBRL taxonomy evolution: US-GAAP taxonomies are updated annually, and companies may use extension elements. The concept-to-BREF mapping must be maintained as taxonomies evolve.</w:t>
      </w:r>
    </w:p>
    <w:p w14:paraId="4B89F259" w14:textId="77777777" w:rsidR="002D400C" w:rsidRDefault="00000000">
      <w:pPr>
        <w:pStyle w:val="Heading4"/>
      </w:pPr>
      <w:r>
        <w:rPr>
          <w:color w:val="1B365D"/>
        </w:rPr>
        <w:t>APAC / HKEX PDF Crawling</w:t>
      </w:r>
    </w:p>
    <w:p w14:paraId="06230DE3" w14:textId="77777777" w:rsidR="002D400C" w:rsidRDefault="00000000">
      <w:r>
        <w:t>The APAC workstream presents the most complex extraction challenges due to PDF variability:</w:t>
      </w:r>
    </w:p>
    <w:p w14:paraId="09D870DF" w14:textId="77777777" w:rsidR="002D400C" w:rsidRDefault="00000000">
      <w:pPr>
        <w:pStyle w:val="ListBullet"/>
      </w:pPr>
      <w:r>
        <w:t>CID-encoded PDFs: A significant fraction of HKEX annual reports use CID font encoding where text extraction returns sequences like (cid:42)(cid:55) instead of readable text. The pdf_has_garbled_text() detection (sampling 10 pages, counting CID regex matches, checking alpha ratio) triggers automatic vision fallback.</w:t>
      </w:r>
    </w:p>
    <w:p w14:paraId="4F6EBF5A" w14:textId="77777777" w:rsidR="002D400C" w:rsidRDefault="00000000">
      <w:pPr>
        <w:pStyle w:val="ListBullet"/>
      </w:pPr>
      <w:r>
        <w:t>Multilingual financial tables: Reports from Hong Kong-listed companies typically contain parallel English and Chinese text. The STATEMENT_HEADINGS dictionary includes Chinese variants (</w:t>
      </w:r>
      <w:r>
        <w:t>綜合損益表</w:t>
      </w:r>
      <w:r>
        <w:t xml:space="preserve">, </w:t>
      </w:r>
      <w:r>
        <w:t>資產負債表</w:t>
      </w:r>
      <w:r>
        <w:t xml:space="preserve">, </w:t>
      </w:r>
      <w:r>
        <w:t>現金流量表</w:t>
      </w:r>
      <w:r>
        <w:t>) and Indonesian variants for cross-listed entities.</w:t>
      </w:r>
    </w:p>
    <w:p w14:paraId="66AFBD34" w14:textId="77777777" w:rsidR="002D400C" w:rsidRDefault="00000000">
      <w:pPr>
        <w:pStyle w:val="ListBullet"/>
      </w:pPr>
      <w:r>
        <w:lastRenderedPageBreak/>
        <w:t>Large document pagination: HKEX annual reports routinely exceed 300 pages. Financial statements may appear anywhere in the document, requiring full-document scanning. The scanner processes pages sequentially, checking each against heading patterns.</w:t>
      </w:r>
    </w:p>
    <w:p w14:paraId="7EFA681A" w14:textId="77777777" w:rsidR="002D400C" w:rsidRDefault="00000000">
      <w:pPr>
        <w:pStyle w:val="ListBullet"/>
      </w:pPr>
      <w:r>
        <w:t>Landscape dual-column layouts: Some reports present financial tables in landscape orientation with two statement columns side by side. The _find_heading_side() function detects this by checking page.width &gt; page.height and crops at the midpoint.</w:t>
      </w:r>
    </w:p>
    <w:p w14:paraId="6778A315" w14:textId="77777777" w:rsidR="002D400C" w:rsidRDefault="00000000">
      <w:pPr>
        <w:pStyle w:val="ListBullet"/>
      </w:pPr>
      <w:r>
        <w:t>Manual page input fallback: When automatic detection fails, users can specify exact page ranges (e.g., '302-303'). build_manual_candidate() constructs extraction candidates from user-specified pages.</w:t>
      </w:r>
    </w:p>
    <w:p w14:paraId="1A153D5D" w14:textId="77777777" w:rsidR="002D400C" w:rsidRDefault="00000000">
      <w:pPr>
        <w:pStyle w:val="Heading4"/>
      </w:pPr>
      <w:r>
        <w:rPr>
          <w:color w:val="1B365D"/>
        </w:rPr>
        <w:t>EMEA / XBRL + LEI</w:t>
      </w:r>
    </w:p>
    <w:p w14:paraId="3BDFDF5E" w14:textId="77777777" w:rsidR="002D400C" w:rsidRDefault="00000000">
      <w:r>
        <w:t>The EMEA workstream relies on structured XBRL data but faces its own challenges:</w:t>
      </w:r>
    </w:p>
    <w:p w14:paraId="1688F709" w14:textId="77777777" w:rsidR="002D400C" w:rsidRDefault="00000000">
      <w:pPr>
        <w:pStyle w:val="ListBullet"/>
      </w:pPr>
      <w:r>
        <w:t>LEI dependency: Companies must have a valid 20-character Legal Entity Identifier registered with the Global LEI Foundation. Companies without LEIs cannot be processed through this workstream.</w:t>
      </w:r>
    </w:p>
    <w:p w14:paraId="1F79DE9A" w14:textId="77777777" w:rsidR="002D400C" w:rsidRDefault="00000000">
      <w:pPr>
        <w:pStyle w:val="ListBullet"/>
      </w:pPr>
      <w:r>
        <w:t>IFRS concept variability: While IFRS provides a standard taxonomy, companies may use extension concepts or report identical items under different concept codes. The _load_custom_mapping_config() mechanism addresses this with per-company overrides.</w:t>
      </w:r>
    </w:p>
    <w:p w14:paraId="215D749E" w14:textId="77777777" w:rsidR="002D400C" w:rsidRDefault="00000000">
      <w:pPr>
        <w:pStyle w:val="ListBullet"/>
      </w:pPr>
      <w:r>
        <w:t>Period handling complexity: XBRL periods can be duration (2022-01-01/2022-12-31) or instant (2022-12-31). Balance sheet items use instant periods while P&amp;L items use duration periods. _parse_period() normalises both formats.</w:t>
      </w:r>
    </w:p>
    <w:p w14:paraId="194F8D7E" w14:textId="77777777" w:rsidR="002D400C" w:rsidRDefault="00000000">
      <w:pPr>
        <w:pStyle w:val="ListBullet"/>
      </w:pPr>
      <w:r>
        <w:t>Filing availability lag: XBRL filings on filings.xbrl.org may not be available immediately after a company publishes its annual report, creating a data freshness gap.</w:t>
      </w:r>
    </w:p>
    <w:p w14:paraId="1BF3E82D" w14:textId="77777777" w:rsidR="002D400C" w:rsidRDefault="00000000">
      <w:pPr>
        <w:pStyle w:val="ListBullet"/>
      </w:pPr>
      <w:r>
        <w:t>Limited concept coverage: The IFRS_CONCEPT_LABELS mapping covers 100+ concepts, but niche financial instruments or industry-specific line items may fall outside this coverage.</w:t>
      </w:r>
    </w:p>
    <w:p w14:paraId="771ED22C" w14:textId="77777777" w:rsidR="002D400C" w:rsidRDefault="00000000">
      <w:pPr>
        <w:pStyle w:val="Heading3"/>
      </w:pPr>
      <w:r>
        <w:rPr>
          <w:color w:val="1B365D"/>
        </w:rPr>
        <w:t>5.2.2 Mapping Challenges</w:t>
      </w:r>
    </w:p>
    <w:p w14:paraId="7471DB4A" w14:textId="77777777" w:rsidR="002D400C" w:rsidRDefault="00000000">
      <w:r>
        <w:t>The BREF mapping stage presents cross-regional challenges that affect data quality:</w:t>
      </w:r>
    </w:p>
    <w:p w14:paraId="4EF6A915" w14:textId="77777777" w:rsidR="002D400C" w:rsidRDefault="00000000">
      <w:r>
        <w:rPr>
          <w:b/>
        </w:rPr>
        <w:t xml:space="preserve">Limited BREF field coverage: </w:t>
      </w:r>
      <w:r>
        <w:t>The BREF template defines a fixed set of fields (I-prefix for income, B/L-prefix for balance sheet, ACF-prefix for cash flow in US; Q/U/ICF-prefix for APAC/EMEA). Some extracted line items may not have corresponding BREF fields, leading to unmapped data. Conversely, some BREF fields may not have matching source data.</w:t>
      </w:r>
    </w:p>
    <w:p w14:paraId="67C16690" w14:textId="77777777" w:rsidR="002D400C" w:rsidRDefault="00000000">
      <w:r>
        <w:rPr>
          <w:b/>
        </w:rPr>
        <w:t xml:space="preserve">Alias-based LLM matching complexity: </w:t>
      </w:r>
      <w:r>
        <w:t>The field_mappings.py file (3600+ lines) defines alias lists for each BREF field to help the LLM match diverse source terminology. For example, 'Revenue' field aliases might include 'Turnover', 'Net Sales', 'Total Revenue', 'Chiffre d’affaires'. Maintaining comprehensive alias coverage across languages and regional conventions is an ongoing challenge. The LLM uses semantic understanding beyond exact alias matching, but novel terminology may still cause mismatches.</w:t>
      </w:r>
    </w:p>
    <w:p w14:paraId="01889DA6" w14:textId="77777777" w:rsidR="002D400C" w:rsidRDefault="00000000">
      <w:r>
        <w:rPr>
          <w:b/>
        </w:rPr>
        <w:t xml:space="preserve">Multilingual translation alignment: </w:t>
      </w:r>
      <w:r>
        <w:t>Financial terms in non-English reports must be semantically matched to English BREF field definitions. The pipeline includes a translation step for extracted data, but financial terminology translation requires domain expertise beyond general-purpose translation. Idiomatic differences (e.g., French 'Charges d’exploitation' vs English 'Operating Expenses') are handled through the alias system.</w:t>
      </w:r>
    </w:p>
    <w:p w14:paraId="71149C07" w14:textId="77777777" w:rsidR="002D400C" w:rsidRDefault="00000000">
      <w:r>
        <w:rPr>
          <w:b/>
        </w:rPr>
        <w:lastRenderedPageBreak/>
        <w:t xml:space="preserve">Cross-regional format standardisation: </w:t>
      </w:r>
      <w:r>
        <w:t>Each region uses different BREF field code prefixes (I/ACF/B/L for US; Q/ICF/U for APAC/EMEA), different calculation formulas, and different summary generation logic. The summary_integration.py module maintains region-aware OrderedDict mappings that must be kept in sync across all regions. Cross-statement metrics (e.g., debt-to-equity ratios) require data from multiple statement types to be available simultaneously.</w:t>
      </w:r>
    </w:p>
    <w:p w14:paraId="3EB2B79F" w14:textId="77777777" w:rsidR="002D400C" w:rsidRDefault="00000000">
      <w:pPr>
        <w:pStyle w:val="Heading2"/>
      </w:pPr>
      <w:r>
        <w:rPr>
          <w:color w:val="1B365D"/>
        </w:rPr>
        <w:t>5.3 Mitigation Strategies</w:t>
      </w:r>
    </w:p>
    <w:p w14:paraId="693B3689" w14:textId="77777777" w:rsidR="002D400C" w:rsidRDefault="00000000">
      <w:r>
        <w:rPr>
          <w:b/>
        </w:rPr>
        <w:t xml:space="preserve">Tiered extraction with automatic fallback: </w:t>
      </w:r>
      <w:r>
        <w:t>The three-tier architecture (pdfplumber → LLM vision → LLM page scan) ensures that extraction succeeds across all PDF types without manual intervention. Garbled text detection triggers vision fallback automatically.</w:t>
      </w:r>
    </w:p>
    <w:p w14:paraId="1FA81591" w14:textId="77777777" w:rsidR="002D400C" w:rsidRDefault="00000000">
      <w:r>
        <w:rPr>
          <w:b/>
        </w:rPr>
        <w:t xml:space="preserve">Comprehensive alias dictionaries: </w:t>
      </w:r>
      <w:r>
        <w:t>The 3600+ line field_mappings.py provides extensive alias coverage. The system is designed for incremental expansion—new aliases can be added without code changes to the mapping logic.</w:t>
      </w:r>
    </w:p>
    <w:p w14:paraId="0E500F74" w14:textId="77777777" w:rsidR="002D400C" w:rsidRDefault="00000000">
      <w:r>
        <w:rPr>
          <w:b/>
        </w:rPr>
        <w:t xml:space="preserve">Human-in-the-loop review: </w:t>
      </w:r>
      <w:r>
        <w:t>Low-confidence mappings are surfaced in an editable data table (st.data_editor) where analysts can correct values, labels, and confidence ratings before summary generation.</w:t>
      </w:r>
    </w:p>
    <w:p w14:paraId="306D9C53" w14:textId="77777777" w:rsidR="002D400C" w:rsidRDefault="00000000">
      <w:r>
        <w:rPr>
          <w:b/>
        </w:rPr>
        <w:t xml:space="preserve">Robust JSON parsing: </w:t>
      </w:r>
      <w:r>
        <w:t>Multi-stage JSON repair handles truncated LLM responses: markdown code block extraction, trailing comma removal, regex-based partial reconstruction, and excessive decimal cleanup.</w:t>
      </w:r>
    </w:p>
    <w:p w14:paraId="7812E50E" w14:textId="77777777" w:rsidR="002D400C" w:rsidRDefault="00000000">
      <w:r>
        <w:rPr>
          <w:b/>
        </w:rPr>
        <w:t xml:space="preserve">Parallel processing with worker pools: </w:t>
      </w:r>
      <w:r>
        <w:t>ProcessPoolExecutor for CPU-bound PDF parsing and ThreadPoolExecutor for I/O-bound LLM calls enable concurrent processing of multiple statement types and document chunks.</w:t>
      </w:r>
    </w:p>
    <w:p w14:paraId="07EA402D" w14:textId="77777777" w:rsidR="002D400C" w:rsidRDefault="00000000">
      <w:r>
        <w:rPr>
          <w:b/>
        </w:rPr>
        <w:t xml:space="preserve">MongoDB connection pooling: </w:t>
      </w:r>
      <w:r>
        <w:t>A global connection pool (maxPoolSize=20) replaces per-call MongoClient instantiation, with deterministic query ordering (.sort()) preventing Streamlit rerun loops.</w:t>
      </w:r>
    </w:p>
    <w:p w14:paraId="40ACBC04" w14:textId="77777777" w:rsidR="002D400C" w:rsidRDefault="00000000">
      <w:r>
        <w:rPr>
          <w:b/>
        </w:rPr>
        <w:t xml:space="preserve">Configuration-driven provider switching: </w:t>
      </w:r>
      <w:r>
        <w:t>A single config.ini toggle switches between Azure, Maia, Gemma, and OpenAI LLM backends without code changes, enabling deployment flexibility across environments.</w:t>
      </w:r>
    </w:p>
    <w:p w14:paraId="3DB5ABBD" w14:textId="77777777" w:rsidR="002D400C" w:rsidRDefault="00000000">
      <w:pPr>
        <w:pStyle w:val="Heading2"/>
      </w:pPr>
      <w:r>
        <w:rPr>
          <w:color w:val="1B365D"/>
        </w:rPr>
        <w:t>5.4 Adoption Feasibility</w:t>
      </w:r>
    </w:p>
    <w:p w14:paraId="7D8A33AB" w14:textId="77777777" w:rsidR="002D400C" w:rsidRDefault="00000000">
      <w:r>
        <w:t>The pipeline is designed for enterprise deployment within the Natixis CIB infrastructure:</w:t>
      </w:r>
    </w:p>
    <w:p w14:paraId="39ED284C" w14:textId="77777777" w:rsidR="002D400C" w:rsidRDefault="00000000">
      <w:pPr>
        <w:pStyle w:val="ListBullet"/>
      </w:pPr>
      <w:r>
        <w:t>Single-page Streamlit interface: The unified application (streamlit_app.py) provides a complete workflow from region selection to credit memo, reducing training overhead and context-switching for analysts.</w:t>
      </w:r>
    </w:p>
    <w:p w14:paraId="5A2FCB24" w14:textId="77777777" w:rsidR="002D400C" w:rsidRDefault="00000000">
      <w:pPr>
        <w:pStyle w:val="ListBullet"/>
      </w:pPr>
      <w:r>
        <w:t>Standalone FA capability: The Financial Analysis module can be deployed independently (streamlit run FA/app.py) for teams that only need the analysis component.</w:t>
      </w:r>
    </w:p>
    <w:p w14:paraId="7691149E" w14:textId="77777777" w:rsidR="002D400C" w:rsidRDefault="00000000">
      <w:pPr>
        <w:pStyle w:val="ListBullet"/>
      </w:pPr>
      <w:r>
        <w:t>MongoDB-backed persistence: Company, source, and report data persist in MongoDB with GridFS for binary file storage, enabling audit trails and data reuse.</w:t>
      </w:r>
    </w:p>
    <w:p w14:paraId="36D0EADC" w14:textId="77777777" w:rsidR="002D400C" w:rsidRDefault="00000000">
      <w:pPr>
        <w:pStyle w:val="ListBullet"/>
      </w:pPr>
      <w:r>
        <w:t>Corporate network compatibility: The three-mode proxy configuration (none/server/corporate) with .intranet domain bypass supports deployment in restricted corporate environments.</w:t>
      </w:r>
    </w:p>
    <w:p w14:paraId="6A6E185B" w14:textId="49F485A9" w:rsidR="00672BF9" w:rsidRPr="00672BF9" w:rsidRDefault="00000000" w:rsidP="00672BF9">
      <w:pPr>
        <w:pStyle w:val="ListBullet"/>
      </w:pPr>
      <w:r>
        <w:lastRenderedPageBreak/>
        <w:t>Minimal infrastructure requirements: The system runs on standard Python 3.10+ with Streamlit, requiring only network access to the relevant APIs (SEC EDGAR, HKEX, filings.xbrl.org) and an LLM endpoint.</w:t>
      </w:r>
    </w:p>
    <w:p w14:paraId="44627B40" w14:textId="71A1E228" w:rsidR="002D400C" w:rsidRDefault="00000000">
      <w:pPr>
        <w:pStyle w:val="Heading1"/>
      </w:pPr>
      <w:r>
        <w:rPr>
          <w:color w:val="1B365D"/>
        </w:rPr>
        <w:t>6. Conclusion</w:t>
      </w:r>
    </w:p>
    <w:p w14:paraId="111F1C6C" w14:textId="77777777" w:rsidR="002D400C" w:rsidRDefault="00000000">
      <w:pPr>
        <w:pStyle w:val="Heading2"/>
      </w:pPr>
      <w:r>
        <w:rPr>
          <w:color w:val="1B365D"/>
        </w:rPr>
        <w:t>6.1 Summary of Findings</w:t>
      </w:r>
    </w:p>
    <w:p w14:paraId="71920A5D" w14:textId="77777777" w:rsidR="002D400C" w:rsidRDefault="00000000">
      <w:r>
        <w:t>The Financial Data Ingestion Pipeline successfully addresses the challenge of automating financial statement extraction, normalisation, and analysis across three diverse geographic regions. Key findings include:</w:t>
      </w:r>
    </w:p>
    <w:p w14:paraId="0AA4754B" w14:textId="77777777" w:rsidR="002D400C" w:rsidRDefault="00000000">
      <w:pPr>
        <w:pStyle w:val="ListBullet"/>
      </w:pPr>
      <w:r>
        <w:t>The hybrid pdfplumber + LLM vision approach provides robust extraction across native PDFs, CID-encoded documents, and scanned reports, with automatic fallback requiring no user intervention.</w:t>
      </w:r>
    </w:p>
    <w:p w14:paraId="62347A1D" w14:textId="77777777" w:rsidR="002D400C" w:rsidRDefault="00000000">
      <w:pPr>
        <w:pStyle w:val="ListBullet"/>
      </w:pPr>
      <w:r>
        <w:t>The BREF field schema with alias-driven LLM mapping effectively normalises financial data from heterogeneous sources (SEC XBRL, HKEX PDFs, IFRS API) into a consistent format for cross-regional comparison.</w:t>
      </w:r>
    </w:p>
    <w:p w14:paraId="123D8966" w14:textId="77777777" w:rsidR="002D400C" w:rsidRDefault="00000000">
      <w:pPr>
        <w:pStyle w:val="ListBullet"/>
      </w:pPr>
      <w:r>
        <w:t>The LangGraph multi-agent architecture with LLM-as-Judge validation produces structured credit analysis reports with built-in quality assurance through iterative retry loops.</w:t>
      </w:r>
    </w:p>
    <w:p w14:paraId="5DCCBFE1" w14:textId="77777777" w:rsidR="002D400C" w:rsidRDefault="00000000">
      <w:pPr>
        <w:pStyle w:val="ListBullet"/>
      </w:pPr>
      <w:r>
        <w:t>The unified Streamlit application eliminates the operational complexity of running separate extraction and analysis systems, providing a complete workflow from data ingestion to credit memo in a single interface.</w:t>
      </w:r>
    </w:p>
    <w:p w14:paraId="12EA12ED" w14:textId="77777777" w:rsidR="002D400C" w:rsidRDefault="00000000">
      <w:pPr>
        <w:pStyle w:val="ListBullet"/>
      </w:pPr>
      <w:r>
        <w:t>Configuration-driven LLM provider switching enables deployment flexibility across Azure OpenAI, Maia internal gateway, on-premise Gemma/vLLM, and direct OpenAI endpoints without code modifications.</w:t>
      </w:r>
    </w:p>
    <w:p w14:paraId="38E4CF10" w14:textId="77777777" w:rsidR="002D400C" w:rsidRDefault="00000000">
      <w:pPr>
        <w:pStyle w:val="Heading2"/>
      </w:pPr>
      <w:r>
        <w:rPr>
          <w:color w:val="1B365D"/>
        </w:rPr>
        <w:t>6.2 Next Steps</w:t>
      </w:r>
    </w:p>
    <w:p w14:paraId="3CE85ECC" w14:textId="77777777" w:rsidR="002D400C" w:rsidRDefault="00000000">
      <w:r>
        <w:rPr>
          <w:b/>
        </w:rPr>
        <w:t xml:space="preserve">Expand alias coverage: </w:t>
      </w:r>
      <w:r>
        <w:t>Systematically expand the field_mappings.py alias dictionaries based on mapping failure analysis across a broader corpus of financial reports from each region.</w:t>
      </w:r>
    </w:p>
    <w:p w14:paraId="3989849D" w14:textId="77777777" w:rsidR="002D400C" w:rsidRDefault="00000000">
      <w:r>
        <w:rPr>
          <w:b/>
        </w:rPr>
        <w:t xml:space="preserve">Implement continuous learning: </w:t>
      </w:r>
      <w:r>
        <w:t>Capture human corrections from the data editor review step and use them to improve alias dictionaries and LLM prompt engineering iteratively.</w:t>
      </w:r>
    </w:p>
    <w:p w14:paraId="6BB13FF8" w14:textId="77777777" w:rsidR="002D400C" w:rsidRDefault="00000000">
      <w:r>
        <w:rPr>
          <w:b/>
        </w:rPr>
        <w:t xml:space="preserve">Add additional data sources: </w:t>
      </w:r>
      <w:r>
        <w:t>Extend the pipeline to support additional filing repositories (e.g., Companies House UK, SEDAR+ Canada, ASX Australia) using the established crawler/parser architecture.</w:t>
      </w:r>
    </w:p>
    <w:p w14:paraId="09EFEB22" w14:textId="77777777" w:rsidR="002D400C" w:rsidRDefault="00000000">
      <w:r>
        <w:rPr>
          <w:b/>
        </w:rPr>
        <w:t xml:space="preserve">Enhance cross-statement analysis: </w:t>
      </w:r>
      <w:r>
        <w:t>Expand the summary generation cross-statement metrics to include additional financial ratios (interest coverage, current ratio, quick ratio) and industry-specific KPIs.</w:t>
      </w:r>
    </w:p>
    <w:p w14:paraId="541C2954" w14:textId="77777777" w:rsidR="002D400C" w:rsidRDefault="00000000">
      <w:r>
        <w:rPr>
          <w:b/>
        </w:rPr>
        <w:t xml:space="preserve">Production monitoring: </w:t>
      </w:r>
      <w:r>
        <w:t>Implement dashboards for extraction success rates, LLM token usage, mapping confidence distributions, and FA evaluator acceptance rates to enable proactive quality management.</w:t>
      </w:r>
    </w:p>
    <w:p w14:paraId="576A5B46" w14:textId="77777777" w:rsidR="002D400C" w:rsidRDefault="00000000">
      <w:r>
        <w:rPr>
          <w:b/>
        </w:rPr>
        <w:t xml:space="preserve">Model evaluation framework: </w:t>
      </w:r>
      <w:r>
        <w:t>Establish a systematic evaluation framework comparing extraction accuracy across LLM providers and model versions, enabling data-driven provider selection.</w:t>
      </w:r>
    </w:p>
    <w:p w14:paraId="263C6B84" w14:textId="77777777" w:rsidR="002D400C" w:rsidRDefault="00000000">
      <w:r>
        <w:br w:type="page"/>
      </w:r>
    </w:p>
    <w:p w14:paraId="76F56DAF" w14:textId="77777777" w:rsidR="002D400C" w:rsidRDefault="00000000">
      <w:pPr>
        <w:pStyle w:val="Heading1"/>
      </w:pPr>
      <w:r>
        <w:rPr>
          <w:color w:val="1B365D"/>
        </w:rPr>
        <w:lastRenderedPageBreak/>
        <w:t>Appendix A: System Architecture Overview</w:t>
      </w:r>
    </w:p>
    <w:p w14:paraId="407DBE65" w14:textId="77777777" w:rsidR="002D400C" w:rsidRDefault="00000000">
      <w:r>
        <w:t>The following diagram illustrates the end-to-end pipeline flow:</w:t>
      </w:r>
    </w:p>
    <w:p w14:paraId="32FE1138" w14:textId="77777777" w:rsidR="002D400C" w:rsidRDefault="00000000">
      <w:pPr>
        <w:spacing w:before="240"/>
      </w:pPr>
      <w:r>
        <w:rPr>
          <w:rFonts w:ascii="Consolas" w:hAnsi="Consolas"/>
          <w:sz w:val="18"/>
        </w:rPr>
        <w:t>Region Selection (Streamlit UI)</w:t>
      </w:r>
      <w:r>
        <w:rPr>
          <w:rFonts w:ascii="Consolas" w:hAnsi="Consolas"/>
          <w:sz w:val="18"/>
        </w:rPr>
        <w:br/>
        <w:t xml:space="preserve">        │</w:t>
      </w:r>
      <w:r>
        <w:rPr>
          <w:rFonts w:ascii="Consolas" w:hAnsi="Consolas"/>
          <w:sz w:val="18"/>
        </w:rPr>
        <w:br/>
        <w:t xml:space="preserve">        ├── AMER → SEC EDGAR (edgartools) → XBRL Concept Parsing</w:t>
      </w:r>
      <w:r>
        <w:rPr>
          <w:rFonts w:ascii="Consolas" w:hAnsi="Consolas"/>
          <w:sz w:val="18"/>
        </w:rPr>
        <w:br/>
        <w:t xml:space="preserve">        ├── APAC → HKEX Crawling → PDF Download → pdfplumber / LLM Vision</w:t>
      </w:r>
      <w:r>
        <w:rPr>
          <w:rFonts w:ascii="Consolas" w:hAnsi="Consolas"/>
          <w:sz w:val="18"/>
        </w:rPr>
        <w:br/>
        <w:t xml:space="preserve">        ├── EMEA → filings.xbrl.org API → LEI Lookup → OIM JSON Parsing</w:t>
      </w:r>
      <w:r>
        <w:rPr>
          <w:rFonts w:ascii="Consolas" w:hAnsi="Consolas"/>
          <w:sz w:val="18"/>
        </w:rPr>
        <w:br/>
        <w:t xml:space="preserve">        └── Manual → PDF Upload → pdfplumber / LLM Vision</w:t>
      </w:r>
      <w:r>
        <w:rPr>
          <w:rFonts w:ascii="Consolas" w:hAnsi="Consolas"/>
          <w:sz w:val="18"/>
        </w:rPr>
        <w:br/>
        <w:t xml:space="preserve">        │</w:t>
      </w:r>
      <w:r>
        <w:rPr>
          <w:rFonts w:ascii="Consolas" w:hAnsi="Consolas"/>
          <w:sz w:val="18"/>
        </w:rPr>
        <w:br/>
        <w:t xml:space="preserve">        ↓</w:t>
      </w:r>
      <w:r>
        <w:rPr>
          <w:rFonts w:ascii="Consolas" w:hAnsi="Consolas"/>
          <w:sz w:val="18"/>
        </w:rPr>
        <w:br/>
        <w:t>BREF Field Mapping (LLM + Alias Matching)</w:t>
      </w:r>
      <w:r>
        <w:rPr>
          <w:rFonts w:ascii="Consolas" w:hAnsi="Consolas"/>
          <w:sz w:val="18"/>
        </w:rPr>
        <w:br/>
        <w:t xml:space="preserve">        │</w:t>
      </w:r>
      <w:r>
        <w:rPr>
          <w:rFonts w:ascii="Consolas" w:hAnsi="Consolas"/>
          <w:sz w:val="18"/>
        </w:rPr>
        <w:br/>
        <w:t xml:space="preserve">        ↓</w:t>
      </w:r>
      <w:r>
        <w:rPr>
          <w:rFonts w:ascii="Consolas" w:hAnsi="Consolas"/>
          <w:sz w:val="18"/>
        </w:rPr>
        <w:br/>
        <w:t>Human Review (st.data_editor — editable table)</w:t>
      </w:r>
      <w:r>
        <w:rPr>
          <w:rFonts w:ascii="Consolas" w:hAnsi="Consolas"/>
          <w:sz w:val="18"/>
        </w:rPr>
        <w:br/>
        <w:t xml:space="preserve">        │</w:t>
      </w:r>
      <w:r>
        <w:rPr>
          <w:rFonts w:ascii="Consolas" w:hAnsi="Consolas"/>
          <w:sz w:val="18"/>
        </w:rPr>
        <w:br/>
        <w:t xml:space="preserve">        ↓</w:t>
      </w:r>
      <w:r>
        <w:rPr>
          <w:rFonts w:ascii="Consolas" w:hAnsi="Consolas"/>
          <w:sz w:val="18"/>
        </w:rPr>
        <w:br/>
        <w:t>Summary Generation (Region-Aware Calculations)</w:t>
      </w:r>
      <w:r>
        <w:rPr>
          <w:rFonts w:ascii="Consolas" w:hAnsi="Consolas"/>
          <w:sz w:val="18"/>
        </w:rPr>
        <w:br/>
        <w:t xml:space="preserve">   ├── Income Statement Summary</w:t>
      </w:r>
      <w:r>
        <w:rPr>
          <w:rFonts w:ascii="Consolas" w:hAnsi="Consolas"/>
          <w:sz w:val="18"/>
        </w:rPr>
        <w:br/>
        <w:t xml:space="preserve">   ├── Balance Sheet Summary (Assets + Liabilities)</w:t>
      </w:r>
      <w:r>
        <w:rPr>
          <w:rFonts w:ascii="Consolas" w:hAnsi="Consolas"/>
          <w:sz w:val="18"/>
        </w:rPr>
        <w:br/>
        <w:t xml:space="preserve">   └── Cash Flow Summary (with Cross-Statement Metrics)</w:t>
      </w:r>
      <w:r>
        <w:rPr>
          <w:rFonts w:ascii="Consolas" w:hAnsi="Consolas"/>
          <w:sz w:val="18"/>
        </w:rPr>
        <w:br/>
        <w:t xml:space="preserve">        │</w:t>
      </w:r>
      <w:r>
        <w:rPr>
          <w:rFonts w:ascii="Consolas" w:hAnsi="Consolas"/>
          <w:sz w:val="18"/>
        </w:rPr>
        <w:br/>
        <w:t xml:space="preserve">        ↓</w:t>
      </w:r>
      <w:r>
        <w:rPr>
          <w:rFonts w:ascii="Consolas" w:hAnsi="Consolas"/>
          <w:sz w:val="18"/>
        </w:rPr>
        <w:br/>
        <w:t>Financial Analysis (LangGraph Multi-Agent)</w:t>
      </w:r>
      <w:r>
        <w:rPr>
          <w:rFonts w:ascii="Consolas" w:hAnsi="Consolas"/>
          <w:sz w:val="18"/>
        </w:rPr>
        <w:br/>
        <w:t xml:space="preserve">   ├── BREF Analysts (P&amp;L, BS, CF) → Parallel Sub-Agents per Chunk</w:t>
      </w:r>
      <w:r>
        <w:rPr>
          <w:rFonts w:ascii="Consolas" w:hAnsi="Consolas"/>
          <w:sz w:val="18"/>
        </w:rPr>
        <w:br/>
        <w:t xml:space="preserve">   ├── BREF Evaluators (LLM-as-Judge) → Accept / Retry Loop</w:t>
      </w:r>
      <w:r>
        <w:rPr>
          <w:rFonts w:ascii="Consolas" w:hAnsi="Consolas"/>
          <w:sz w:val="18"/>
        </w:rPr>
        <w:br/>
        <w:t xml:space="preserve">   └── Senior Analyst → Consolidated Report</w:t>
      </w:r>
      <w:r>
        <w:rPr>
          <w:rFonts w:ascii="Consolas" w:hAnsi="Consolas"/>
          <w:sz w:val="18"/>
        </w:rPr>
        <w:br/>
        <w:t xml:space="preserve">        │</w:t>
      </w:r>
      <w:r>
        <w:rPr>
          <w:rFonts w:ascii="Consolas" w:hAnsi="Consolas"/>
          <w:sz w:val="18"/>
        </w:rPr>
        <w:br/>
        <w:t xml:space="preserve">        ↓</w:t>
      </w:r>
      <w:r>
        <w:rPr>
          <w:rFonts w:ascii="Consolas" w:hAnsi="Consolas"/>
          <w:sz w:val="18"/>
        </w:rPr>
        <w:br/>
        <w:t>Credit Memo Output</w:t>
      </w:r>
    </w:p>
    <w:p w14:paraId="57E753BB" w14:textId="77777777" w:rsidR="002D400C" w:rsidRDefault="002D400C"/>
    <w:p w14:paraId="60840439" w14:textId="77777777" w:rsidR="002D400C" w:rsidRDefault="00000000">
      <w:pPr>
        <w:pStyle w:val="Heading1"/>
      </w:pPr>
      <w:r>
        <w:rPr>
          <w:color w:val="1B365D"/>
        </w:rPr>
        <w:t>Appendix B: Technology Stack</w:t>
      </w:r>
    </w:p>
    <w:tbl>
      <w:tblPr>
        <w:tblStyle w:val="TableGrid"/>
        <w:tblW w:w="0" w:type="auto"/>
        <w:jc w:val="center"/>
        <w:tblLook w:val="04A0" w:firstRow="1" w:lastRow="0" w:firstColumn="1" w:lastColumn="0" w:noHBand="0" w:noVBand="1"/>
      </w:tblPr>
      <w:tblGrid>
        <w:gridCol w:w="1701"/>
        <w:gridCol w:w="2268"/>
        <w:gridCol w:w="5102"/>
      </w:tblGrid>
      <w:tr w:rsidR="002D400C" w14:paraId="753AE5CC" w14:textId="77777777">
        <w:trPr>
          <w:jc w:val="center"/>
        </w:trPr>
        <w:tc>
          <w:tcPr>
            <w:tcW w:w="1701" w:type="dxa"/>
            <w:shd w:val="clear" w:color="auto" w:fill="00965E"/>
          </w:tcPr>
          <w:p w14:paraId="43A2F000" w14:textId="77777777" w:rsidR="002D400C" w:rsidRDefault="00000000">
            <w:pPr>
              <w:jc w:val="center"/>
            </w:pPr>
            <w:r>
              <w:rPr>
                <w:b/>
                <w:color w:val="FFFFFF"/>
                <w:sz w:val="18"/>
              </w:rPr>
              <w:t>Category</w:t>
            </w:r>
          </w:p>
        </w:tc>
        <w:tc>
          <w:tcPr>
            <w:tcW w:w="2268" w:type="dxa"/>
            <w:shd w:val="clear" w:color="auto" w:fill="00965E"/>
          </w:tcPr>
          <w:p w14:paraId="5CDDFC0D" w14:textId="77777777" w:rsidR="002D400C" w:rsidRDefault="00000000">
            <w:pPr>
              <w:jc w:val="center"/>
            </w:pPr>
            <w:r>
              <w:rPr>
                <w:b/>
                <w:color w:val="FFFFFF"/>
                <w:sz w:val="18"/>
              </w:rPr>
              <w:t>Technology</w:t>
            </w:r>
          </w:p>
        </w:tc>
        <w:tc>
          <w:tcPr>
            <w:tcW w:w="5102" w:type="dxa"/>
            <w:shd w:val="clear" w:color="auto" w:fill="00965E"/>
          </w:tcPr>
          <w:p w14:paraId="4B1B6693" w14:textId="77777777" w:rsidR="002D400C" w:rsidRDefault="00000000">
            <w:pPr>
              <w:jc w:val="center"/>
            </w:pPr>
            <w:r>
              <w:rPr>
                <w:b/>
                <w:color w:val="FFFFFF"/>
                <w:sz w:val="18"/>
              </w:rPr>
              <w:t>Version / Notes</w:t>
            </w:r>
          </w:p>
        </w:tc>
      </w:tr>
      <w:tr w:rsidR="002D400C" w14:paraId="1F4C71B2" w14:textId="77777777">
        <w:trPr>
          <w:jc w:val="center"/>
        </w:trPr>
        <w:tc>
          <w:tcPr>
            <w:tcW w:w="1701" w:type="dxa"/>
          </w:tcPr>
          <w:p w14:paraId="6F8EBF7D" w14:textId="77777777" w:rsidR="002D400C" w:rsidRDefault="00000000">
            <w:r>
              <w:rPr>
                <w:sz w:val="18"/>
              </w:rPr>
              <w:t>UI Framework</w:t>
            </w:r>
          </w:p>
        </w:tc>
        <w:tc>
          <w:tcPr>
            <w:tcW w:w="2268" w:type="dxa"/>
          </w:tcPr>
          <w:p w14:paraId="52550C54" w14:textId="77777777" w:rsidR="002D400C" w:rsidRDefault="00000000">
            <w:r>
              <w:rPr>
                <w:sz w:val="18"/>
              </w:rPr>
              <w:t>Streamlit</w:t>
            </w:r>
          </w:p>
        </w:tc>
        <w:tc>
          <w:tcPr>
            <w:tcW w:w="5102" w:type="dxa"/>
          </w:tcPr>
          <w:p w14:paraId="23C6DE57" w14:textId="77777777" w:rsidR="002D400C" w:rsidRDefault="00000000">
            <w:r>
              <w:rPr>
                <w:sz w:val="18"/>
              </w:rPr>
              <w:t>Single-page application with session state management</w:t>
            </w:r>
          </w:p>
        </w:tc>
      </w:tr>
      <w:tr w:rsidR="002D400C" w14:paraId="5B32B2CC" w14:textId="77777777">
        <w:trPr>
          <w:jc w:val="center"/>
        </w:trPr>
        <w:tc>
          <w:tcPr>
            <w:tcW w:w="1701" w:type="dxa"/>
            <w:shd w:val="clear" w:color="auto" w:fill="E8F5E9"/>
          </w:tcPr>
          <w:p w14:paraId="52B27515" w14:textId="77777777" w:rsidR="002D400C" w:rsidRDefault="00000000">
            <w:r>
              <w:rPr>
                <w:sz w:val="18"/>
              </w:rPr>
              <w:t>PDF Extraction</w:t>
            </w:r>
          </w:p>
        </w:tc>
        <w:tc>
          <w:tcPr>
            <w:tcW w:w="2268" w:type="dxa"/>
            <w:shd w:val="clear" w:color="auto" w:fill="E8F5E9"/>
          </w:tcPr>
          <w:p w14:paraId="2342820B" w14:textId="77777777" w:rsidR="002D400C" w:rsidRDefault="00000000">
            <w:r>
              <w:rPr>
                <w:sz w:val="18"/>
              </w:rPr>
              <w:t>pdfplumber</w:t>
            </w:r>
          </w:p>
        </w:tc>
        <w:tc>
          <w:tcPr>
            <w:tcW w:w="5102" w:type="dxa"/>
            <w:shd w:val="clear" w:color="auto" w:fill="E8F5E9"/>
          </w:tcPr>
          <w:p w14:paraId="4983AA8D" w14:textId="77777777" w:rsidR="002D400C" w:rsidRDefault="00000000">
            <w:r>
              <w:rPr>
                <w:sz w:val="18"/>
              </w:rPr>
              <w:t>Built on pdfminer.six, spatial-aware text/table extraction</w:t>
            </w:r>
          </w:p>
        </w:tc>
      </w:tr>
      <w:tr w:rsidR="002D400C" w14:paraId="1CBED736" w14:textId="77777777">
        <w:trPr>
          <w:jc w:val="center"/>
        </w:trPr>
        <w:tc>
          <w:tcPr>
            <w:tcW w:w="1701" w:type="dxa"/>
          </w:tcPr>
          <w:p w14:paraId="43021234" w14:textId="77777777" w:rsidR="002D400C" w:rsidRDefault="00000000">
            <w:r>
              <w:rPr>
                <w:sz w:val="18"/>
              </w:rPr>
              <w:t>PDF Rendering</w:t>
            </w:r>
          </w:p>
        </w:tc>
        <w:tc>
          <w:tcPr>
            <w:tcW w:w="2268" w:type="dxa"/>
          </w:tcPr>
          <w:p w14:paraId="4181236A" w14:textId="77777777" w:rsidR="002D400C" w:rsidRDefault="00000000">
            <w:r>
              <w:rPr>
                <w:sz w:val="18"/>
              </w:rPr>
              <w:t>PyMuPDF (fitz)</w:t>
            </w:r>
          </w:p>
        </w:tc>
        <w:tc>
          <w:tcPr>
            <w:tcW w:w="5102" w:type="dxa"/>
          </w:tcPr>
          <w:p w14:paraId="12388123" w14:textId="77777777" w:rsidR="002D400C" w:rsidRDefault="00000000">
            <w:r>
              <w:rPr>
                <w:sz w:val="18"/>
              </w:rPr>
              <w:t>150 DPI page rendering for LLM vision fallback</w:t>
            </w:r>
          </w:p>
        </w:tc>
      </w:tr>
      <w:tr w:rsidR="002D400C" w14:paraId="3952312F" w14:textId="77777777">
        <w:trPr>
          <w:jc w:val="center"/>
        </w:trPr>
        <w:tc>
          <w:tcPr>
            <w:tcW w:w="1701" w:type="dxa"/>
            <w:shd w:val="clear" w:color="auto" w:fill="E8F5E9"/>
          </w:tcPr>
          <w:p w14:paraId="6052EEA2" w14:textId="77777777" w:rsidR="002D400C" w:rsidRDefault="00000000">
            <w:r>
              <w:rPr>
                <w:sz w:val="18"/>
              </w:rPr>
              <w:t>LLM Client</w:t>
            </w:r>
          </w:p>
        </w:tc>
        <w:tc>
          <w:tcPr>
            <w:tcW w:w="2268" w:type="dxa"/>
            <w:shd w:val="clear" w:color="auto" w:fill="E8F5E9"/>
          </w:tcPr>
          <w:p w14:paraId="6899A9A5" w14:textId="77777777" w:rsidR="002D400C" w:rsidRDefault="00000000">
            <w:r>
              <w:rPr>
                <w:sz w:val="18"/>
              </w:rPr>
              <w:t>openai (Python SDK)</w:t>
            </w:r>
          </w:p>
        </w:tc>
        <w:tc>
          <w:tcPr>
            <w:tcW w:w="5102" w:type="dxa"/>
            <w:shd w:val="clear" w:color="auto" w:fill="E8F5E9"/>
          </w:tcPr>
          <w:p w14:paraId="6A0E1540" w14:textId="77777777" w:rsidR="002D400C" w:rsidRDefault="00000000">
            <w:r>
              <w:rPr>
                <w:sz w:val="18"/>
              </w:rPr>
              <w:t>Unified interface for Azure, OpenAI, Gemma, Maia</w:t>
            </w:r>
          </w:p>
        </w:tc>
      </w:tr>
      <w:tr w:rsidR="002D400C" w14:paraId="26B9769C" w14:textId="77777777">
        <w:trPr>
          <w:jc w:val="center"/>
        </w:trPr>
        <w:tc>
          <w:tcPr>
            <w:tcW w:w="1701" w:type="dxa"/>
          </w:tcPr>
          <w:p w14:paraId="2135B85C" w14:textId="77777777" w:rsidR="002D400C" w:rsidRDefault="00000000">
            <w:r>
              <w:rPr>
                <w:sz w:val="18"/>
              </w:rPr>
              <w:t>Agent Framework</w:t>
            </w:r>
          </w:p>
        </w:tc>
        <w:tc>
          <w:tcPr>
            <w:tcW w:w="2268" w:type="dxa"/>
          </w:tcPr>
          <w:p w14:paraId="24EE648F" w14:textId="77777777" w:rsidR="002D400C" w:rsidRDefault="00000000">
            <w:r>
              <w:rPr>
                <w:sz w:val="18"/>
              </w:rPr>
              <w:t>LangGraph</w:t>
            </w:r>
          </w:p>
        </w:tc>
        <w:tc>
          <w:tcPr>
            <w:tcW w:w="5102" w:type="dxa"/>
          </w:tcPr>
          <w:p w14:paraId="68949232" w14:textId="77777777" w:rsidR="002D400C" w:rsidRDefault="00000000">
            <w:r>
              <w:rPr>
                <w:sz w:val="18"/>
              </w:rPr>
              <w:t>StateGraph with conditional edges, parallel sub-agents</w:t>
            </w:r>
          </w:p>
        </w:tc>
      </w:tr>
      <w:tr w:rsidR="002D400C" w14:paraId="4B8312FD" w14:textId="77777777">
        <w:trPr>
          <w:jc w:val="center"/>
        </w:trPr>
        <w:tc>
          <w:tcPr>
            <w:tcW w:w="1701" w:type="dxa"/>
            <w:shd w:val="clear" w:color="auto" w:fill="E8F5E9"/>
          </w:tcPr>
          <w:p w14:paraId="34080E79" w14:textId="77777777" w:rsidR="002D400C" w:rsidRDefault="00000000">
            <w:r>
              <w:rPr>
                <w:sz w:val="18"/>
              </w:rPr>
              <w:t>Concurrency</w:t>
            </w:r>
          </w:p>
        </w:tc>
        <w:tc>
          <w:tcPr>
            <w:tcW w:w="2268" w:type="dxa"/>
            <w:shd w:val="clear" w:color="auto" w:fill="E8F5E9"/>
          </w:tcPr>
          <w:p w14:paraId="341FFC98" w14:textId="77777777" w:rsidR="002D400C" w:rsidRDefault="00000000">
            <w:r>
              <w:rPr>
                <w:sz w:val="18"/>
              </w:rPr>
              <w:t>concurrent.futures</w:t>
            </w:r>
          </w:p>
        </w:tc>
        <w:tc>
          <w:tcPr>
            <w:tcW w:w="5102" w:type="dxa"/>
            <w:shd w:val="clear" w:color="auto" w:fill="E8F5E9"/>
          </w:tcPr>
          <w:p w14:paraId="4A2A1561" w14:textId="77777777" w:rsidR="002D400C" w:rsidRDefault="00000000">
            <w:r>
              <w:rPr>
                <w:sz w:val="18"/>
              </w:rPr>
              <w:t>ProcessPoolExecutor (CPU) + ThreadPoolExecutor (I/O)</w:t>
            </w:r>
          </w:p>
        </w:tc>
      </w:tr>
      <w:tr w:rsidR="002D400C" w14:paraId="10761976" w14:textId="77777777">
        <w:trPr>
          <w:jc w:val="center"/>
        </w:trPr>
        <w:tc>
          <w:tcPr>
            <w:tcW w:w="1701" w:type="dxa"/>
          </w:tcPr>
          <w:p w14:paraId="7E7C4B33" w14:textId="77777777" w:rsidR="002D400C" w:rsidRDefault="00000000">
            <w:r>
              <w:rPr>
                <w:sz w:val="18"/>
              </w:rPr>
              <w:t>Database</w:t>
            </w:r>
          </w:p>
        </w:tc>
        <w:tc>
          <w:tcPr>
            <w:tcW w:w="2268" w:type="dxa"/>
          </w:tcPr>
          <w:p w14:paraId="015DD4D3" w14:textId="77777777" w:rsidR="002D400C" w:rsidRDefault="00000000">
            <w:r>
              <w:rPr>
                <w:sz w:val="18"/>
              </w:rPr>
              <w:t>MongoDB + PyMongo</w:t>
            </w:r>
          </w:p>
        </w:tc>
        <w:tc>
          <w:tcPr>
            <w:tcW w:w="5102" w:type="dxa"/>
          </w:tcPr>
          <w:p w14:paraId="07BA4858" w14:textId="77777777" w:rsidR="002D400C" w:rsidRDefault="00000000">
            <w:r>
              <w:rPr>
                <w:sz w:val="18"/>
              </w:rPr>
              <w:t>Company/source/report storage, GridFS for binary files</w:t>
            </w:r>
          </w:p>
        </w:tc>
      </w:tr>
      <w:tr w:rsidR="002D400C" w14:paraId="784DEDEE" w14:textId="77777777">
        <w:trPr>
          <w:jc w:val="center"/>
        </w:trPr>
        <w:tc>
          <w:tcPr>
            <w:tcW w:w="1701" w:type="dxa"/>
            <w:shd w:val="clear" w:color="auto" w:fill="E8F5E9"/>
          </w:tcPr>
          <w:p w14:paraId="1DBB7968" w14:textId="77777777" w:rsidR="002D400C" w:rsidRDefault="00000000">
            <w:r>
              <w:rPr>
                <w:sz w:val="18"/>
              </w:rPr>
              <w:t>SEC EDGAR</w:t>
            </w:r>
          </w:p>
        </w:tc>
        <w:tc>
          <w:tcPr>
            <w:tcW w:w="2268" w:type="dxa"/>
            <w:shd w:val="clear" w:color="auto" w:fill="E8F5E9"/>
          </w:tcPr>
          <w:p w14:paraId="3C2D4916" w14:textId="77777777" w:rsidR="002D400C" w:rsidRDefault="00000000">
            <w:r>
              <w:rPr>
                <w:sz w:val="18"/>
              </w:rPr>
              <w:t>edgartools</w:t>
            </w:r>
          </w:p>
        </w:tc>
        <w:tc>
          <w:tcPr>
            <w:tcW w:w="5102" w:type="dxa"/>
            <w:shd w:val="clear" w:color="auto" w:fill="E8F5E9"/>
          </w:tcPr>
          <w:p w14:paraId="305998F6" w14:textId="77777777" w:rsidR="002D400C" w:rsidRDefault="00000000">
            <w:r>
              <w:rPr>
                <w:sz w:val="18"/>
              </w:rPr>
              <w:t>Python wrapper for SEC EDGAR API</w:t>
            </w:r>
          </w:p>
        </w:tc>
      </w:tr>
      <w:tr w:rsidR="002D400C" w14:paraId="29EB0896" w14:textId="77777777">
        <w:trPr>
          <w:jc w:val="center"/>
        </w:trPr>
        <w:tc>
          <w:tcPr>
            <w:tcW w:w="1701" w:type="dxa"/>
          </w:tcPr>
          <w:p w14:paraId="60ADB81F" w14:textId="77777777" w:rsidR="002D400C" w:rsidRDefault="00000000">
            <w:r>
              <w:rPr>
                <w:sz w:val="18"/>
              </w:rPr>
              <w:t>HTML Parsing</w:t>
            </w:r>
          </w:p>
        </w:tc>
        <w:tc>
          <w:tcPr>
            <w:tcW w:w="2268" w:type="dxa"/>
          </w:tcPr>
          <w:p w14:paraId="037D766D" w14:textId="77777777" w:rsidR="002D400C" w:rsidRDefault="00000000">
            <w:r>
              <w:rPr>
                <w:sz w:val="18"/>
              </w:rPr>
              <w:t>BeautifulSoup4</w:t>
            </w:r>
          </w:p>
        </w:tc>
        <w:tc>
          <w:tcPr>
            <w:tcW w:w="5102" w:type="dxa"/>
          </w:tcPr>
          <w:p w14:paraId="7F34DC0E" w14:textId="77777777" w:rsidR="002D400C" w:rsidRDefault="00000000">
            <w:r>
              <w:rPr>
                <w:sz w:val="18"/>
              </w:rPr>
              <w:t>HKEX search result parsing</w:t>
            </w:r>
          </w:p>
        </w:tc>
      </w:tr>
      <w:tr w:rsidR="002D400C" w14:paraId="4D85BA8D" w14:textId="77777777">
        <w:trPr>
          <w:jc w:val="center"/>
        </w:trPr>
        <w:tc>
          <w:tcPr>
            <w:tcW w:w="1701" w:type="dxa"/>
            <w:shd w:val="clear" w:color="auto" w:fill="E8F5E9"/>
          </w:tcPr>
          <w:p w14:paraId="38B533F1" w14:textId="77777777" w:rsidR="002D400C" w:rsidRDefault="00000000">
            <w:r>
              <w:rPr>
                <w:sz w:val="18"/>
              </w:rPr>
              <w:lastRenderedPageBreak/>
              <w:t>Excel Processing</w:t>
            </w:r>
          </w:p>
        </w:tc>
        <w:tc>
          <w:tcPr>
            <w:tcW w:w="2268" w:type="dxa"/>
            <w:shd w:val="clear" w:color="auto" w:fill="E8F5E9"/>
          </w:tcPr>
          <w:p w14:paraId="1A96690A" w14:textId="77777777" w:rsidR="002D400C" w:rsidRDefault="00000000">
            <w:r>
              <w:rPr>
                <w:sz w:val="18"/>
              </w:rPr>
              <w:t>openpyxl</w:t>
            </w:r>
          </w:p>
        </w:tc>
        <w:tc>
          <w:tcPr>
            <w:tcW w:w="5102" w:type="dxa"/>
            <w:shd w:val="clear" w:color="auto" w:fill="E8F5E9"/>
          </w:tcPr>
          <w:p w14:paraId="174858DC" w14:textId="77777777" w:rsidR="002D400C" w:rsidRDefault="00000000">
            <w:r>
              <w:rPr>
                <w:sz w:val="18"/>
              </w:rPr>
              <w:t>BREF template read/write, summary output generation</w:t>
            </w:r>
          </w:p>
        </w:tc>
      </w:tr>
      <w:tr w:rsidR="002D400C" w14:paraId="5F10B3FD" w14:textId="77777777">
        <w:trPr>
          <w:jc w:val="center"/>
        </w:trPr>
        <w:tc>
          <w:tcPr>
            <w:tcW w:w="1701" w:type="dxa"/>
          </w:tcPr>
          <w:p w14:paraId="1E5289C4" w14:textId="77777777" w:rsidR="002D400C" w:rsidRDefault="00000000">
            <w:r>
              <w:rPr>
                <w:sz w:val="18"/>
              </w:rPr>
              <w:t>HTTP Client</w:t>
            </w:r>
          </w:p>
        </w:tc>
        <w:tc>
          <w:tcPr>
            <w:tcW w:w="2268" w:type="dxa"/>
          </w:tcPr>
          <w:p w14:paraId="5F7BF62C" w14:textId="77777777" w:rsidR="002D400C" w:rsidRDefault="00000000">
            <w:r>
              <w:rPr>
                <w:sz w:val="18"/>
              </w:rPr>
              <w:t>httpx / requests</w:t>
            </w:r>
          </w:p>
        </w:tc>
        <w:tc>
          <w:tcPr>
            <w:tcW w:w="5102" w:type="dxa"/>
          </w:tcPr>
          <w:p w14:paraId="319FEB40" w14:textId="77777777" w:rsidR="002D400C" w:rsidRDefault="00000000">
            <w:r>
              <w:rPr>
                <w:sz w:val="18"/>
              </w:rPr>
              <w:t>Proxy-aware HTTP with .intranet bypass</w:t>
            </w:r>
          </w:p>
        </w:tc>
      </w:tr>
      <w:tr w:rsidR="002D400C" w14:paraId="018BF71B" w14:textId="77777777">
        <w:trPr>
          <w:jc w:val="center"/>
        </w:trPr>
        <w:tc>
          <w:tcPr>
            <w:tcW w:w="1701" w:type="dxa"/>
            <w:shd w:val="clear" w:color="auto" w:fill="E8F5E9"/>
          </w:tcPr>
          <w:p w14:paraId="1ED5E487" w14:textId="77777777" w:rsidR="002D400C" w:rsidRDefault="00000000">
            <w:r>
              <w:rPr>
                <w:sz w:val="18"/>
              </w:rPr>
              <w:t>Configuration</w:t>
            </w:r>
          </w:p>
        </w:tc>
        <w:tc>
          <w:tcPr>
            <w:tcW w:w="2268" w:type="dxa"/>
            <w:shd w:val="clear" w:color="auto" w:fill="E8F5E9"/>
          </w:tcPr>
          <w:p w14:paraId="0EACCCF0" w14:textId="77777777" w:rsidR="002D400C" w:rsidRDefault="00000000">
            <w:r>
              <w:rPr>
                <w:sz w:val="18"/>
              </w:rPr>
              <w:t>configparser</w:t>
            </w:r>
          </w:p>
        </w:tc>
        <w:tc>
          <w:tcPr>
            <w:tcW w:w="5102" w:type="dxa"/>
            <w:shd w:val="clear" w:color="auto" w:fill="E8F5E9"/>
          </w:tcPr>
          <w:p w14:paraId="163EC804" w14:textId="77777777" w:rsidR="002D400C" w:rsidRDefault="00000000">
            <w:r>
              <w:rPr>
                <w:sz w:val="18"/>
              </w:rPr>
              <w:t>config.ini for LLM, proxy, MongoDB, and performance settings</w:t>
            </w:r>
          </w:p>
        </w:tc>
      </w:tr>
      <w:tr w:rsidR="002D400C" w14:paraId="59D618C9" w14:textId="77777777">
        <w:trPr>
          <w:jc w:val="center"/>
        </w:trPr>
        <w:tc>
          <w:tcPr>
            <w:tcW w:w="1701" w:type="dxa"/>
          </w:tcPr>
          <w:p w14:paraId="71937C61" w14:textId="77777777" w:rsidR="002D400C" w:rsidRDefault="00000000">
            <w:r>
              <w:rPr>
                <w:sz w:val="18"/>
              </w:rPr>
              <w:t>Language</w:t>
            </w:r>
          </w:p>
        </w:tc>
        <w:tc>
          <w:tcPr>
            <w:tcW w:w="2268" w:type="dxa"/>
          </w:tcPr>
          <w:p w14:paraId="42179092" w14:textId="77777777" w:rsidR="002D400C" w:rsidRDefault="00000000">
            <w:r>
              <w:rPr>
                <w:sz w:val="18"/>
              </w:rPr>
              <w:t>Python 3.10+</w:t>
            </w:r>
          </w:p>
        </w:tc>
        <w:tc>
          <w:tcPr>
            <w:tcW w:w="5102" w:type="dxa"/>
          </w:tcPr>
          <w:p w14:paraId="1D1215AC" w14:textId="77777777" w:rsidR="002D400C" w:rsidRDefault="00000000">
            <w:r>
              <w:rPr>
                <w:sz w:val="18"/>
              </w:rPr>
              <w:t>Constrained by server runtime (no 3.12+ f-string features)</w:t>
            </w:r>
          </w:p>
        </w:tc>
      </w:tr>
    </w:tbl>
    <w:p w14:paraId="0581C4CB" w14:textId="77777777" w:rsidR="002D400C" w:rsidRDefault="002D400C"/>
    <w:sectPr w:rsidR="002D400C" w:rsidSect="00034616">
      <w:footerReference w:type="even" r:id="rId8"/>
      <w:footerReference w:type="default" r:id="rId9"/>
      <w:footerReference w:type="first" r:id="rId10"/>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4C083" w14:textId="77777777" w:rsidR="00096B8B" w:rsidRDefault="00096B8B" w:rsidP="00672BF9">
      <w:pPr>
        <w:spacing w:after="0" w:line="240" w:lineRule="auto"/>
      </w:pPr>
      <w:r>
        <w:separator/>
      </w:r>
    </w:p>
  </w:endnote>
  <w:endnote w:type="continuationSeparator" w:id="0">
    <w:p w14:paraId="1ED936D5" w14:textId="77777777" w:rsidR="00096B8B" w:rsidRDefault="00096B8B" w:rsidP="00672B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8C2D9" w14:textId="0F601B8D" w:rsidR="00672BF9" w:rsidRDefault="00672BF9">
    <w:pPr>
      <w:pStyle w:val="Footer"/>
    </w:pPr>
    <w:r>
      <w:rPr>
        <w:noProof/>
      </w:rPr>
      <mc:AlternateContent>
        <mc:Choice Requires="wps">
          <w:drawing>
            <wp:anchor distT="0" distB="0" distL="0" distR="0" simplePos="0" relativeHeight="251659264" behindDoc="0" locked="0" layoutInCell="1" allowOverlap="1" wp14:anchorId="750D99CE" wp14:editId="4FB312D2">
              <wp:simplePos x="635" y="635"/>
              <wp:positionH relativeFrom="page">
                <wp:align>center</wp:align>
              </wp:positionH>
              <wp:positionV relativeFrom="page">
                <wp:align>bottom</wp:align>
              </wp:positionV>
              <wp:extent cx="1320800" cy="368935"/>
              <wp:effectExtent l="0" t="0" r="12700" b="0"/>
              <wp:wrapNone/>
              <wp:docPr id="1172866313" name="Text Box 2" descr="Classified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20800" cy="368935"/>
                      </a:xfrm>
                      <a:prstGeom prst="rect">
                        <a:avLst/>
                      </a:prstGeom>
                      <a:noFill/>
                      <a:ln>
                        <a:noFill/>
                      </a:ln>
                    </wps:spPr>
                    <wps:txbx>
                      <w:txbxContent>
                        <w:p w14:paraId="648AAB12" w14:textId="36D1BFE9" w:rsidR="00672BF9" w:rsidRPr="00672BF9" w:rsidRDefault="00672BF9" w:rsidP="00672BF9">
                          <w:pPr>
                            <w:spacing w:after="0"/>
                            <w:rPr>
                              <w:rFonts w:ascii="Aptos" w:eastAsia="Aptos" w:hAnsi="Aptos" w:cs="Aptos"/>
                              <w:noProof/>
                              <w:color w:val="000000"/>
                              <w:sz w:val="20"/>
                              <w:szCs w:val="20"/>
                            </w:rPr>
                          </w:pPr>
                          <w:r w:rsidRPr="00672BF9">
                            <w:rPr>
                              <w:rFonts w:ascii="Aptos" w:eastAsia="Aptos" w:hAnsi="Aptos" w:cs="Aptos"/>
                              <w:noProof/>
                              <w:color w:val="000000"/>
                              <w:sz w:val="20"/>
                              <w:szCs w:val="20"/>
                            </w:rPr>
                            <w:t>Classified -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50D99CE" id="_x0000_t202" coordsize="21600,21600" o:spt="202" path="m,l,21600r21600,l21600,xe">
              <v:stroke joinstyle="miter"/>
              <v:path gradientshapeok="t" o:connecttype="rect"/>
            </v:shapetype>
            <v:shape id="Text Box 2" o:spid="_x0000_s1026" type="#_x0000_t202" alt="Classified - Confidential" style="position:absolute;margin-left:0;margin-top:0;width:104pt;height:29.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" filled="f" stroked="f">
              <v:fill o:detectmouseclick="t"/>
              <v:textbox style="mso-fit-shape-to-text:t" inset="0,0,0,15pt">
                <w:txbxContent>
                  <w:p w14:paraId="648AAB12" w14:textId="36D1BFE9" w:rsidR="00672BF9" w:rsidRPr="00672BF9" w:rsidRDefault="00672BF9" w:rsidP="00672BF9">
                    <w:pPr>
                      <w:spacing w:after="0"/>
                      <w:rPr>
                        <w:rFonts w:ascii="Aptos" w:eastAsia="Aptos" w:hAnsi="Aptos" w:cs="Aptos"/>
                        <w:noProof/>
                        <w:color w:val="000000"/>
                        <w:sz w:val="20"/>
                        <w:szCs w:val="20"/>
                      </w:rPr>
                    </w:pPr>
                    <w:r w:rsidRPr="00672BF9">
                      <w:rPr>
                        <w:rFonts w:ascii="Aptos" w:eastAsia="Aptos" w:hAnsi="Aptos" w:cs="Aptos"/>
                        <w:noProof/>
                        <w:color w:val="000000"/>
                        <w:sz w:val="20"/>
                        <w:szCs w:val="20"/>
                      </w:rPr>
                      <w:t>Classified -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B7F15" w14:textId="44EA07C5" w:rsidR="00672BF9" w:rsidRDefault="00672BF9">
    <w:pPr>
      <w:pStyle w:val="Footer"/>
    </w:pPr>
    <w:r>
      <w:rPr>
        <w:noProof/>
      </w:rPr>
      <mc:AlternateContent>
        <mc:Choice Requires="wps">
          <w:drawing>
            <wp:anchor distT="0" distB="0" distL="0" distR="0" simplePos="0" relativeHeight="251660288" behindDoc="0" locked="0" layoutInCell="1" allowOverlap="1" wp14:anchorId="6138FB1D" wp14:editId="78E3D76E">
              <wp:simplePos x="901700" y="9429750"/>
              <wp:positionH relativeFrom="page">
                <wp:align>center</wp:align>
              </wp:positionH>
              <wp:positionV relativeFrom="page">
                <wp:align>bottom</wp:align>
              </wp:positionV>
              <wp:extent cx="1320800" cy="368935"/>
              <wp:effectExtent l="0" t="0" r="12700" b="0"/>
              <wp:wrapNone/>
              <wp:docPr id="944879032" name="Text Box 3" descr="Classified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20800" cy="368935"/>
                      </a:xfrm>
                      <a:prstGeom prst="rect">
                        <a:avLst/>
                      </a:prstGeom>
                      <a:noFill/>
                      <a:ln>
                        <a:noFill/>
                      </a:ln>
                    </wps:spPr>
                    <wps:txbx>
                      <w:txbxContent>
                        <w:p w14:paraId="269CECDA" w14:textId="6D3720E3" w:rsidR="00672BF9" w:rsidRPr="00672BF9" w:rsidRDefault="00672BF9" w:rsidP="00672BF9">
                          <w:pPr>
                            <w:spacing w:after="0"/>
                            <w:rPr>
                              <w:rFonts w:ascii="Aptos" w:eastAsia="Aptos" w:hAnsi="Aptos" w:cs="Aptos"/>
                              <w:noProof/>
                              <w:color w:val="000000"/>
                              <w:sz w:val="20"/>
                              <w:szCs w:val="20"/>
                            </w:rPr>
                          </w:pPr>
                          <w:r w:rsidRPr="00672BF9">
                            <w:rPr>
                              <w:rFonts w:ascii="Aptos" w:eastAsia="Aptos" w:hAnsi="Aptos" w:cs="Aptos"/>
                              <w:noProof/>
                              <w:color w:val="000000"/>
                              <w:sz w:val="20"/>
                              <w:szCs w:val="20"/>
                            </w:rPr>
                            <w:t>Classified -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138FB1D" id="_x0000_t202" coordsize="21600,21600" o:spt="202" path="m,l,21600r21600,l21600,xe">
              <v:stroke joinstyle="miter"/>
              <v:path gradientshapeok="t" o:connecttype="rect"/>
            </v:shapetype>
            <v:shape id="Text Box 3" o:spid="_x0000_s1027" type="#_x0000_t202" alt="Classified - Confidential" style="position:absolute;margin-left:0;margin-top:0;width:104pt;height:29.0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" filled="f" stroked="f">
              <v:fill o:detectmouseclick="t"/>
              <v:textbox style="mso-fit-shape-to-text:t" inset="0,0,0,15pt">
                <w:txbxContent>
                  <w:p w14:paraId="269CECDA" w14:textId="6D3720E3" w:rsidR="00672BF9" w:rsidRPr="00672BF9" w:rsidRDefault="00672BF9" w:rsidP="00672BF9">
                    <w:pPr>
                      <w:spacing w:after="0"/>
                      <w:rPr>
                        <w:rFonts w:ascii="Aptos" w:eastAsia="Aptos" w:hAnsi="Aptos" w:cs="Aptos"/>
                        <w:noProof/>
                        <w:color w:val="000000"/>
                        <w:sz w:val="20"/>
                        <w:szCs w:val="20"/>
                      </w:rPr>
                    </w:pPr>
                    <w:r w:rsidRPr="00672BF9">
                      <w:rPr>
                        <w:rFonts w:ascii="Aptos" w:eastAsia="Aptos" w:hAnsi="Aptos" w:cs="Aptos"/>
                        <w:noProof/>
                        <w:color w:val="000000"/>
                        <w:sz w:val="20"/>
                        <w:szCs w:val="20"/>
                      </w:rPr>
                      <w:t>Classified -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8B7A9" w14:textId="614873D3" w:rsidR="00672BF9" w:rsidRDefault="00672BF9">
    <w:pPr>
      <w:pStyle w:val="Footer"/>
    </w:pPr>
    <w:r>
      <w:rPr>
        <w:noProof/>
      </w:rPr>
      <mc:AlternateContent>
        <mc:Choice Requires="wps">
          <w:drawing>
            <wp:anchor distT="0" distB="0" distL="0" distR="0" simplePos="0" relativeHeight="251658240" behindDoc="0" locked="0" layoutInCell="1" allowOverlap="1" wp14:anchorId="33905BE4" wp14:editId="3CE6B4EB">
              <wp:simplePos x="635" y="635"/>
              <wp:positionH relativeFrom="page">
                <wp:align>center</wp:align>
              </wp:positionH>
              <wp:positionV relativeFrom="page">
                <wp:align>bottom</wp:align>
              </wp:positionV>
              <wp:extent cx="1320800" cy="368935"/>
              <wp:effectExtent l="0" t="0" r="12700" b="0"/>
              <wp:wrapNone/>
              <wp:docPr id="1461161023" name="Text Box 1" descr="Classified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20800" cy="368935"/>
                      </a:xfrm>
                      <a:prstGeom prst="rect">
                        <a:avLst/>
                      </a:prstGeom>
                      <a:noFill/>
                      <a:ln>
                        <a:noFill/>
                      </a:ln>
                    </wps:spPr>
                    <wps:txbx>
                      <w:txbxContent>
                        <w:p w14:paraId="286DA5E9" w14:textId="1182AF6B" w:rsidR="00672BF9" w:rsidRPr="00672BF9" w:rsidRDefault="00672BF9" w:rsidP="00672BF9">
                          <w:pPr>
                            <w:spacing w:after="0"/>
                            <w:rPr>
                              <w:rFonts w:ascii="Aptos" w:eastAsia="Aptos" w:hAnsi="Aptos" w:cs="Aptos"/>
                              <w:noProof/>
                              <w:color w:val="000000"/>
                              <w:sz w:val="20"/>
                              <w:szCs w:val="20"/>
                            </w:rPr>
                          </w:pPr>
                          <w:r w:rsidRPr="00672BF9">
                            <w:rPr>
                              <w:rFonts w:ascii="Aptos" w:eastAsia="Aptos" w:hAnsi="Aptos" w:cs="Aptos"/>
                              <w:noProof/>
                              <w:color w:val="000000"/>
                              <w:sz w:val="20"/>
                              <w:szCs w:val="20"/>
                            </w:rPr>
                            <w:t>Classified -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3905BE4" id="_x0000_t202" coordsize="21600,21600" o:spt="202" path="m,l,21600r21600,l21600,xe">
              <v:stroke joinstyle="miter"/>
              <v:path gradientshapeok="t" o:connecttype="rect"/>
            </v:shapetype>
            <v:shape id="Text Box 1" o:spid="_x0000_s1028" type="#_x0000_t202" alt="Classified - Confidential" style="position:absolute;margin-left:0;margin-top:0;width:104pt;height:29.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" filled="f" stroked="f">
              <v:fill o:detectmouseclick="t"/>
              <v:textbox style="mso-fit-shape-to-text:t" inset="0,0,0,15pt">
                <w:txbxContent>
                  <w:p w14:paraId="286DA5E9" w14:textId="1182AF6B" w:rsidR="00672BF9" w:rsidRPr="00672BF9" w:rsidRDefault="00672BF9" w:rsidP="00672BF9">
                    <w:pPr>
                      <w:spacing w:after="0"/>
                      <w:rPr>
                        <w:rFonts w:ascii="Aptos" w:eastAsia="Aptos" w:hAnsi="Aptos" w:cs="Aptos"/>
                        <w:noProof/>
                        <w:color w:val="000000"/>
                        <w:sz w:val="20"/>
                        <w:szCs w:val="20"/>
                      </w:rPr>
                    </w:pPr>
                    <w:r w:rsidRPr="00672BF9">
                      <w:rPr>
                        <w:rFonts w:ascii="Aptos" w:eastAsia="Aptos" w:hAnsi="Aptos" w:cs="Aptos"/>
                        <w:noProof/>
                        <w:color w:val="000000"/>
                        <w:sz w:val="20"/>
                        <w:szCs w:val="20"/>
                      </w:rPr>
                      <w:t>Classified -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7EEB2" w14:textId="77777777" w:rsidR="00096B8B" w:rsidRDefault="00096B8B" w:rsidP="00672BF9">
      <w:pPr>
        <w:spacing w:after="0" w:line="240" w:lineRule="auto"/>
      </w:pPr>
      <w:r>
        <w:separator/>
      </w:r>
    </w:p>
  </w:footnote>
  <w:footnote w:type="continuationSeparator" w:id="0">
    <w:p w14:paraId="23151B55" w14:textId="77777777" w:rsidR="00096B8B" w:rsidRDefault="00096B8B" w:rsidP="00672B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2282954">
    <w:abstractNumId w:val="8"/>
  </w:num>
  <w:num w:numId="2" w16cid:durableId="811673491">
    <w:abstractNumId w:val="6"/>
  </w:num>
  <w:num w:numId="3" w16cid:durableId="1169949171">
    <w:abstractNumId w:val="5"/>
  </w:num>
  <w:num w:numId="4" w16cid:durableId="450981227">
    <w:abstractNumId w:val="4"/>
  </w:num>
  <w:num w:numId="5" w16cid:durableId="2012372417">
    <w:abstractNumId w:val="7"/>
  </w:num>
  <w:num w:numId="6" w16cid:durableId="2095972582">
    <w:abstractNumId w:val="3"/>
  </w:num>
  <w:num w:numId="7" w16cid:durableId="982078582">
    <w:abstractNumId w:val="2"/>
  </w:num>
  <w:num w:numId="8" w16cid:durableId="1936329137">
    <w:abstractNumId w:val="1"/>
  </w:num>
  <w:num w:numId="9" w16cid:durableId="948271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B8B"/>
    <w:rsid w:val="0015074B"/>
    <w:rsid w:val="0029639D"/>
    <w:rsid w:val="002D400C"/>
    <w:rsid w:val="00326F90"/>
    <w:rsid w:val="0049534D"/>
    <w:rsid w:val="00672BF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FDFE75"/>
  <w14:defaultImageDpi w14:val="300"/>
  <w15:docId w15:val="{99EB728A-BEF9-4429-AFD1-7707B6DAB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702bf62-88e6-456d-b298-e2abb13de1ea}" enabled="1" method="Standard" siteId="{548d26ab-8caa-49e1-97c2-a1b1a06cc39c}" contentBits="2"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15</Pages>
  <Words>5120</Words>
  <Characters>29190</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Manish Chauhan</cp:lastModifiedBy>
  <cp:revision>2</cp:revision>
  <dcterms:created xsi:type="dcterms:W3CDTF">2013-12-23T23:15:00Z</dcterms:created>
  <dcterms:modified xsi:type="dcterms:W3CDTF">2026-06-28T22:23:00Z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57178c3f,45e88509,3851b5b8</vt:lpwstr>
  </property>
  <property fmtid="{D5CDD505-2E9C-101B-9397-08002B2CF9AE}" pid="3" name="ClassificationContentMarkingFooterFontProps">
    <vt:lpwstr>#000000,10,Aptos</vt:lpwstr>
  </property>
  <property fmtid="{D5CDD505-2E9C-101B-9397-08002B2CF9AE}" pid="4" name="ClassificationContentMarkingFooterText">
    <vt:lpwstr>Classified - Confidential</vt:lpwstr>
  </property>
</Properties>
</file>