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38247FA" w:rsidR="000F50AA" w:rsidRPr="00686322" w:rsidRDefault="00686322" w:rsidP="005A4BC4">
      <w:pPr>
        <w:pStyle w:val="Titel"/>
        <w:spacing w:line="360" w:lineRule="auto"/>
        <w:jc w:val="left"/>
        <w:rPr>
          <w:sz w:val="44"/>
          <w:szCs w:val="160"/>
        </w:rPr>
      </w:pPr>
      <w:r>
        <w:rPr>
          <w:sz w:val="44"/>
          <w:szCs w:val="160"/>
        </w:rPr>
        <w:t>Zusammenstellung eines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 xml:space="preserve">Denis </w:t>
      </w:r>
      <w:proofErr w:type="spellStart"/>
      <w:r>
        <w:rPr>
          <w:sz w:val="28"/>
          <w:szCs w:val="32"/>
        </w:rPr>
        <w:t>Bieri</w:t>
      </w:r>
      <w:proofErr w:type="spellEnd"/>
    </w:p>
    <w:p w14:paraId="634A1FF9" w14:textId="2D6ECCA1"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BF0EAF">
        <w:rPr>
          <w:noProof/>
          <w:sz w:val="28"/>
          <w:szCs w:val="32"/>
        </w:rPr>
        <w:t>21.05.2020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0866636"/>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6A3F9777" w14:textId="368B2511" w:rsidR="002241CC"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866636" w:history="1">
            <w:r w:rsidR="002241CC" w:rsidRPr="003304FE">
              <w:rPr>
                <w:rStyle w:val="Hyperlink"/>
                <w:noProof/>
              </w:rPr>
              <w:t>Inhaltsverzeichnis</w:t>
            </w:r>
            <w:r w:rsidR="002241CC">
              <w:rPr>
                <w:noProof/>
                <w:webHidden/>
              </w:rPr>
              <w:tab/>
            </w:r>
            <w:r w:rsidR="002241CC">
              <w:rPr>
                <w:noProof/>
                <w:webHidden/>
              </w:rPr>
              <w:fldChar w:fldCharType="begin"/>
            </w:r>
            <w:r w:rsidR="002241CC">
              <w:rPr>
                <w:noProof/>
                <w:webHidden/>
              </w:rPr>
              <w:instrText xml:space="preserve"> PAGEREF _Toc40866636 \h </w:instrText>
            </w:r>
            <w:r w:rsidR="002241CC">
              <w:rPr>
                <w:noProof/>
                <w:webHidden/>
              </w:rPr>
            </w:r>
            <w:r w:rsidR="002241CC">
              <w:rPr>
                <w:noProof/>
                <w:webHidden/>
              </w:rPr>
              <w:fldChar w:fldCharType="separate"/>
            </w:r>
            <w:r w:rsidR="00BF0EAF">
              <w:rPr>
                <w:noProof/>
                <w:webHidden/>
              </w:rPr>
              <w:t>2</w:t>
            </w:r>
            <w:r w:rsidR="002241CC">
              <w:rPr>
                <w:noProof/>
                <w:webHidden/>
              </w:rPr>
              <w:fldChar w:fldCharType="end"/>
            </w:r>
          </w:hyperlink>
        </w:p>
        <w:p w14:paraId="24A2B169" w14:textId="5F523D88" w:rsidR="002241CC" w:rsidRDefault="00F21CE5">
          <w:pPr>
            <w:pStyle w:val="Verzeichnis1"/>
            <w:rPr>
              <w:rFonts w:asciiTheme="minorHAnsi" w:eastAsiaTheme="minorEastAsia" w:hAnsiTheme="minorHAnsi"/>
              <w:noProof/>
              <w:sz w:val="22"/>
              <w:lang w:eastAsia="de-CH"/>
            </w:rPr>
          </w:pPr>
          <w:hyperlink w:anchor="_Toc40866637" w:history="1">
            <w:r w:rsidR="002241CC" w:rsidRPr="003304FE">
              <w:rPr>
                <w:rStyle w:val="Hyperlink"/>
                <w:noProof/>
              </w:rPr>
              <w:t>Abbildungsverzeichnis</w:t>
            </w:r>
            <w:r w:rsidR="002241CC">
              <w:rPr>
                <w:noProof/>
                <w:webHidden/>
              </w:rPr>
              <w:tab/>
            </w:r>
            <w:r w:rsidR="002241CC">
              <w:rPr>
                <w:noProof/>
                <w:webHidden/>
              </w:rPr>
              <w:fldChar w:fldCharType="begin"/>
            </w:r>
            <w:r w:rsidR="002241CC">
              <w:rPr>
                <w:noProof/>
                <w:webHidden/>
              </w:rPr>
              <w:instrText xml:space="preserve"> PAGEREF _Toc40866637 \h </w:instrText>
            </w:r>
            <w:r w:rsidR="002241CC">
              <w:rPr>
                <w:noProof/>
                <w:webHidden/>
              </w:rPr>
            </w:r>
            <w:r w:rsidR="002241CC">
              <w:rPr>
                <w:noProof/>
                <w:webHidden/>
              </w:rPr>
              <w:fldChar w:fldCharType="separate"/>
            </w:r>
            <w:r w:rsidR="00BF0EAF">
              <w:rPr>
                <w:noProof/>
                <w:webHidden/>
              </w:rPr>
              <w:t>2</w:t>
            </w:r>
            <w:r w:rsidR="002241CC">
              <w:rPr>
                <w:noProof/>
                <w:webHidden/>
              </w:rPr>
              <w:fldChar w:fldCharType="end"/>
            </w:r>
          </w:hyperlink>
        </w:p>
        <w:p w14:paraId="107CC251" w14:textId="7900D9F9" w:rsidR="002241CC" w:rsidRDefault="00F21CE5">
          <w:pPr>
            <w:pStyle w:val="Verzeichnis1"/>
            <w:tabs>
              <w:tab w:val="left" w:pos="440"/>
            </w:tabs>
            <w:rPr>
              <w:rFonts w:asciiTheme="minorHAnsi" w:eastAsiaTheme="minorEastAsia" w:hAnsiTheme="minorHAnsi"/>
              <w:noProof/>
              <w:sz w:val="22"/>
              <w:lang w:eastAsia="de-CH"/>
            </w:rPr>
          </w:pPr>
          <w:hyperlink w:anchor="_Toc40866638" w:history="1">
            <w:r w:rsidR="002241CC" w:rsidRPr="003304FE">
              <w:rPr>
                <w:rStyle w:val="Hyperlink"/>
                <w:noProof/>
              </w:rPr>
              <w:t>1.</w:t>
            </w:r>
            <w:r w:rsidR="002241CC">
              <w:rPr>
                <w:rFonts w:asciiTheme="minorHAnsi" w:eastAsiaTheme="minorEastAsia" w:hAnsiTheme="minorHAnsi"/>
                <w:noProof/>
                <w:sz w:val="22"/>
                <w:lang w:eastAsia="de-CH"/>
              </w:rPr>
              <w:tab/>
            </w:r>
            <w:r w:rsidR="002241CC" w:rsidRPr="003304FE">
              <w:rPr>
                <w:rStyle w:val="Hyperlink"/>
                <w:noProof/>
              </w:rPr>
              <w:t>Einleitung</w:t>
            </w:r>
            <w:r w:rsidR="002241CC">
              <w:rPr>
                <w:noProof/>
                <w:webHidden/>
              </w:rPr>
              <w:tab/>
            </w:r>
            <w:r w:rsidR="002241CC">
              <w:rPr>
                <w:noProof/>
                <w:webHidden/>
              </w:rPr>
              <w:fldChar w:fldCharType="begin"/>
            </w:r>
            <w:r w:rsidR="002241CC">
              <w:rPr>
                <w:noProof/>
                <w:webHidden/>
              </w:rPr>
              <w:instrText xml:space="preserve"> PAGEREF _Toc40866638 \h </w:instrText>
            </w:r>
            <w:r w:rsidR="002241CC">
              <w:rPr>
                <w:noProof/>
                <w:webHidden/>
              </w:rPr>
            </w:r>
            <w:r w:rsidR="002241CC">
              <w:rPr>
                <w:noProof/>
                <w:webHidden/>
              </w:rPr>
              <w:fldChar w:fldCharType="separate"/>
            </w:r>
            <w:r w:rsidR="00BF0EAF">
              <w:rPr>
                <w:noProof/>
                <w:webHidden/>
              </w:rPr>
              <w:t>3</w:t>
            </w:r>
            <w:r w:rsidR="002241CC">
              <w:rPr>
                <w:noProof/>
                <w:webHidden/>
              </w:rPr>
              <w:fldChar w:fldCharType="end"/>
            </w:r>
          </w:hyperlink>
        </w:p>
        <w:p w14:paraId="1D37679B" w14:textId="7E9C8596" w:rsidR="002241CC" w:rsidRDefault="00F21CE5">
          <w:pPr>
            <w:pStyle w:val="Verzeichnis1"/>
            <w:tabs>
              <w:tab w:val="left" w:pos="440"/>
            </w:tabs>
            <w:rPr>
              <w:rFonts w:asciiTheme="minorHAnsi" w:eastAsiaTheme="minorEastAsia" w:hAnsiTheme="minorHAnsi"/>
              <w:noProof/>
              <w:sz w:val="22"/>
              <w:lang w:eastAsia="de-CH"/>
            </w:rPr>
          </w:pPr>
          <w:hyperlink w:anchor="_Toc40866639" w:history="1">
            <w:r w:rsidR="002241CC" w:rsidRPr="003304FE">
              <w:rPr>
                <w:rStyle w:val="Hyperlink"/>
                <w:noProof/>
              </w:rPr>
              <w:t>2.</w:t>
            </w:r>
            <w:r w:rsidR="002241CC">
              <w:rPr>
                <w:rFonts w:asciiTheme="minorHAnsi" w:eastAsiaTheme="minorEastAsia" w:hAnsiTheme="minorHAnsi"/>
                <w:noProof/>
                <w:sz w:val="22"/>
                <w:lang w:eastAsia="de-CH"/>
              </w:rPr>
              <w:tab/>
            </w:r>
            <w:r w:rsidR="002241CC" w:rsidRPr="003304FE">
              <w:rPr>
                <w:rStyle w:val="Hyperlink"/>
                <w:noProof/>
              </w:rPr>
              <w:t>Literatur-Review</w:t>
            </w:r>
            <w:r w:rsidR="002241CC">
              <w:rPr>
                <w:noProof/>
                <w:webHidden/>
              </w:rPr>
              <w:tab/>
            </w:r>
            <w:r w:rsidR="002241CC">
              <w:rPr>
                <w:noProof/>
                <w:webHidden/>
              </w:rPr>
              <w:fldChar w:fldCharType="begin"/>
            </w:r>
            <w:r w:rsidR="002241CC">
              <w:rPr>
                <w:noProof/>
                <w:webHidden/>
              </w:rPr>
              <w:instrText xml:space="preserve"> PAGEREF _Toc40866639 \h </w:instrText>
            </w:r>
            <w:r w:rsidR="002241CC">
              <w:rPr>
                <w:noProof/>
                <w:webHidden/>
              </w:rPr>
            </w:r>
            <w:r w:rsidR="002241CC">
              <w:rPr>
                <w:noProof/>
                <w:webHidden/>
              </w:rPr>
              <w:fldChar w:fldCharType="separate"/>
            </w:r>
            <w:r w:rsidR="00BF0EAF">
              <w:rPr>
                <w:noProof/>
                <w:webHidden/>
              </w:rPr>
              <w:t>3</w:t>
            </w:r>
            <w:r w:rsidR="002241CC">
              <w:rPr>
                <w:noProof/>
                <w:webHidden/>
              </w:rPr>
              <w:fldChar w:fldCharType="end"/>
            </w:r>
          </w:hyperlink>
        </w:p>
        <w:p w14:paraId="718E7867" w14:textId="69E683E5" w:rsidR="002241CC" w:rsidRDefault="00F21CE5">
          <w:pPr>
            <w:pStyle w:val="Verzeichnis2"/>
            <w:rPr>
              <w:rFonts w:asciiTheme="minorHAnsi" w:eastAsiaTheme="minorEastAsia" w:hAnsiTheme="minorHAnsi"/>
              <w:noProof/>
              <w:sz w:val="22"/>
              <w:lang w:eastAsia="de-CH"/>
            </w:rPr>
          </w:pPr>
          <w:hyperlink w:anchor="_Toc40866640" w:history="1">
            <w:r w:rsidR="002241CC" w:rsidRPr="003304FE">
              <w:rPr>
                <w:rStyle w:val="Hyperlink"/>
                <w:noProof/>
              </w:rPr>
              <w:t>2.1.</w:t>
            </w:r>
            <w:r w:rsidR="002241CC">
              <w:rPr>
                <w:rFonts w:asciiTheme="minorHAnsi" w:eastAsiaTheme="minorEastAsia" w:hAnsiTheme="minorHAnsi"/>
                <w:noProof/>
                <w:sz w:val="22"/>
                <w:lang w:eastAsia="de-CH"/>
              </w:rPr>
              <w:tab/>
            </w:r>
            <w:r w:rsidR="002241CC" w:rsidRPr="003304FE">
              <w:rPr>
                <w:rStyle w:val="Hyperlink"/>
                <w:noProof/>
              </w:rPr>
              <w:t>Die moderne Portfoliotheorie von Harry M. Markowitz</w:t>
            </w:r>
            <w:r w:rsidR="002241CC">
              <w:rPr>
                <w:noProof/>
                <w:webHidden/>
              </w:rPr>
              <w:tab/>
            </w:r>
            <w:r w:rsidR="002241CC">
              <w:rPr>
                <w:noProof/>
                <w:webHidden/>
              </w:rPr>
              <w:fldChar w:fldCharType="begin"/>
            </w:r>
            <w:r w:rsidR="002241CC">
              <w:rPr>
                <w:noProof/>
                <w:webHidden/>
              </w:rPr>
              <w:instrText xml:space="preserve"> PAGEREF _Toc40866640 \h </w:instrText>
            </w:r>
            <w:r w:rsidR="002241CC">
              <w:rPr>
                <w:noProof/>
                <w:webHidden/>
              </w:rPr>
            </w:r>
            <w:r w:rsidR="002241CC">
              <w:rPr>
                <w:noProof/>
                <w:webHidden/>
              </w:rPr>
              <w:fldChar w:fldCharType="separate"/>
            </w:r>
            <w:r w:rsidR="00BF0EAF">
              <w:rPr>
                <w:noProof/>
                <w:webHidden/>
              </w:rPr>
              <w:t>4</w:t>
            </w:r>
            <w:r w:rsidR="002241CC">
              <w:rPr>
                <w:noProof/>
                <w:webHidden/>
              </w:rPr>
              <w:fldChar w:fldCharType="end"/>
            </w:r>
          </w:hyperlink>
        </w:p>
        <w:p w14:paraId="01ADF21F" w14:textId="0EBF0DA4" w:rsidR="002241CC" w:rsidRDefault="00F21CE5">
          <w:pPr>
            <w:pStyle w:val="Verzeichnis2"/>
            <w:rPr>
              <w:rFonts w:asciiTheme="minorHAnsi" w:eastAsiaTheme="minorEastAsia" w:hAnsiTheme="minorHAnsi"/>
              <w:noProof/>
              <w:sz w:val="22"/>
              <w:lang w:eastAsia="de-CH"/>
            </w:rPr>
          </w:pPr>
          <w:hyperlink w:anchor="_Toc40866641" w:history="1">
            <w:r w:rsidR="002241CC" w:rsidRPr="003304FE">
              <w:rPr>
                <w:rStyle w:val="Hyperlink"/>
                <w:noProof/>
              </w:rPr>
              <w:t>2.2.</w:t>
            </w:r>
            <w:r w:rsidR="002241CC">
              <w:rPr>
                <w:rFonts w:asciiTheme="minorHAnsi" w:eastAsiaTheme="minorEastAsia" w:hAnsiTheme="minorHAnsi"/>
                <w:noProof/>
                <w:sz w:val="22"/>
                <w:lang w:eastAsia="de-CH"/>
              </w:rPr>
              <w:tab/>
            </w:r>
            <w:r w:rsidR="002241CC" w:rsidRPr="003304FE">
              <w:rPr>
                <w:rStyle w:val="Hyperlink"/>
                <w:noProof/>
              </w:rPr>
              <w:t>SMI – der bedeutendste Schweizer Aktienindex</w:t>
            </w:r>
            <w:r w:rsidR="002241CC">
              <w:rPr>
                <w:noProof/>
                <w:webHidden/>
              </w:rPr>
              <w:tab/>
            </w:r>
            <w:r w:rsidR="002241CC">
              <w:rPr>
                <w:noProof/>
                <w:webHidden/>
              </w:rPr>
              <w:fldChar w:fldCharType="begin"/>
            </w:r>
            <w:r w:rsidR="002241CC">
              <w:rPr>
                <w:noProof/>
                <w:webHidden/>
              </w:rPr>
              <w:instrText xml:space="preserve"> PAGEREF _Toc40866641 \h </w:instrText>
            </w:r>
            <w:r w:rsidR="002241CC">
              <w:rPr>
                <w:noProof/>
                <w:webHidden/>
              </w:rPr>
            </w:r>
            <w:r w:rsidR="002241CC">
              <w:rPr>
                <w:noProof/>
                <w:webHidden/>
              </w:rPr>
              <w:fldChar w:fldCharType="separate"/>
            </w:r>
            <w:r w:rsidR="00BF0EAF">
              <w:rPr>
                <w:noProof/>
                <w:webHidden/>
              </w:rPr>
              <w:t>4</w:t>
            </w:r>
            <w:r w:rsidR="002241CC">
              <w:rPr>
                <w:noProof/>
                <w:webHidden/>
              </w:rPr>
              <w:fldChar w:fldCharType="end"/>
            </w:r>
          </w:hyperlink>
        </w:p>
        <w:p w14:paraId="092E358E" w14:textId="53425051" w:rsidR="002241CC" w:rsidRDefault="00F21CE5">
          <w:pPr>
            <w:pStyle w:val="Verzeichnis1"/>
            <w:tabs>
              <w:tab w:val="left" w:pos="440"/>
            </w:tabs>
            <w:rPr>
              <w:rFonts w:asciiTheme="minorHAnsi" w:eastAsiaTheme="minorEastAsia" w:hAnsiTheme="minorHAnsi"/>
              <w:noProof/>
              <w:sz w:val="22"/>
              <w:lang w:eastAsia="de-CH"/>
            </w:rPr>
          </w:pPr>
          <w:hyperlink w:anchor="_Toc40866642" w:history="1">
            <w:r w:rsidR="002241CC" w:rsidRPr="003304FE">
              <w:rPr>
                <w:rStyle w:val="Hyperlink"/>
                <w:noProof/>
              </w:rPr>
              <w:t>3.</w:t>
            </w:r>
            <w:r w:rsidR="002241CC">
              <w:rPr>
                <w:rFonts w:asciiTheme="minorHAnsi" w:eastAsiaTheme="minorEastAsia" w:hAnsiTheme="minorHAnsi"/>
                <w:noProof/>
                <w:sz w:val="22"/>
                <w:lang w:eastAsia="de-CH"/>
              </w:rPr>
              <w:tab/>
            </w:r>
            <w:r w:rsidR="002241CC" w:rsidRPr="003304FE">
              <w:rPr>
                <w:rStyle w:val="Hyperlink"/>
                <w:noProof/>
              </w:rPr>
              <w:t>Methodik</w:t>
            </w:r>
            <w:r w:rsidR="002241CC">
              <w:rPr>
                <w:noProof/>
                <w:webHidden/>
              </w:rPr>
              <w:tab/>
            </w:r>
            <w:r w:rsidR="002241CC">
              <w:rPr>
                <w:noProof/>
                <w:webHidden/>
              </w:rPr>
              <w:fldChar w:fldCharType="begin"/>
            </w:r>
            <w:r w:rsidR="002241CC">
              <w:rPr>
                <w:noProof/>
                <w:webHidden/>
              </w:rPr>
              <w:instrText xml:space="preserve"> PAGEREF _Toc40866642 \h </w:instrText>
            </w:r>
            <w:r w:rsidR="002241CC">
              <w:rPr>
                <w:noProof/>
                <w:webHidden/>
              </w:rPr>
            </w:r>
            <w:r w:rsidR="002241CC">
              <w:rPr>
                <w:noProof/>
                <w:webHidden/>
              </w:rPr>
              <w:fldChar w:fldCharType="separate"/>
            </w:r>
            <w:r w:rsidR="00BF0EAF">
              <w:rPr>
                <w:noProof/>
                <w:webHidden/>
              </w:rPr>
              <w:t>4</w:t>
            </w:r>
            <w:r w:rsidR="002241CC">
              <w:rPr>
                <w:noProof/>
                <w:webHidden/>
              </w:rPr>
              <w:fldChar w:fldCharType="end"/>
            </w:r>
          </w:hyperlink>
        </w:p>
        <w:p w14:paraId="4CC93518" w14:textId="3057B328" w:rsidR="002241CC" w:rsidRDefault="00F21CE5">
          <w:pPr>
            <w:pStyle w:val="Verzeichnis2"/>
            <w:rPr>
              <w:rFonts w:asciiTheme="minorHAnsi" w:eastAsiaTheme="minorEastAsia" w:hAnsiTheme="minorHAnsi"/>
              <w:noProof/>
              <w:sz w:val="22"/>
              <w:lang w:eastAsia="de-CH"/>
            </w:rPr>
          </w:pPr>
          <w:hyperlink w:anchor="_Toc40866643" w:history="1">
            <w:r w:rsidR="002241CC" w:rsidRPr="003304FE">
              <w:rPr>
                <w:rStyle w:val="Hyperlink"/>
                <w:noProof/>
              </w:rPr>
              <w:t>3.1.</w:t>
            </w:r>
            <w:r w:rsidR="002241CC">
              <w:rPr>
                <w:rFonts w:asciiTheme="minorHAnsi" w:eastAsiaTheme="minorEastAsia" w:hAnsiTheme="minorHAnsi"/>
                <w:noProof/>
                <w:sz w:val="22"/>
                <w:lang w:eastAsia="de-CH"/>
              </w:rPr>
              <w:tab/>
            </w:r>
            <w:r w:rsidR="002241CC" w:rsidRPr="003304FE">
              <w:rPr>
                <w:rStyle w:val="Hyperlink"/>
                <w:noProof/>
              </w:rPr>
              <w:t>Eine Hypothese</w:t>
            </w:r>
            <w:r w:rsidR="002241CC">
              <w:rPr>
                <w:noProof/>
                <w:webHidden/>
              </w:rPr>
              <w:tab/>
            </w:r>
            <w:r w:rsidR="002241CC">
              <w:rPr>
                <w:noProof/>
                <w:webHidden/>
              </w:rPr>
              <w:fldChar w:fldCharType="begin"/>
            </w:r>
            <w:r w:rsidR="002241CC">
              <w:rPr>
                <w:noProof/>
                <w:webHidden/>
              </w:rPr>
              <w:instrText xml:space="preserve"> PAGEREF _Toc40866643 \h </w:instrText>
            </w:r>
            <w:r w:rsidR="002241CC">
              <w:rPr>
                <w:noProof/>
                <w:webHidden/>
              </w:rPr>
            </w:r>
            <w:r w:rsidR="002241CC">
              <w:rPr>
                <w:noProof/>
                <w:webHidden/>
              </w:rPr>
              <w:fldChar w:fldCharType="separate"/>
            </w:r>
            <w:r w:rsidR="00BF0EAF">
              <w:rPr>
                <w:noProof/>
                <w:webHidden/>
              </w:rPr>
              <w:t>4</w:t>
            </w:r>
            <w:r w:rsidR="002241CC">
              <w:rPr>
                <w:noProof/>
                <w:webHidden/>
              </w:rPr>
              <w:fldChar w:fldCharType="end"/>
            </w:r>
          </w:hyperlink>
        </w:p>
        <w:p w14:paraId="5E06C681" w14:textId="7B9C0CFC" w:rsidR="002241CC" w:rsidRDefault="00F21CE5">
          <w:pPr>
            <w:pStyle w:val="Verzeichnis2"/>
            <w:rPr>
              <w:rFonts w:asciiTheme="minorHAnsi" w:eastAsiaTheme="minorEastAsia" w:hAnsiTheme="minorHAnsi"/>
              <w:noProof/>
              <w:sz w:val="22"/>
              <w:lang w:eastAsia="de-CH"/>
            </w:rPr>
          </w:pPr>
          <w:hyperlink w:anchor="_Toc40866644" w:history="1">
            <w:r w:rsidR="002241CC" w:rsidRPr="003304FE">
              <w:rPr>
                <w:rStyle w:val="Hyperlink"/>
                <w:noProof/>
              </w:rPr>
              <w:t>3.2.</w:t>
            </w:r>
            <w:r w:rsidR="002241CC">
              <w:rPr>
                <w:rFonts w:asciiTheme="minorHAnsi" w:eastAsiaTheme="minorEastAsia" w:hAnsiTheme="minorHAnsi"/>
                <w:noProof/>
                <w:sz w:val="22"/>
                <w:lang w:eastAsia="de-CH"/>
              </w:rPr>
              <w:tab/>
            </w:r>
            <w:r w:rsidR="002241CC" w:rsidRPr="003304FE">
              <w:rPr>
                <w:rStyle w:val="Hyperlink"/>
                <w:noProof/>
              </w:rPr>
              <w:t>Das methodische Vorgehen</w:t>
            </w:r>
            <w:r w:rsidR="002241CC">
              <w:rPr>
                <w:noProof/>
                <w:webHidden/>
              </w:rPr>
              <w:tab/>
            </w:r>
            <w:r w:rsidR="002241CC">
              <w:rPr>
                <w:noProof/>
                <w:webHidden/>
              </w:rPr>
              <w:fldChar w:fldCharType="begin"/>
            </w:r>
            <w:r w:rsidR="002241CC">
              <w:rPr>
                <w:noProof/>
                <w:webHidden/>
              </w:rPr>
              <w:instrText xml:space="preserve"> PAGEREF _Toc40866644 \h </w:instrText>
            </w:r>
            <w:r w:rsidR="002241CC">
              <w:rPr>
                <w:noProof/>
                <w:webHidden/>
              </w:rPr>
            </w:r>
            <w:r w:rsidR="002241CC">
              <w:rPr>
                <w:noProof/>
                <w:webHidden/>
              </w:rPr>
              <w:fldChar w:fldCharType="separate"/>
            </w:r>
            <w:r w:rsidR="00BF0EAF">
              <w:rPr>
                <w:noProof/>
                <w:webHidden/>
              </w:rPr>
              <w:t>4</w:t>
            </w:r>
            <w:r w:rsidR="002241CC">
              <w:rPr>
                <w:noProof/>
                <w:webHidden/>
              </w:rPr>
              <w:fldChar w:fldCharType="end"/>
            </w:r>
          </w:hyperlink>
        </w:p>
        <w:p w14:paraId="44FA29E4" w14:textId="3C697503" w:rsidR="002241CC" w:rsidRDefault="00F21CE5">
          <w:pPr>
            <w:pStyle w:val="Verzeichnis1"/>
            <w:tabs>
              <w:tab w:val="left" w:pos="440"/>
            </w:tabs>
            <w:rPr>
              <w:rFonts w:asciiTheme="minorHAnsi" w:eastAsiaTheme="minorEastAsia" w:hAnsiTheme="minorHAnsi"/>
              <w:noProof/>
              <w:sz w:val="22"/>
              <w:lang w:eastAsia="de-CH"/>
            </w:rPr>
          </w:pPr>
          <w:hyperlink w:anchor="_Toc40866645" w:history="1">
            <w:r w:rsidR="002241CC" w:rsidRPr="003304FE">
              <w:rPr>
                <w:rStyle w:val="Hyperlink"/>
                <w:noProof/>
              </w:rPr>
              <w:t>4.</w:t>
            </w:r>
            <w:r w:rsidR="002241CC">
              <w:rPr>
                <w:rFonts w:asciiTheme="minorHAnsi" w:eastAsiaTheme="minorEastAsia" w:hAnsiTheme="minorHAnsi"/>
                <w:noProof/>
                <w:sz w:val="22"/>
                <w:lang w:eastAsia="de-CH"/>
              </w:rPr>
              <w:tab/>
            </w:r>
            <w:r w:rsidR="002241CC" w:rsidRPr="003304FE">
              <w:rPr>
                <w:rStyle w:val="Hyperlink"/>
                <w:noProof/>
              </w:rPr>
              <w:t>Ergebnisse</w:t>
            </w:r>
            <w:r w:rsidR="002241CC">
              <w:rPr>
                <w:noProof/>
                <w:webHidden/>
              </w:rPr>
              <w:tab/>
            </w:r>
            <w:r w:rsidR="002241CC">
              <w:rPr>
                <w:noProof/>
                <w:webHidden/>
              </w:rPr>
              <w:fldChar w:fldCharType="begin"/>
            </w:r>
            <w:r w:rsidR="002241CC">
              <w:rPr>
                <w:noProof/>
                <w:webHidden/>
              </w:rPr>
              <w:instrText xml:space="preserve"> PAGEREF _Toc40866645 \h </w:instrText>
            </w:r>
            <w:r w:rsidR="002241CC">
              <w:rPr>
                <w:noProof/>
                <w:webHidden/>
              </w:rPr>
            </w:r>
            <w:r w:rsidR="002241CC">
              <w:rPr>
                <w:noProof/>
                <w:webHidden/>
              </w:rPr>
              <w:fldChar w:fldCharType="separate"/>
            </w:r>
            <w:r w:rsidR="00BF0EAF">
              <w:rPr>
                <w:noProof/>
                <w:webHidden/>
              </w:rPr>
              <w:t>5</w:t>
            </w:r>
            <w:r w:rsidR="002241CC">
              <w:rPr>
                <w:noProof/>
                <w:webHidden/>
              </w:rPr>
              <w:fldChar w:fldCharType="end"/>
            </w:r>
          </w:hyperlink>
        </w:p>
        <w:p w14:paraId="4C25E04D" w14:textId="7BF126D9" w:rsidR="002241CC" w:rsidRDefault="00F21CE5">
          <w:pPr>
            <w:pStyle w:val="Verzeichnis1"/>
            <w:tabs>
              <w:tab w:val="left" w:pos="440"/>
            </w:tabs>
            <w:rPr>
              <w:rFonts w:asciiTheme="minorHAnsi" w:eastAsiaTheme="minorEastAsia" w:hAnsiTheme="minorHAnsi"/>
              <w:noProof/>
              <w:sz w:val="22"/>
              <w:lang w:eastAsia="de-CH"/>
            </w:rPr>
          </w:pPr>
          <w:hyperlink w:anchor="_Toc40866646" w:history="1">
            <w:r w:rsidR="002241CC" w:rsidRPr="003304FE">
              <w:rPr>
                <w:rStyle w:val="Hyperlink"/>
                <w:noProof/>
              </w:rPr>
              <w:t>5.</w:t>
            </w:r>
            <w:r w:rsidR="002241CC">
              <w:rPr>
                <w:rFonts w:asciiTheme="minorHAnsi" w:eastAsiaTheme="minorEastAsia" w:hAnsiTheme="minorHAnsi"/>
                <w:noProof/>
                <w:sz w:val="22"/>
                <w:lang w:eastAsia="de-CH"/>
              </w:rPr>
              <w:tab/>
            </w:r>
            <w:r w:rsidR="002241CC" w:rsidRPr="003304FE">
              <w:rPr>
                <w:rStyle w:val="Hyperlink"/>
                <w:noProof/>
              </w:rPr>
              <w:t>Schlussfolgerung</w:t>
            </w:r>
            <w:r w:rsidR="002241CC">
              <w:rPr>
                <w:noProof/>
                <w:webHidden/>
              </w:rPr>
              <w:tab/>
            </w:r>
            <w:r w:rsidR="002241CC">
              <w:rPr>
                <w:noProof/>
                <w:webHidden/>
              </w:rPr>
              <w:fldChar w:fldCharType="begin"/>
            </w:r>
            <w:r w:rsidR="002241CC">
              <w:rPr>
                <w:noProof/>
                <w:webHidden/>
              </w:rPr>
              <w:instrText xml:space="preserve"> PAGEREF _Toc40866646 \h </w:instrText>
            </w:r>
            <w:r w:rsidR="002241CC">
              <w:rPr>
                <w:noProof/>
                <w:webHidden/>
              </w:rPr>
            </w:r>
            <w:r w:rsidR="002241CC">
              <w:rPr>
                <w:noProof/>
                <w:webHidden/>
              </w:rPr>
              <w:fldChar w:fldCharType="separate"/>
            </w:r>
            <w:r w:rsidR="00BF0EAF">
              <w:rPr>
                <w:noProof/>
                <w:webHidden/>
              </w:rPr>
              <w:t>5</w:t>
            </w:r>
            <w:r w:rsidR="002241CC">
              <w:rPr>
                <w:noProof/>
                <w:webHidden/>
              </w:rPr>
              <w:fldChar w:fldCharType="end"/>
            </w:r>
          </w:hyperlink>
        </w:p>
        <w:p w14:paraId="641AC6F5" w14:textId="6E084578" w:rsidR="002241CC" w:rsidRDefault="00F21CE5">
          <w:pPr>
            <w:pStyle w:val="Verzeichnis1"/>
            <w:rPr>
              <w:rFonts w:asciiTheme="minorHAnsi" w:eastAsiaTheme="minorEastAsia" w:hAnsiTheme="minorHAnsi"/>
              <w:noProof/>
              <w:sz w:val="22"/>
              <w:lang w:eastAsia="de-CH"/>
            </w:rPr>
          </w:pPr>
          <w:hyperlink w:anchor="_Toc40866647" w:history="1">
            <w:r w:rsidR="002241CC" w:rsidRPr="003304FE">
              <w:rPr>
                <w:rStyle w:val="Hyperlink"/>
                <w:noProof/>
              </w:rPr>
              <w:t>Literaturverzeichnis</w:t>
            </w:r>
            <w:r w:rsidR="002241CC">
              <w:rPr>
                <w:noProof/>
                <w:webHidden/>
              </w:rPr>
              <w:tab/>
            </w:r>
            <w:r w:rsidR="002241CC">
              <w:rPr>
                <w:noProof/>
                <w:webHidden/>
              </w:rPr>
              <w:fldChar w:fldCharType="begin"/>
            </w:r>
            <w:r w:rsidR="002241CC">
              <w:rPr>
                <w:noProof/>
                <w:webHidden/>
              </w:rPr>
              <w:instrText xml:space="preserve"> PAGEREF _Toc40866647 \h </w:instrText>
            </w:r>
            <w:r w:rsidR="002241CC">
              <w:rPr>
                <w:noProof/>
                <w:webHidden/>
              </w:rPr>
            </w:r>
            <w:r w:rsidR="002241CC">
              <w:rPr>
                <w:noProof/>
                <w:webHidden/>
              </w:rPr>
              <w:fldChar w:fldCharType="separate"/>
            </w:r>
            <w:r w:rsidR="00BF0EAF">
              <w:rPr>
                <w:noProof/>
                <w:webHidden/>
              </w:rPr>
              <w:t>6</w:t>
            </w:r>
            <w:r w:rsidR="002241CC">
              <w:rPr>
                <w:noProof/>
                <w:webHidden/>
              </w:rPr>
              <w:fldChar w:fldCharType="end"/>
            </w:r>
          </w:hyperlink>
        </w:p>
        <w:p w14:paraId="724F8ECD" w14:textId="0494741C" w:rsidR="002241CC" w:rsidRDefault="00F21CE5">
          <w:pPr>
            <w:pStyle w:val="Verzeichnis1"/>
            <w:rPr>
              <w:rFonts w:asciiTheme="minorHAnsi" w:eastAsiaTheme="minorEastAsia" w:hAnsiTheme="minorHAnsi"/>
              <w:noProof/>
              <w:sz w:val="22"/>
              <w:lang w:eastAsia="de-CH"/>
            </w:rPr>
          </w:pPr>
          <w:hyperlink w:anchor="_Toc40866648" w:history="1">
            <w:r w:rsidR="002241CC" w:rsidRPr="003304FE">
              <w:rPr>
                <w:rStyle w:val="Hyperlink"/>
                <w:noProof/>
              </w:rPr>
              <w:t>Eidesstattliche Erklärung</w:t>
            </w:r>
            <w:r w:rsidR="002241CC">
              <w:rPr>
                <w:noProof/>
                <w:webHidden/>
              </w:rPr>
              <w:tab/>
            </w:r>
            <w:r w:rsidR="002241CC">
              <w:rPr>
                <w:noProof/>
                <w:webHidden/>
              </w:rPr>
              <w:fldChar w:fldCharType="begin"/>
            </w:r>
            <w:r w:rsidR="002241CC">
              <w:rPr>
                <w:noProof/>
                <w:webHidden/>
              </w:rPr>
              <w:instrText xml:space="preserve"> PAGEREF _Toc40866648 \h </w:instrText>
            </w:r>
            <w:r w:rsidR="002241CC">
              <w:rPr>
                <w:noProof/>
                <w:webHidden/>
              </w:rPr>
            </w:r>
            <w:r w:rsidR="002241CC">
              <w:rPr>
                <w:noProof/>
                <w:webHidden/>
              </w:rPr>
              <w:fldChar w:fldCharType="separate"/>
            </w:r>
            <w:r w:rsidR="00BF0EAF">
              <w:rPr>
                <w:noProof/>
                <w:webHidden/>
              </w:rPr>
              <w:t>7</w:t>
            </w:r>
            <w:r w:rsidR="002241CC">
              <w:rPr>
                <w:noProof/>
                <w:webHidden/>
              </w:rPr>
              <w:fldChar w:fldCharType="end"/>
            </w:r>
          </w:hyperlink>
        </w:p>
        <w:p w14:paraId="757CEE8F" w14:textId="38C149F9"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0866637"/>
      <w:r>
        <w:t>Abbildungsverzeichnis</w:t>
      </w:r>
      <w:bookmarkEnd w:id="4"/>
      <w:bookmarkEnd w:id="5"/>
      <w:bookmarkEnd w:id="6"/>
    </w:p>
    <w:p w14:paraId="656DF3F9" w14:textId="20CA8287" w:rsidR="008B4BF2" w:rsidRDefault="008B4BF2" w:rsidP="00BB02B4">
      <w:pPr>
        <w:jc w:val="left"/>
      </w:pP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0866638"/>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63D6AA1D"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w:t>
      </w:r>
      <w:r w:rsidR="00CE3EFC">
        <w:t xml:space="preserve">Zugleich stellt sich die Frage, wie hoch die Rendite ausfällt, die aus dem investierten Kapital gewonnen wird. </w:t>
      </w:r>
      <w:r w:rsidR="009F5928">
        <w:t xml:space="preserve">Daraus leiten sich </w:t>
      </w:r>
      <w:r w:rsidR="00975DF5">
        <w:t>die</w:t>
      </w:r>
      <w:r w:rsidR="009F5928">
        <w:t xml:space="preserve"> </w:t>
      </w:r>
      <w:r w:rsidR="00E30E03">
        <w:t>beiden</w:t>
      </w:r>
      <w:r w:rsidR="00975DF5">
        <w:t xml:space="preserve"> Forschungsfrage</w:t>
      </w:r>
      <w:r w:rsidR="007D0074">
        <w:t>n</w:t>
      </w:r>
      <w:r w:rsidR="00975DF5">
        <w:t xml:space="preserve"> </w:t>
      </w:r>
      <w:r w:rsidR="00F02FC8" w:rsidRPr="00F17354">
        <w:t>F1</w:t>
      </w:r>
      <w:r w:rsidR="00E30E03">
        <w:t xml:space="preserve"> und </w:t>
      </w:r>
      <w:r w:rsidR="00E30E03" w:rsidRPr="00F17354">
        <w:t>F2</w:t>
      </w:r>
      <w:r w:rsidR="009F5928">
        <w:t xml:space="preserve"> 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4442B25" w14:textId="705DD11F" w:rsidR="007D0074" w:rsidRDefault="007D0074" w:rsidP="00533539">
      <w:pPr>
        <w:spacing w:line="259" w:lineRule="auto"/>
        <w:ind w:firstLine="708"/>
        <w:jc w:val="left"/>
      </w:pPr>
      <w:r w:rsidRPr="007D0074">
        <w:rPr>
          <w:b/>
        </w:rPr>
        <w:t>F2</w:t>
      </w:r>
      <w:r>
        <w:t xml:space="preserve">: </w:t>
      </w:r>
      <w:r w:rsidR="007B08F3">
        <w:t>Um welchen Betrag erhöht sich das eingesetzte Kapital in den nächsten Jahren?</w:t>
      </w:r>
    </w:p>
    <w:p w14:paraId="3B441912" w14:textId="6A7A0A8D" w:rsidR="00504FE1" w:rsidRDefault="00975DF5">
      <w:pPr>
        <w:spacing w:line="259" w:lineRule="auto"/>
        <w:jc w:val="left"/>
      </w:pPr>
      <w:r>
        <w:t>Mit dem umfassenden Ziel der Beantwortung der F1</w:t>
      </w:r>
      <w:r w:rsidR="007D0074">
        <w:t xml:space="preserve"> und F2</w:t>
      </w:r>
      <w:r w:rsidR="00700CC7">
        <w:t xml:space="preserve"> werden 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0866639"/>
      <w:r>
        <w:t>Literatur-Review</w:t>
      </w:r>
      <w:bookmarkEnd w:id="9"/>
      <w:bookmarkEnd w:id="10"/>
    </w:p>
    <w:p w14:paraId="4CA12C22" w14:textId="6C49A912"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D64236">
        <w:t xml:space="preserve"> </w:t>
      </w:r>
      <w:r w:rsidR="00B17421">
        <w:fldChar w:fldCharType="begin" w:fldLock="1"/>
      </w:r>
      <w:r w:rsidR="00D64236">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B17421">
        <w:fldChar w:fldCharType="end"/>
      </w:r>
      <w:r w:rsidR="00F22119">
        <w:t>(Saunders et al., 2016)</w:t>
      </w:r>
      <w:r w:rsidR="007B0912">
        <w:t>.</w:t>
      </w:r>
    </w:p>
    <w:p w14:paraId="42AB8444" w14:textId="1B5C2B24" w:rsidR="00B00385" w:rsidRDefault="00B00385" w:rsidP="00BF1864">
      <w:r>
        <w:t>In der ersten Iteration</w:t>
      </w:r>
      <w:r w:rsidR="00504FE1">
        <w:t xml:space="preserve"> (vgl. Kapitel 2.1)</w:t>
      </w:r>
      <w:r>
        <w:t xml:space="preserve"> geht es darum </w:t>
      </w:r>
      <w:r w:rsidR="00504FE1">
        <w:t xml:space="preserve">die theoretischen Erkenntnisse aus der Portfoliotheorie von Harry M. Markowitz. Das Ziel ist es also Literatur zu finden, die sich mit dieser Theorie </w:t>
      </w:r>
      <w:r w:rsidR="00504FE1">
        <w:lastRenderedPageBreak/>
        <w:t>befasst und wichtige Erkenntnisse daraus formuliert.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BF1864">
        <w:t>.</w:t>
      </w:r>
    </w:p>
    <w:p w14:paraId="7DD2BF6B" w14:textId="17C140D8" w:rsidR="00B00385" w:rsidRPr="00EF34D9" w:rsidRDefault="007A4A2B" w:rsidP="00EF34D9">
      <w:r w:rsidRPr="009A3EF3">
        <w:rPr>
          <w:highlight w:val="yellow"/>
        </w:rPr>
        <w:t>In der zweiten Iteration (vgl. Kapitel 2.2) …</w:t>
      </w:r>
    </w:p>
    <w:p w14:paraId="28DE70CE" w14:textId="17E93F03" w:rsidR="00636C09" w:rsidRDefault="00A33E7D" w:rsidP="00A33E7D">
      <w:pPr>
        <w:pStyle w:val="berschrift2"/>
        <w:numPr>
          <w:ilvl w:val="1"/>
          <w:numId w:val="9"/>
        </w:numPr>
      </w:pPr>
      <w:bookmarkStart w:id="11" w:name="_Toc40866358"/>
      <w:bookmarkStart w:id="12" w:name="_Toc40866640"/>
      <w:r>
        <w:t xml:space="preserve">Die </w:t>
      </w:r>
      <w:r w:rsidR="002241CC">
        <w:t>m</w:t>
      </w:r>
      <w:r>
        <w:t>oderne Portfoliotheorie von Harry M. Markowitz</w:t>
      </w:r>
      <w:bookmarkEnd w:id="11"/>
      <w:bookmarkEnd w:id="12"/>
    </w:p>
    <w:p w14:paraId="6A23042B" w14:textId="13081671" w:rsidR="000F5B71" w:rsidRDefault="000F5B71" w:rsidP="000F5B71">
      <w:r>
        <w:t>Was ist Anlegern, die ihr Geld in Aktien von Unternehmen investieren, besonders wichtig? Aktionäre wünschen sich in erster Linie möglichst hohe Renditen. Die</w:t>
      </w:r>
      <w:r w:rsidR="00573D75">
        <w:t xml:space="preserve"> </w:t>
      </w:r>
      <w:r w:rsidR="004D55B2">
        <w:t>Gesamtrendite</w:t>
      </w:r>
      <w:r w:rsidR="00573D75">
        <w:t xml:space="preserve"> einer Aktie ergibt sich aus der Kurs</w:t>
      </w:r>
      <w:r w:rsidR="004D55B2">
        <w:t>differenz</w:t>
      </w:r>
      <w:r w:rsidR="00573D75">
        <w:t xml:space="preserve"> des aktuellen Aktienkurses</w:t>
      </w:r>
      <w:r w:rsidR="00EF6471">
        <w:t xml:space="preserve"> </w:t>
      </w:r>
      <w:r w:rsidR="00573D75">
        <w:t xml:space="preserve">und des </w:t>
      </w:r>
      <w:r w:rsidR="004D55B2">
        <w:t>Anschaffungskurses</w:t>
      </w:r>
      <w:r w:rsidR="00EF6471">
        <w:t xml:space="preserve"> </w:t>
      </w:r>
      <w:r w:rsidR="00573D75">
        <w:t>addiert mit der Dividende</w:t>
      </w:r>
      <w:r w:rsidR="00EF6471">
        <w:t xml:space="preserve"> </w:t>
      </w:r>
      <w:r w:rsidR="00573D75">
        <w:t>dividiert mit dem Aktienkurs der letzten Periode</w:t>
      </w:r>
      <w:r w:rsidR="00D47755">
        <w:t xml:space="preserve"> </w:t>
      </w:r>
      <w:r w:rsidR="00D47755">
        <w:fldChar w:fldCharType="begin" w:fldLock="1"/>
      </w:r>
      <w:r w:rsidR="008538F2">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D47755">
        <w:fldChar w:fldCharType="separate"/>
      </w:r>
      <w:r w:rsidR="00D47755" w:rsidRPr="00C60F80">
        <w:rPr>
          <w:noProof/>
        </w:rPr>
        <w:t>(Leven &amp; Schlienkamp, 1998)</w:t>
      </w:r>
      <w:r w:rsidR="00D47755">
        <w:fldChar w:fldCharType="end"/>
      </w:r>
      <w:r w:rsidR="00573D75">
        <w:t>. Daraus ergibt sich die folgende Formel:</w:t>
      </w:r>
    </w:p>
    <w:p w14:paraId="1F970FD4" w14:textId="0A3035E2" w:rsidR="00573D75" w:rsidRDefault="004D55B2" w:rsidP="000F5B71">
      <w:pPr>
        <w:rPr>
          <w:rFonts w:eastAsiaTheme="minorEastAsia"/>
        </w:rPr>
      </w:pPr>
      <m:oMath>
        <m:r>
          <w:rPr>
            <w:rFonts w:ascii="Cambria Math" w:hAnsi="Cambria Math"/>
          </w:rPr>
          <m:t>Gesamtrendite</m:t>
        </m:r>
        <m:r>
          <w:rPr>
            <w:rFonts w:ascii="Cambria Math" w:hAnsi="Cambria Math"/>
          </w:rPr>
          <m:t>=</m:t>
        </m:r>
        <m:f>
          <m:fPr>
            <m:ctrlPr>
              <w:rPr>
                <w:rFonts w:ascii="Cambria Math" w:hAnsi="Cambria Math"/>
                <w:i/>
              </w:rPr>
            </m:ctrlPr>
          </m:fPr>
          <m:num>
            <m:r>
              <w:rPr>
                <w:rFonts w:ascii="Cambria Math" w:hAnsi="Cambria Math"/>
              </w:rPr>
              <m:t>Aktueller Aktienkurs-</m:t>
            </m:r>
            <m:r>
              <w:rPr>
                <w:rFonts w:ascii="Cambria Math" w:hAnsi="Cambria Math"/>
              </w:rPr>
              <m:t xml:space="preserve">Anschaffungskurs </m:t>
            </m:r>
            <m:r>
              <w:rPr>
                <w:rFonts w:ascii="Cambria Math" w:hAnsi="Cambria Math"/>
              </w:rPr>
              <m:t xml:space="preserve">+Dividende </m:t>
            </m:r>
          </m:num>
          <m:den>
            <m:r>
              <w:rPr>
                <w:rFonts w:ascii="Cambria Math" w:hAnsi="Cambria Math"/>
              </w:rPr>
              <m:t>Anschaffungskurs</m:t>
            </m:r>
          </m:den>
        </m:f>
        <m:r>
          <w:rPr>
            <w:rFonts w:ascii="Cambria Math" w:hAnsi="Cambria Math"/>
          </w:rPr>
          <m:t>×100</m:t>
        </m:r>
      </m:oMath>
      <w:r w:rsidR="00D8483B">
        <w:rPr>
          <w:rFonts w:eastAsiaTheme="minorEastAsia"/>
        </w:rPr>
        <w:t xml:space="preserve"> </w:t>
      </w:r>
    </w:p>
    <w:p w14:paraId="31A5E051" w14:textId="54BD433D" w:rsidR="004D55B2" w:rsidRDefault="004D55B2" w:rsidP="000F5B71">
      <w:pPr>
        <w:rPr>
          <w:rFonts w:eastAsiaTheme="minorEastAsia"/>
        </w:rPr>
      </w:pPr>
      <w:r>
        <w:rPr>
          <w:rFonts w:eastAsiaTheme="minorEastAsia"/>
        </w:rPr>
        <w:t>Die periodische Rendite lässt sich daraus ableiten. Dazu wird die Kursdifferenz aus dem aktuellen Aktienkurs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w:t>
      </w:r>
      <w:r w:rsidR="00D8483B">
        <w:rPr>
          <w:rFonts w:eastAsiaTheme="minorEastAsia"/>
        </w:rPr>
        <w:t xml:space="preserve">und dem Aktienkurs der letzten Periode </w:t>
      </w:r>
      <w:r w:rsidR="00D8483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r>
              <w:rPr>
                <w:rFonts w:ascii="Cambria Math" w:eastAsiaTheme="minorEastAsia" w:hAnsi="Cambria Math"/>
              </w:rPr>
              <m:t>-1</m:t>
            </m:r>
          </m:sub>
        </m:sSub>
      </m:oMath>
      <w:r w:rsidR="00D8483B">
        <w:rPr>
          <w:rFonts w:eastAsiaTheme="minorEastAsia"/>
        </w:rPr>
        <w:t>)</w:t>
      </w:r>
      <w:r w:rsidR="00D8483B">
        <w:rPr>
          <w:rFonts w:eastAsiaTheme="minorEastAsia"/>
        </w:rPr>
        <w:t xml:space="preserve"> mit dem Aktienkurs der letzten Periode dividiert</w:t>
      </w:r>
      <w:r w:rsidR="00602698">
        <w:rPr>
          <w:rFonts w:eastAsiaTheme="minorEastAsia"/>
        </w:rPr>
        <w:t>. Die Dividende wird nur in der jährlichen und der gesamten Renditenberechnung miteinbezogen. Folgende Formel leitet sich daraus ab:</w:t>
      </w:r>
    </w:p>
    <w:p w14:paraId="7A9797CA" w14:textId="72322E89" w:rsidR="00D8483B" w:rsidRDefault="00D8483B" w:rsidP="000F5B71">
      <m:oMath>
        <m:r>
          <w:rPr>
            <w:rFonts w:ascii="Cambria Math" w:hAnsi="Cambria Math"/>
          </w:rPr>
          <m:t>Periodische Rendite</m:t>
        </m:r>
        <m:r>
          <w:rPr>
            <w:rFonts w:ascii="Cambria Math" w:hAnsi="Cambria Math"/>
          </w:rPr>
          <m:t>=</m:t>
        </m:r>
        <m:f>
          <m:fPr>
            <m:ctrlPr>
              <w:rPr>
                <w:rFonts w:ascii="Cambria Math" w:hAnsi="Cambria Math"/>
                <w:i/>
              </w:rPr>
            </m:ctrlPr>
          </m:fPr>
          <m:num>
            <m:r>
              <w:rPr>
                <w:rFonts w:ascii="Cambria Math" w:hAnsi="Cambria Math"/>
              </w:rPr>
              <m:t>Aktueller Aktienkurs-</m:t>
            </m:r>
            <m:r>
              <w:rPr>
                <w:rFonts w:ascii="Cambria Math" w:hAnsi="Cambria Math"/>
              </w:rPr>
              <m:t>Aktienkurs der letzten Periode</m:t>
            </m:r>
            <m:r>
              <w:rPr>
                <w:rFonts w:ascii="Cambria Math" w:hAnsi="Cambria Math"/>
              </w:rPr>
              <m:t xml:space="preserve"> </m:t>
            </m:r>
          </m:num>
          <m:den>
            <m:r>
              <w:rPr>
                <w:rFonts w:ascii="Cambria Math" w:hAnsi="Cambria Math"/>
              </w:rPr>
              <m:t>Aktienkurs der letzten Periode</m:t>
            </m:r>
          </m:den>
        </m:f>
        <m:r>
          <w:rPr>
            <w:rFonts w:ascii="Cambria Math" w:hAnsi="Cambria Math"/>
          </w:rPr>
          <m:t>×100</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Pr>
          <w:rFonts w:eastAsiaTheme="minorEastAsia"/>
        </w:rPr>
        <w:t xml:space="preserve"> </w:t>
      </w:r>
    </w:p>
    <w:p w14:paraId="7DC85497" w14:textId="146065C3" w:rsidR="000F5B71" w:rsidRDefault="004D55B2" w:rsidP="000F5B71">
      <w:r>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führt.</w:t>
      </w:r>
    </w:p>
    <w:p w14:paraId="156C6F22" w14:textId="6110EE88" w:rsidR="00D8483B" w:rsidRDefault="00D8483B" w:rsidP="000F5B71">
      <w:pPr>
        <w:rPr>
          <w:rFonts w:eastAsiaTheme="minorEastAsia"/>
        </w:rPr>
      </w:pPr>
      <w:r>
        <w:t xml:space="preserve">Neben </w:t>
      </w:r>
      <w:r w:rsidR="008538F2">
        <w:t>einer hohen</w:t>
      </w:r>
      <w:r>
        <w:t xml:space="preserve"> Rendite wünschen sich Aktionäre viel Sicherheit, das heisst dass sie mit einem Investment ein möglichst geringes Risiko eingehen.</w:t>
      </w:r>
      <w:r w:rsidR="008538F2">
        <w:t xml:space="preserve"> Weil der Aktienkurs</w:t>
      </w:r>
      <w:r w:rsidR="00BF0EAF">
        <w:t xml:space="preserve"> – sowie auch die Dividende –</w:t>
      </w:r>
      <w:r w:rsidR="008538F2">
        <w:t xml:space="preserve"> und damit folglich auch die Rendite schwankt besteht eine Unsicherheit, ob die Erwartungen der Anleger eintreffen. Je stärker also die Schwankungen im Wert einer Aktie beziehungsweise eines Aktienportfolios, desto höher ist auch das Risiko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 xml:space="preserve">Diese Schwankungen lassen sich statistisch mit der Volatilität messen. Die Volatilität ist in ruhigen Perioden mit wenig Schwankungen gering und in hektischen Perioden mit vielen Schwankungen hoch </w:t>
      </w:r>
      <w:r w:rsidR="00340AA4">
        <w:fldChar w:fldCharType="begin" w:fldLock="1"/>
      </w:r>
      <w:r w:rsidR="00FF6753">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340AA4">
        <w:fldChar w:fldCharType="separate"/>
      </w:r>
      <w:r w:rsidR="00340AA4" w:rsidRPr="00340AA4">
        <w:rPr>
          <w:noProof/>
        </w:rPr>
        <w:t>(Neusser, 2011)</w:t>
      </w:r>
      <w:r w:rsidR="00340AA4">
        <w:fldChar w:fldCharType="end"/>
      </w:r>
      <w:r w:rsidR="00340AA4">
        <w:t>.</w:t>
      </w:r>
      <w:r w:rsidR="008A733C">
        <w:t xml:space="preserve"> Die </w:t>
      </w:r>
      <w:r w:rsidR="00976FBB">
        <w:t xml:space="preserve">jährliche </w:t>
      </w:r>
      <w:r w:rsidR="008A733C">
        <w:t>Volatilität berechnet sich aus der Abweichung der tatsächlichen Rendite</w:t>
      </w:r>
      <w:r w:rsidR="000B40DB">
        <w:t xml:space="preserve"> </w:t>
      </w:r>
      <m:oMath>
        <m:r>
          <w:rPr>
            <w:rFonts w:ascii="Cambria Math" w:hAnsi="Cambria Math"/>
          </w:rPr>
          <m:t>r</m:t>
        </m:r>
      </m:oMath>
      <w:r w:rsidR="008A733C">
        <w:t xml:space="preserve"> zum </w:t>
      </w:r>
      <w:r w:rsidR="00976FBB">
        <w:t>Jahr</w:t>
      </w:r>
      <w:r w:rsidR="008A733C">
        <w:t xml:space="preserve"> </w:t>
      </w:r>
      <m:oMath>
        <m:r>
          <w:rPr>
            <w:rFonts w:ascii="Cambria Math" w:hAnsi="Cambria Math"/>
          </w:rPr>
          <m:t>i</m:t>
        </m:r>
      </m:oMath>
      <w:r w:rsidR="000B40DB">
        <w:rPr>
          <w:rFonts w:eastAsiaTheme="minorEastAsia"/>
        </w:rPr>
        <w:t xml:space="preserve"> </w:t>
      </w:r>
      <w:r w:rsidR="008A733C">
        <w:t>und de</w:t>
      </w:r>
      <w:r w:rsidR="000B40DB">
        <w:t xml:space="preserve">r durchschnittlichen Rendite der Aktie. Die durchschnittliche Rendite wird auch als Erwartungswert </w:t>
      </w:r>
      <m:oMath>
        <m:r>
          <w:rPr>
            <w:rFonts w:ascii="Cambria Math" w:hAnsi="Cambria Math"/>
          </w:rPr>
          <m:t>μ</m:t>
        </m:r>
      </m:oMath>
      <w:r w:rsidR="000B40DB">
        <w:rPr>
          <w:rFonts w:eastAsiaTheme="minorEastAsia"/>
        </w:rPr>
        <w:t xml:space="preserve"> bezeichnet</w:t>
      </w:r>
      <w:r w:rsidR="00F63908">
        <w:rPr>
          <w:rFonts w:eastAsiaTheme="minorEastAsia"/>
        </w:rPr>
        <w:t xml:space="preserve"> und ergibt sich aus dem arithmetischen Mittel der </w:t>
      </w:r>
      <w:r w:rsidR="00D524A4">
        <w:rPr>
          <w:rFonts w:eastAsiaTheme="minorEastAsia"/>
        </w:rPr>
        <w:t xml:space="preserve">periodischen </w:t>
      </w:r>
      <w:r w:rsidR="00F63908">
        <w:rPr>
          <w:rFonts w:eastAsiaTheme="minorEastAsia"/>
        </w:rPr>
        <w:t>Wertveränderungen</w:t>
      </w:r>
      <w:r w:rsidR="00FF6753">
        <w:rPr>
          <w:rFonts w:eastAsiaTheme="minorEastAsia"/>
        </w:rPr>
        <w:t xml:space="preserve"> </w:t>
      </w:r>
      <w:r w:rsidR="00F63908">
        <w:rPr>
          <w:rFonts w:eastAsiaTheme="minorEastAsia"/>
        </w:rPr>
        <w:t xml:space="preserve">der Aktie </w:t>
      </w:r>
      <w:r w:rsidR="00FF6753">
        <w:rPr>
          <w:rFonts w:eastAsiaTheme="minorEastAsia"/>
        </w:rPr>
        <w:fldChar w:fldCharType="begin" w:fldLock="1"/>
      </w:r>
      <w:r w:rsidR="00257F0F">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FF6753">
        <w:rPr>
          <w:rFonts w:eastAsiaTheme="minorEastAsia"/>
        </w:rPr>
        <w:fldChar w:fldCharType="separate"/>
      </w:r>
      <w:r w:rsidR="00FF6753" w:rsidRPr="00FF6753">
        <w:rPr>
          <w:rFonts w:eastAsiaTheme="minorEastAsia"/>
          <w:noProof/>
        </w:rPr>
        <w:t>(Leven &amp; Schlienkamp, 1998)</w:t>
      </w:r>
      <w:r w:rsidR="00FF6753">
        <w:rPr>
          <w:rFonts w:eastAsiaTheme="minorEastAsia"/>
        </w:rPr>
        <w:fldChar w:fldCharType="end"/>
      </w:r>
      <w:r w:rsidR="000B40DB">
        <w:rPr>
          <w:rFonts w:eastAsiaTheme="minorEastAsia"/>
        </w:rPr>
        <w:t xml:space="preserve">. Für die Formel zur Berechnung der Volatilität wird das statistische Konzept der Standardabweichung </w:t>
      </w:r>
      <m:oMath>
        <m:r>
          <w:rPr>
            <w:rFonts w:ascii="Cambria Math" w:eastAsiaTheme="minorEastAsia" w:hAnsi="Cambria Math"/>
          </w:rPr>
          <m:t>σ</m:t>
        </m:r>
      </m:oMath>
      <w:r w:rsidR="000B40DB">
        <w:rPr>
          <w:rFonts w:eastAsiaTheme="minorEastAsia"/>
        </w:rPr>
        <w:t xml:space="preserve"> verwendet:</w:t>
      </w:r>
    </w:p>
    <w:p w14:paraId="059E031B" w14:textId="07E69809" w:rsidR="000B40DB" w:rsidRDefault="00976FBB" w:rsidP="000F5B71">
      <m:oMath>
        <m:r>
          <w:rPr>
            <w:rFonts w:ascii="Cambria Math" w:hAnsi="Cambria Math"/>
          </w:rPr>
          <m:t xml:space="preserve">Jährliche </m:t>
        </m:r>
        <m:r>
          <w:rPr>
            <w:rFonts w:ascii="Cambria Math" w:hAnsi="Cambria Math"/>
          </w:rPr>
          <m:t>Volatilität</m:t>
        </m:r>
        <m:r>
          <w:rPr>
            <w:rFonts w:ascii="Cambria Math" w:hAnsi="Cambria Math"/>
          </w:rPr>
          <m:t>=Standardabweichung</m:t>
        </m:r>
        <m:r>
          <w:rPr>
            <w:rFonts w:ascii="Cambria Math" w:hAnsi="Cambria Math"/>
          </w:rPr>
          <m:t xml:space="preserve"> </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sup>
                    <m:r>
                      <w:rPr>
                        <w:rFonts w:ascii="Cambria Math" w:hAnsi="Cambria Math"/>
                      </w:rPr>
                      <m:t>2</m:t>
                    </m:r>
                  </m:sup>
                </m:sSup>
              </m:e>
            </m:nary>
          </m:e>
        </m:rad>
      </m:oMath>
      <w:r w:rsidR="000B40DB">
        <w:rPr>
          <w:rFonts w:eastAsiaTheme="minorEastAsia"/>
        </w:rPr>
        <w:t xml:space="preserve"> </w:t>
      </w:r>
    </w:p>
    <w:p w14:paraId="01E1D524" w14:textId="4A21CD77" w:rsidR="00340AA4" w:rsidRDefault="00EB0FA3" w:rsidP="000F5B71">
      <w:pPr>
        <w:rPr>
          <w:rFonts w:eastAsiaTheme="minorEastAsia"/>
        </w:rPr>
      </w:pPr>
      <w:r>
        <w:t xml:space="preserve">Die Standardabweichung </w:t>
      </w:r>
      <m:oMath>
        <m:r>
          <w:rPr>
            <w:rFonts w:ascii="Cambria Math" w:eastAsiaTheme="minorEastAsia" w:hAnsi="Cambria Math"/>
          </w:rPr>
          <m:t>σ</m:t>
        </m:r>
      </m:oMath>
      <w:r>
        <w:rPr>
          <w:rFonts w:eastAsiaTheme="minorEastAsia"/>
        </w:rPr>
        <w:t xml:space="preserve"> muss für kürzere Zeiträume wie beispielsweise wöchentliche Renditen korrigiert werden. Da Aktien nur an Arbeitstagen und nicht an Wochenenden oder Feiertagen gehandelt werden geht man von 250 Handelstagen im Jahr aus. Die jährliche Volatilität lässt sich wie folgt auf die wöchentliche Volatilität umwandeln:</w:t>
      </w:r>
    </w:p>
    <w:p w14:paraId="1B29559D" w14:textId="00C74C24" w:rsidR="00EB0FA3" w:rsidRDefault="00EB0FA3" w:rsidP="000F5B71">
      <w:pPr>
        <w:rPr>
          <w:rFonts w:eastAsiaTheme="minorEastAsia"/>
        </w:rPr>
      </w:pPr>
      <m:oMath>
        <m:r>
          <w:rPr>
            <w:rFonts w:ascii="Cambria Math" w:hAnsi="Cambria Math"/>
          </w:rPr>
          <m:t>Wöchentliche</m:t>
        </m:r>
        <m:r>
          <w:rPr>
            <w:rFonts w:ascii="Cambria Math" w:hAnsi="Cambria Math"/>
          </w:rPr>
          <m:t xml:space="preserve"> Volatilität</m:t>
        </m:r>
        <m:r>
          <w:rPr>
            <w:rFonts w:ascii="Cambria Math" w:hAnsi="Cambria Math"/>
          </w:rPr>
          <m:t>=</m:t>
        </m:r>
        <m:r>
          <w:rPr>
            <w:rFonts w:ascii="Cambria Math" w:hAnsi="Cambria Math"/>
          </w:rPr>
          <m:t>σ</m:t>
        </m:r>
        <m:r>
          <w:rPr>
            <w:rFonts w:ascii="Cambria Math" w:hAnsi="Cambria Math"/>
          </w:rPr>
          <m:t>×</m:t>
        </m:r>
        <m:rad>
          <m:radPr>
            <m:degHide m:val="1"/>
            <m:ctrlPr>
              <w:rPr>
                <w:rFonts w:ascii="Cambria Math" w:hAnsi="Cambria Math"/>
                <w:i/>
              </w:rPr>
            </m:ctrlPr>
          </m:radPr>
          <m:deg/>
          <m:e>
            <m:r>
              <w:rPr>
                <w:rFonts w:ascii="Cambria Math" w:hAnsi="Cambria Math"/>
              </w:rPr>
              <m:t>52×</m:t>
            </m:r>
            <m:f>
              <m:fPr>
                <m:ctrlPr>
                  <w:rPr>
                    <w:rFonts w:ascii="Cambria Math" w:hAnsi="Cambria Math"/>
                    <w:i/>
                  </w:rPr>
                </m:ctrlPr>
              </m:fPr>
              <m:num>
                <m:r>
                  <w:rPr>
                    <w:rFonts w:ascii="Cambria Math" w:hAnsi="Cambria Math"/>
                  </w:rPr>
                  <m:t>250</m:t>
                </m:r>
              </m:num>
              <m:den>
                <m:r>
                  <w:rPr>
                    <w:rFonts w:ascii="Cambria Math" w:hAnsi="Cambria Math"/>
                  </w:rPr>
                  <m:t>365</m:t>
                </m:r>
              </m:den>
            </m:f>
          </m:e>
        </m:rad>
      </m:oMath>
      <w:r>
        <w:rPr>
          <w:rFonts w:eastAsiaTheme="minorEastAsia"/>
        </w:rPr>
        <w:t xml:space="preserve"> </w:t>
      </w:r>
      <w:bookmarkStart w:id="13" w:name="_GoBack"/>
      <w:bookmarkEnd w:id="13"/>
    </w:p>
    <w:p w14:paraId="4DA216FA" w14:textId="69F0CD9B" w:rsidR="00AA3B52" w:rsidRDefault="00AA3B52" w:rsidP="000F5B71">
      <w:pPr>
        <w:rPr>
          <w:rFonts w:eastAsiaTheme="minorEastAsia"/>
        </w:rPr>
      </w:pPr>
      <w:r>
        <w:rPr>
          <w:rFonts w:eastAsiaTheme="minorEastAsia"/>
        </w:rPr>
        <w:t xml:space="preserve">Wie hoch das Risiko für eine Aktie nun ist lässt sich aus der Volatilität ablesen. Dazu wird die sogenannte Zwei-Drittel-Regel angewandt. Sie besagt, dass zwei Drittel aller Renditen zwischen dem Erwartungswert abzüglich der Volatilität als Untergrenze und </w:t>
      </w:r>
      <w:r w:rsidR="00257F0F">
        <w:rPr>
          <w:rFonts w:eastAsiaTheme="minorEastAsia"/>
        </w:rPr>
        <w:t xml:space="preserve">dem Erwartungswert zuzüglich der Volatilität als Obergrenze liegen </w:t>
      </w:r>
      <w:r w:rsidR="00257F0F">
        <w:rPr>
          <w:rFonts w:eastAsiaTheme="minorEastAsia"/>
        </w:rPr>
        <w:fldChar w:fldCharType="begin" w:fldLock="1"/>
      </w:r>
      <w:r w:rsidR="00F22119">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257F0F">
        <w:rPr>
          <w:rFonts w:eastAsiaTheme="minorEastAsia"/>
        </w:rPr>
        <w:fldChar w:fldCharType="separate"/>
      </w:r>
      <w:r w:rsidR="00257F0F" w:rsidRPr="00257F0F">
        <w:rPr>
          <w:rFonts w:eastAsiaTheme="minorEastAsia"/>
          <w:noProof/>
        </w:rPr>
        <w:t>(Leven &amp; Schlienkamp, 1998)</w:t>
      </w:r>
      <w:r w:rsidR="00257F0F">
        <w:rPr>
          <w:rFonts w:eastAsiaTheme="minorEastAsia"/>
        </w:rPr>
        <w:fldChar w:fldCharType="end"/>
      </w:r>
      <w:r w:rsidR="00257F0F">
        <w:rPr>
          <w:rFonts w:eastAsiaTheme="minorEastAsia"/>
        </w:rPr>
        <w:t>.</w:t>
      </w:r>
    </w:p>
    <w:p w14:paraId="14BC41DD" w14:textId="71026AAF" w:rsidR="00257F0F" w:rsidRPr="000F5B71" w:rsidRDefault="00F22119" w:rsidP="000F5B71">
      <w:r>
        <w:lastRenderedPageBreak/>
        <w:t xml:space="preserve">Wie hängen nun Rendite und Risiko zusammen? Der Grundsatz nach Leven und Schlienkamp </w:t>
      </w:r>
      <w:r>
        <w:fldChar w:fldCharType="begin" w:fldLock="1"/>
      </w:r>
      <w:r w:rsidR="00692566">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hilft","type":"book"},"locator":"25","uris":["http://www.mendeley.com/documents/?uuid=5f47955b-4bca-41ab-bdaf-c45761835ab0"]}],"mendeley":{"formattedCitation":"(Leven &amp; Schlienkamp, 1998, p. 25)","manualFormatting":"(1998, p. 25)","plainTextFormattedCitation":"(Leven &amp; Schlienkamp, 1998, p. 25)","previouslyFormattedCitation":"(Leven &amp; Schlienkamp, 1998)"},"properties":{"noteIndex":0},"schema":"https://github.com/citation-style-language/schema/raw/master/csl-citation.json"}</w:instrText>
      </w:r>
      <w:r>
        <w:fldChar w:fldCharType="separate"/>
      </w:r>
      <w:r w:rsidRPr="00F22119">
        <w:rPr>
          <w:noProof/>
        </w:rPr>
        <w:t>(1998, p. 25)</w:t>
      </w:r>
      <w:r>
        <w:fldChar w:fldCharType="end"/>
      </w:r>
      <w:r>
        <w:t xml:space="preserve"> besagt: «Eine höhere Rendite kann im Normalfall nur erzielt werden, wenn dafür ein höheres Risiko […] in Kauf genommen wird.»</w:t>
      </w:r>
    </w:p>
    <w:p w14:paraId="0C4D7C55" w14:textId="6C44C70D" w:rsidR="00A33E7D" w:rsidRDefault="00A33E7D" w:rsidP="00A33E7D">
      <w:pPr>
        <w:pStyle w:val="berschrift2"/>
        <w:numPr>
          <w:ilvl w:val="1"/>
          <w:numId w:val="9"/>
        </w:numPr>
      </w:pPr>
      <w:bookmarkStart w:id="14" w:name="_Toc40866359"/>
      <w:bookmarkStart w:id="15" w:name="_Toc40866641"/>
      <w:r>
        <w:t>SMI – der bedeutendste Schweizer Aktienindex</w:t>
      </w:r>
      <w:bookmarkEnd w:id="14"/>
      <w:bookmarkEnd w:id="15"/>
    </w:p>
    <w:p w14:paraId="34CA0CB1" w14:textId="68F2A543" w:rsidR="001370F7" w:rsidRDefault="001370F7">
      <w:pPr>
        <w:spacing w:line="259" w:lineRule="auto"/>
        <w:jc w:val="left"/>
      </w:pPr>
    </w:p>
    <w:p w14:paraId="61E8E535" w14:textId="789A4F92" w:rsidR="001370F7" w:rsidRDefault="001370F7" w:rsidP="001370F7">
      <w:pPr>
        <w:pStyle w:val="berschrift1"/>
        <w:numPr>
          <w:ilvl w:val="0"/>
          <w:numId w:val="9"/>
        </w:numPr>
      </w:pPr>
      <w:bookmarkStart w:id="16" w:name="_Toc40866360"/>
      <w:bookmarkStart w:id="17" w:name="_Toc40866642"/>
      <w:r>
        <w:t>Methodik</w:t>
      </w:r>
      <w:bookmarkEnd w:id="16"/>
      <w:bookmarkEnd w:id="17"/>
    </w:p>
    <w:p w14:paraId="52EB91D8" w14:textId="681A652C" w:rsidR="00636C09" w:rsidRDefault="002241CC" w:rsidP="002241CC">
      <w:pPr>
        <w:pStyle w:val="berschrift2"/>
        <w:numPr>
          <w:ilvl w:val="1"/>
          <w:numId w:val="9"/>
        </w:numPr>
      </w:pPr>
      <w:bookmarkStart w:id="18" w:name="_Toc40866643"/>
      <w:r>
        <w:t>Eine Hypothese</w:t>
      </w:r>
      <w:bookmarkEnd w:id="18"/>
    </w:p>
    <w:p w14:paraId="57A83388" w14:textId="6ACDCD7B" w:rsidR="002241CC" w:rsidRDefault="002241CC" w:rsidP="002241CC"/>
    <w:p w14:paraId="7450E928" w14:textId="4AAF1B38" w:rsidR="002241CC" w:rsidRDefault="002241CC" w:rsidP="002241CC">
      <w:pPr>
        <w:pStyle w:val="berschrift2"/>
        <w:numPr>
          <w:ilvl w:val="1"/>
          <w:numId w:val="9"/>
        </w:numPr>
      </w:pPr>
      <w:bookmarkStart w:id="19" w:name="_Toc40866644"/>
      <w:r>
        <w:t>Das methodische Vorgehen</w:t>
      </w:r>
      <w:bookmarkEnd w:id="19"/>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20" w:name="_Toc40866361"/>
      <w:bookmarkStart w:id="21" w:name="_Toc40866645"/>
      <w:r>
        <w:t>Ergebnisse</w:t>
      </w:r>
      <w:bookmarkEnd w:id="20"/>
      <w:bookmarkEnd w:id="21"/>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2" w:name="_Toc40866362"/>
      <w:bookmarkStart w:id="23" w:name="_Toc40866646"/>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35F964CA" w:rsidR="001370F7" w:rsidRDefault="001370F7" w:rsidP="001370F7">
      <w:pPr>
        <w:pStyle w:val="berschrift1"/>
      </w:pPr>
      <w:bookmarkStart w:id="24" w:name="_Toc40866363"/>
      <w:bookmarkStart w:id="25" w:name="_Toc40866647"/>
      <w:r>
        <w:lastRenderedPageBreak/>
        <w:t>Literaturverzeichnis</w:t>
      </w:r>
      <w:bookmarkEnd w:id="24"/>
      <w:bookmarkEnd w:id="25"/>
    </w:p>
    <w:p w14:paraId="3B9C6F67" w14:textId="3A5BD075" w:rsidR="001370F7" w:rsidRPr="001370F7" w:rsidRDefault="001370F7" w:rsidP="001370F7"/>
    <w:p w14:paraId="5B1887C2" w14:textId="77777777" w:rsidR="00686322" w:rsidRDefault="00686322">
      <w:pPr>
        <w:spacing w:line="259" w:lineRule="auto"/>
        <w:jc w:val="left"/>
        <w:rPr>
          <w:rFonts w:eastAsiaTheme="majorEastAsia" w:cstheme="majorBidi"/>
          <w:b/>
          <w:sz w:val="24"/>
          <w:szCs w:val="32"/>
        </w:rPr>
      </w:pPr>
      <w:bookmarkStart w:id="26" w:name="_Toc39494811"/>
      <w:r>
        <w:br w:type="page"/>
      </w:r>
    </w:p>
    <w:p w14:paraId="3E709A9E" w14:textId="36E3C565" w:rsidR="004509D5" w:rsidRDefault="008B4BF2" w:rsidP="008B4BF2">
      <w:pPr>
        <w:pStyle w:val="berschrift1"/>
      </w:pPr>
      <w:bookmarkStart w:id="27" w:name="_Toc40866364"/>
      <w:bookmarkStart w:id="28" w:name="_Toc40866648"/>
      <w:r>
        <w:lastRenderedPageBreak/>
        <w:t>Eidesstattliche Erklärung</w:t>
      </w:r>
      <w:bookmarkEnd w:id="26"/>
      <w:bookmarkEnd w:id="27"/>
      <w:bookmarkEnd w:id="2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366E3C01"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BF0EAF">
        <w:rPr>
          <w:noProof/>
          <w:lang w:eastAsia="de-CH"/>
        </w:rPr>
        <w:t>21.05.2020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0CC8A" w14:textId="77777777" w:rsidR="00F21CE5" w:rsidRDefault="00F21CE5" w:rsidP="009D53B8">
      <w:pPr>
        <w:spacing w:after="0"/>
      </w:pPr>
      <w:r>
        <w:separator/>
      </w:r>
    </w:p>
  </w:endnote>
  <w:endnote w:type="continuationSeparator" w:id="0">
    <w:p w14:paraId="34447204" w14:textId="77777777" w:rsidR="00F21CE5" w:rsidRDefault="00F21CE5"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7249E2" w:rsidRDefault="007249E2">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249E2" w:rsidRDefault="00724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3AB36" w14:textId="77777777" w:rsidR="00F21CE5" w:rsidRDefault="00F21CE5" w:rsidP="009D53B8">
      <w:pPr>
        <w:spacing w:after="0"/>
      </w:pPr>
      <w:r>
        <w:separator/>
      </w:r>
    </w:p>
  </w:footnote>
  <w:footnote w:type="continuationSeparator" w:id="0">
    <w:p w14:paraId="5088DA57" w14:textId="77777777" w:rsidR="00F21CE5" w:rsidRDefault="00F21CE5" w:rsidP="009D53B8">
      <w:pPr>
        <w:spacing w:after="0"/>
      </w:pPr>
      <w:r>
        <w:continuationSeparator/>
      </w:r>
    </w:p>
  </w:footnote>
  <w:footnote w:id="1">
    <w:p w14:paraId="234BE607" w14:textId="491756FB" w:rsidR="002229F1" w:rsidRDefault="002229F1">
      <w:pPr>
        <w:pStyle w:val="Funotentext"/>
      </w:pPr>
      <w:r>
        <w:rPr>
          <w:rStyle w:val="Funotenzeichen"/>
        </w:rPr>
        <w:footnoteRef/>
      </w:r>
      <w:r>
        <w:t xml:space="preserve"> Der SMI ist der bedeutendste Aktienindex der Schweiz und setzt sich aus den 20 grössten und liquidesten Aktientitel</w:t>
      </w:r>
      <w:r w:rsidR="00301BEE">
        <w:t>,</w:t>
      </w:r>
      <w:r>
        <w:t xml:space="preserve"> </w:t>
      </w:r>
      <w:r w:rsidR="00301BEE">
        <w:t xml:space="preserve">die an der Schweizer Börse gelistet sind, zusammen </w:t>
      </w:r>
      <w:r w:rsidR="00301BEE">
        <w:fldChar w:fldCharType="begin" w:fldLock="1"/>
      </w:r>
      <w:r w:rsidR="00961AA9">
        <w:instrText>ADDIN CSL_CITATION {"citationItems":[{"id":"ITEM-1","itemData":{"URL":"https://www.six-group.com/exchanges/indices/data_centre/shares/smi_de.html","accessed":{"date-parts":[["2020","5","20"]]},"id":"ITEM-1","issued":{"date-parts":[["0"]]},"title":"Exchange Services - SMI® – Der Blue-Chip-Index","type":"webpage"},"uris":["http://www.mendeley.com/documents/?uuid=75f6fda7-b57c-38d7-b39a-1e1b34293dbd"]}],"mendeley":{"formattedCitation":"(&lt;i&gt;Exchange Services - SMI® – Der Blue-Chip-Index&lt;/i&gt;, n.d.)","plainTextFormattedCitation":"(Exchange Services - SMI® – Der Blue-Chip-Index, n.d.)","previouslyFormattedCitation":"(&lt;i&gt;Exchange Services - SMI® – Der Blue-Chip-Index&lt;/i&gt;, n.d.)"},"properties":{"noteIndex":0},"schema":"https://github.com/citation-style-language/schema/raw/master/csl-citation.json"}</w:instrText>
      </w:r>
      <w:r w:rsidR="00301BEE">
        <w:fldChar w:fldCharType="separate"/>
      </w:r>
      <w:r w:rsidR="00301BEE" w:rsidRPr="00301BEE">
        <w:rPr>
          <w:noProof/>
        </w:rPr>
        <w:t>(</w:t>
      </w:r>
      <w:r w:rsidR="00301BEE" w:rsidRPr="00301BEE">
        <w:rPr>
          <w:i/>
          <w:noProof/>
        </w:rPr>
        <w:t>Exchange Services - SMI® – Der Blue-Chip-Index</w:t>
      </w:r>
      <w:r w:rsidR="00301BEE" w:rsidRPr="00301BEE">
        <w:rPr>
          <w:noProof/>
        </w:rPr>
        <w:t>, n.d.)</w:t>
      </w:r>
      <w:r w:rsidR="00301BEE">
        <w:fldChar w:fldCharType="end"/>
      </w:r>
      <w:r w:rsidR="00301BEE">
        <w:t>.</w:t>
      </w:r>
    </w:p>
  </w:footnote>
  <w:footnote w:id="2">
    <w:p w14:paraId="73C998F6" w14:textId="301783C5" w:rsidR="00F949D4" w:rsidRDefault="00F949D4">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949D4" w:rsidRDefault="00F949D4">
      <w:pPr>
        <w:pStyle w:val="Funotentext"/>
      </w:pPr>
      <w:r>
        <w:rPr>
          <w:rStyle w:val="Funotenzeichen"/>
        </w:rPr>
        <w:footnoteRef/>
      </w:r>
      <w:r>
        <w:t xml:space="preserve"> </w:t>
      </w:r>
      <w:hyperlink r:id="rId2" w:history="1">
        <w:r>
          <w:rPr>
            <w:rStyle w:val="Hyperlink"/>
          </w:rPr>
          <w:t>https://link.springer.com/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3"/>
  </w:num>
  <w:num w:numId="6">
    <w:abstractNumId w:val="10"/>
  </w:num>
  <w:num w:numId="7">
    <w:abstractNumId w:val="5"/>
  </w:num>
  <w:num w:numId="8">
    <w:abstractNumId w:val="6"/>
  </w:num>
  <w:num w:numId="9">
    <w:abstractNumId w:val="0"/>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6A"/>
    <w:rsid w:val="0000004D"/>
    <w:rsid w:val="0000074A"/>
    <w:rsid w:val="00000BDE"/>
    <w:rsid w:val="0000102A"/>
    <w:rsid w:val="0000370E"/>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F6B"/>
    <w:rsid w:val="00177299"/>
    <w:rsid w:val="00177423"/>
    <w:rsid w:val="00181075"/>
    <w:rsid w:val="0018137A"/>
    <w:rsid w:val="001814D0"/>
    <w:rsid w:val="001817FC"/>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AC9"/>
    <w:rsid w:val="0024142C"/>
    <w:rsid w:val="00241567"/>
    <w:rsid w:val="00241CF9"/>
    <w:rsid w:val="00242FBC"/>
    <w:rsid w:val="00243831"/>
    <w:rsid w:val="002439F4"/>
    <w:rsid w:val="00244BF9"/>
    <w:rsid w:val="0024591E"/>
    <w:rsid w:val="00245F23"/>
    <w:rsid w:val="002462A2"/>
    <w:rsid w:val="002466A3"/>
    <w:rsid w:val="00247664"/>
    <w:rsid w:val="002502DE"/>
    <w:rsid w:val="00251605"/>
    <w:rsid w:val="00251820"/>
    <w:rsid w:val="002519D1"/>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5B1"/>
    <w:rsid w:val="00287919"/>
    <w:rsid w:val="00287AE3"/>
    <w:rsid w:val="0029061B"/>
    <w:rsid w:val="00291BF0"/>
    <w:rsid w:val="00292110"/>
    <w:rsid w:val="00294DC7"/>
    <w:rsid w:val="00297AE3"/>
    <w:rsid w:val="00297D82"/>
    <w:rsid w:val="002A0779"/>
    <w:rsid w:val="002A17A3"/>
    <w:rsid w:val="002A49FD"/>
    <w:rsid w:val="002B024F"/>
    <w:rsid w:val="002B0735"/>
    <w:rsid w:val="002B1DDE"/>
    <w:rsid w:val="002B4D97"/>
    <w:rsid w:val="002B73FB"/>
    <w:rsid w:val="002C069C"/>
    <w:rsid w:val="002C0A57"/>
    <w:rsid w:val="002D0746"/>
    <w:rsid w:val="002D2C93"/>
    <w:rsid w:val="002D32EE"/>
    <w:rsid w:val="002D3340"/>
    <w:rsid w:val="002D3AE3"/>
    <w:rsid w:val="002D40E1"/>
    <w:rsid w:val="002D43B9"/>
    <w:rsid w:val="002D4EC3"/>
    <w:rsid w:val="002D5B5D"/>
    <w:rsid w:val="002D7C07"/>
    <w:rsid w:val="002E291A"/>
    <w:rsid w:val="002E2949"/>
    <w:rsid w:val="002E2BE6"/>
    <w:rsid w:val="002E5EFF"/>
    <w:rsid w:val="002E69ED"/>
    <w:rsid w:val="002E6BF6"/>
    <w:rsid w:val="002E7C7F"/>
    <w:rsid w:val="002E7CEA"/>
    <w:rsid w:val="002F431D"/>
    <w:rsid w:val="002F50D7"/>
    <w:rsid w:val="002F5558"/>
    <w:rsid w:val="002F56A2"/>
    <w:rsid w:val="002F6E4B"/>
    <w:rsid w:val="00300034"/>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31C2"/>
    <w:rsid w:val="00493358"/>
    <w:rsid w:val="004946AF"/>
    <w:rsid w:val="00495588"/>
    <w:rsid w:val="004968C1"/>
    <w:rsid w:val="0049694C"/>
    <w:rsid w:val="004972ED"/>
    <w:rsid w:val="004A186D"/>
    <w:rsid w:val="004A4801"/>
    <w:rsid w:val="004A4DF4"/>
    <w:rsid w:val="004A526A"/>
    <w:rsid w:val="004A7204"/>
    <w:rsid w:val="004A7598"/>
    <w:rsid w:val="004B4261"/>
    <w:rsid w:val="004B453D"/>
    <w:rsid w:val="004B4D42"/>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60B04"/>
    <w:rsid w:val="00560BF8"/>
    <w:rsid w:val="00561270"/>
    <w:rsid w:val="0056223E"/>
    <w:rsid w:val="00570BFA"/>
    <w:rsid w:val="00570D73"/>
    <w:rsid w:val="00571978"/>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4E05"/>
    <w:rsid w:val="005E535A"/>
    <w:rsid w:val="005E579B"/>
    <w:rsid w:val="005E5DA0"/>
    <w:rsid w:val="005E5E7A"/>
    <w:rsid w:val="005E789A"/>
    <w:rsid w:val="005F13C5"/>
    <w:rsid w:val="005F2954"/>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6322"/>
    <w:rsid w:val="00690028"/>
    <w:rsid w:val="00690878"/>
    <w:rsid w:val="00690D5B"/>
    <w:rsid w:val="00690E3A"/>
    <w:rsid w:val="00690EA7"/>
    <w:rsid w:val="006911F9"/>
    <w:rsid w:val="00692566"/>
    <w:rsid w:val="006949A2"/>
    <w:rsid w:val="00695535"/>
    <w:rsid w:val="00697D28"/>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652D"/>
    <w:rsid w:val="006D256F"/>
    <w:rsid w:val="006D2AA8"/>
    <w:rsid w:val="006D350B"/>
    <w:rsid w:val="006D498D"/>
    <w:rsid w:val="006D5336"/>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343D"/>
    <w:rsid w:val="009B4EF3"/>
    <w:rsid w:val="009B570C"/>
    <w:rsid w:val="009B698E"/>
    <w:rsid w:val="009B7FB9"/>
    <w:rsid w:val="009C0CA0"/>
    <w:rsid w:val="009C0E8B"/>
    <w:rsid w:val="009C1AE0"/>
    <w:rsid w:val="009C3B41"/>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3584"/>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98F"/>
    <w:rsid w:val="00AB6C31"/>
    <w:rsid w:val="00AB7949"/>
    <w:rsid w:val="00AB79BF"/>
    <w:rsid w:val="00AB7B37"/>
    <w:rsid w:val="00AC050D"/>
    <w:rsid w:val="00AC2E53"/>
    <w:rsid w:val="00AC2FCF"/>
    <w:rsid w:val="00AC632F"/>
    <w:rsid w:val="00AD02AE"/>
    <w:rsid w:val="00AD0666"/>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6126"/>
    <w:rsid w:val="00B076E4"/>
    <w:rsid w:val="00B07AA3"/>
    <w:rsid w:val="00B10363"/>
    <w:rsid w:val="00B11973"/>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15CD"/>
    <w:rsid w:val="00B932DF"/>
    <w:rsid w:val="00B93B63"/>
    <w:rsid w:val="00B955C0"/>
    <w:rsid w:val="00B95C99"/>
    <w:rsid w:val="00B96A47"/>
    <w:rsid w:val="00B96B26"/>
    <w:rsid w:val="00B97D42"/>
    <w:rsid w:val="00BA2240"/>
    <w:rsid w:val="00BA3247"/>
    <w:rsid w:val="00BA38F1"/>
    <w:rsid w:val="00BA4759"/>
    <w:rsid w:val="00BA59CC"/>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333A"/>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6FFB"/>
    <w:rsid w:val="00CD1268"/>
    <w:rsid w:val="00CD1C80"/>
    <w:rsid w:val="00CD3050"/>
    <w:rsid w:val="00CD31FF"/>
    <w:rsid w:val="00CD349C"/>
    <w:rsid w:val="00CD4471"/>
    <w:rsid w:val="00CD45E9"/>
    <w:rsid w:val="00CD4708"/>
    <w:rsid w:val="00CD579B"/>
    <w:rsid w:val="00CD6391"/>
    <w:rsid w:val="00CD793F"/>
    <w:rsid w:val="00CD7D7E"/>
    <w:rsid w:val="00CE130D"/>
    <w:rsid w:val="00CE141F"/>
    <w:rsid w:val="00CE23C1"/>
    <w:rsid w:val="00CE282E"/>
    <w:rsid w:val="00CE2A86"/>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90"/>
    <w:rsid w:val="00D15C0D"/>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42B6"/>
    <w:rsid w:val="00D449C0"/>
    <w:rsid w:val="00D4584C"/>
    <w:rsid w:val="00D47447"/>
    <w:rsid w:val="00D47755"/>
    <w:rsid w:val="00D47773"/>
    <w:rsid w:val="00D50382"/>
    <w:rsid w:val="00D51F5C"/>
    <w:rsid w:val="00D524A4"/>
    <w:rsid w:val="00D5250A"/>
    <w:rsid w:val="00D52823"/>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B70"/>
    <w:rsid w:val="00DF4ED3"/>
    <w:rsid w:val="00E01F67"/>
    <w:rsid w:val="00E02538"/>
    <w:rsid w:val="00E037D5"/>
    <w:rsid w:val="00E03CBF"/>
    <w:rsid w:val="00E050A3"/>
    <w:rsid w:val="00E06A20"/>
    <w:rsid w:val="00E11A8D"/>
    <w:rsid w:val="00E123DF"/>
    <w:rsid w:val="00E12E5E"/>
    <w:rsid w:val="00E1422F"/>
    <w:rsid w:val="00E144E0"/>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55DF"/>
    <w:rsid w:val="00EC55E8"/>
    <w:rsid w:val="00EC62C6"/>
    <w:rsid w:val="00EC79C7"/>
    <w:rsid w:val="00ED056B"/>
    <w:rsid w:val="00ED5696"/>
    <w:rsid w:val="00ED6CDF"/>
    <w:rsid w:val="00EE1541"/>
    <w:rsid w:val="00EE2D8E"/>
    <w:rsid w:val="00EE5FD7"/>
    <w:rsid w:val="00EE7BBC"/>
    <w:rsid w:val="00EE7E39"/>
    <w:rsid w:val="00EF119A"/>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5"/>
    <w:rsid w:val="00F14442"/>
    <w:rsid w:val="00F14FDC"/>
    <w:rsid w:val="00F1544D"/>
    <w:rsid w:val="00F15CA5"/>
    <w:rsid w:val="00F1729F"/>
    <w:rsid w:val="00F17354"/>
    <w:rsid w:val="00F17A89"/>
    <w:rsid w:val="00F21CE5"/>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555A"/>
    <w:rsid w:val="00F73BF3"/>
    <w:rsid w:val="00F7427F"/>
    <w:rsid w:val="00F74786"/>
    <w:rsid w:val="00F75139"/>
    <w:rsid w:val="00F8090F"/>
    <w:rsid w:val="00F80A19"/>
    <w:rsid w:val="00F81FBA"/>
    <w:rsid w:val="00F82601"/>
    <w:rsid w:val="00F82F92"/>
    <w:rsid w:val="00F84273"/>
    <w:rsid w:val="00F85173"/>
    <w:rsid w:val="00F858FD"/>
    <w:rsid w:val="00F9102E"/>
    <w:rsid w:val="00F912F3"/>
    <w:rsid w:val="00F91A0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3BC3-5ACB-417F-BF32-7B7F7E74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2893</Words>
  <Characters>18227</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72</cp:revision>
  <cp:lastPrinted>2020-05-20T09:47:00Z</cp:lastPrinted>
  <dcterms:created xsi:type="dcterms:W3CDTF">2020-05-04T12:11:00Z</dcterms:created>
  <dcterms:modified xsi:type="dcterms:W3CDTF">2020-05-21T12:36:00Z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