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7FD79" w14:textId="77777777" w:rsidR="00B036D8" w:rsidRDefault="00B036D8">
      <w:pPr>
        <w:rPr>
          <w:rFonts w:ascii="Times New Roman" w:hAnsi="Times New Roman" w:cs="Times New Roman"/>
          <w:sz w:val="24"/>
          <w:szCs w:val="24"/>
        </w:rPr>
      </w:pPr>
    </w:p>
    <w:p w14:paraId="3823F043" w14:textId="77777777" w:rsidR="00B036D8" w:rsidRDefault="00B036D8">
      <w:pPr>
        <w:rPr>
          <w:rFonts w:ascii="Times New Roman" w:hAnsi="Times New Roman" w:cs="Times New Roman"/>
          <w:sz w:val="24"/>
          <w:szCs w:val="24"/>
        </w:rPr>
      </w:pPr>
    </w:p>
    <w:p w14:paraId="55C503FE" w14:textId="77777777" w:rsidR="00B036D8" w:rsidRDefault="00B036D8">
      <w:pPr>
        <w:rPr>
          <w:rFonts w:ascii="Times New Roman" w:hAnsi="Times New Roman" w:cs="Times New Roman"/>
          <w:sz w:val="24"/>
          <w:szCs w:val="24"/>
        </w:rPr>
      </w:pPr>
    </w:p>
    <w:p w14:paraId="02371652" w14:textId="77777777" w:rsidR="00B036D8" w:rsidRPr="00B8405A" w:rsidRDefault="00B036D8" w:rsidP="008072A8">
      <w:pPr>
        <w:jc w:val="center"/>
        <w:rPr>
          <w:b/>
          <w:bCs/>
          <w:sz w:val="28"/>
        </w:rPr>
      </w:pPr>
      <w:r w:rsidRPr="00B8405A">
        <w:rPr>
          <w:b/>
          <w:bCs/>
          <w:sz w:val="28"/>
        </w:rPr>
        <w:t xml:space="preserve">Open </w:t>
      </w:r>
      <w:proofErr w:type="spellStart"/>
      <w:r w:rsidRPr="00B8405A">
        <w:rPr>
          <w:b/>
          <w:bCs/>
          <w:sz w:val="28"/>
        </w:rPr>
        <w:t>access</w:t>
      </w:r>
      <w:proofErr w:type="spellEnd"/>
      <w:r w:rsidRPr="00B8405A">
        <w:rPr>
          <w:b/>
          <w:bCs/>
          <w:sz w:val="28"/>
        </w:rPr>
        <w:t xml:space="preserve"> is </w:t>
      </w:r>
      <w:proofErr w:type="spellStart"/>
      <w:r w:rsidRPr="00B8405A">
        <w:rPr>
          <w:b/>
          <w:bCs/>
          <w:sz w:val="28"/>
        </w:rPr>
        <w:t>not</w:t>
      </w:r>
      <w:proofErr w:type="spellEnd"/>
      <w:r w:rsidRPr="00B8405A">
        <w:rPr>
          <w:b/>
          <w:bCs/>
          <w:sz w:val="28"/>
        </w:rPr>
        <w:t xml:space="preserve"> a </w:t>
      </w:r>
      <w:proofErr w:type="spellStart"/>
      <w:r w:rsidRPr="00B8405A">
        <w:rPr>
          <w:b/>
          <w:bCs/>
          <w:sz w:val="28"/>
        </w:rPr>
        <w:t>panacea</w:t>
      </w:r>
      <w:proofErr w:type="spellEnd"/>
      <w:r w:rsidRPr="00B8405A">
        <w:rPr>
          <w:b/>
          <w:bCs/>
          <w:sz w:val="28"/>
        </w:rPr>
        <w:t xml:space="preserve">, </w:t>
      </w:r>
      <w:proofErr w:type="spellStart"/>
      <w:r w:rsidRPr="00B8405A">
        <w:rPr>
          <w:b/>
          <w:bCs/>
          <w:sz w:val="28"/>
        </w:rPr>
        <w:t>even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if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it’s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radical</w:t>
      </w:r>
      <w:proofErr w:type="spellEnd"/>
      <w:r w:rsidRPr="00B8405A">
        <w:rPr>
          <w:b/>
          <w:bCs/>
          <w:sz w:val="28"/>
        </w:rPr>
        <w:t xml:space="preserve"> – an </w:t>
      </w:r>
      <w:proofErr w:type="spellStart"/>
      <w:r w:rsidRPr="00B8405A">
        <w:rPr>
          <w:b/>
          <w:bCs/>
          <w:sz w:val="28"/>
        </w:rPr>
        <w:t>empirical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study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on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the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role</w:t>
      </w:r>
      <w:proofErr w:type="spellEnd"/>
      <w:r w:rsidRPr="00B8405A">
        <w:rPr>
          <w:b/>
          <w:bCs/>
          <w:sz w:val="28"/>
        </w:rPr>
        <w:t xml:space="preserve"> of </w:t>
      </w:r>
      <w:proofErr w:type="spellStart"/>
      <w:r w:rsidRPr="00B8405A">
        <w:rPr>
          <w:b/>
          <w:bCs/>
          <w:sz w:val="28"/>
        </w:rPr>
        <w:t>shadow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libraries</w:t>
      </w:r>
      <w:proofErr w:type="spellEnd"/>
      <w:r w:rsidRPr="00B8405A">
        <w:rPr>
          <w:b/>
          <w:bCs/>
          <w:sz w:val="28"/>
        </w:rPr>
        <w:t xml:space="preserve"> in </w:t>
      </w:r>
      <w:proofErr w:type="spellStart"/>
      <w:r w:rsidRPr="00B8405A">
        <w:rPr>
          <w:b/>
          <w:bCs/>
          <w:sz w:val="28"/>
        </w:rPr>
        <w:t>closing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the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inequality</w:t>
      </w:r>
      <w:proofErr w:type="spellEnd"/>
      <w:r w:rsidRPr="00B8405A">
        <w:rPr>
          <w:b/>
          <w:bCs/>
          <w:sz w:val="28"/>
        </w:rPr>
        <w:t xml:space="preserve"> of </w:t>
      </w:r>
      <w:proofErr w:type="spellStart"/>
      <w:r w:rsidRPr="00B8405A">
        <w:rPr>
          <w:b/>
          <w:bCs/>
          <w:sz w:val="28"/>
        </w:rPr>
        <w:t>knowledge</w:t>
      </w:r>
      <w:proofErr w:type="spellEnd"/>
      <w:r w:rsidRPr="00B8405A">
        <w:rPr>
          <w:b/>
          <w:bCs/>
          <w:sz w:val="28"/>
        </w:rPr>
        <w:t xml:space="preserve"> </w:t>
      </w:r>
      <w:proofErr w:type="spellStart"/>
      <w:r w:rsidRPr="00B8405A">
        <w:rPr>
          <w:b/>
          <w:bCs/>
          <w:sz w:val="28"/>
        </w:rPr>
        <w:t>access</w:t>
      </w:r>
      <w:proofErr w:type="spellEnd"/>
      <w:r w:rsidRPr="00B8405A">
        <w:rPr>
          <w:b/>
          <w:bCs/>
          <w:sz w:val="28"/>
        </w:rPr>
        <w:t>.</w:t>
      </w:r>
    </w:p>
    <w:p w14:paraId="1660029C" w14:textId="77777777" w:rsidR="00B036D8" w:rsidRDefault="00B036D8" w:rsidP="00B036D8">
      <w:pPr>
        <w:jc w:val="both"/>
        <w:rPr>
          <w:i/>
          <w:iCs/>
        </w:rPr>
      </w:pPr>
    </w:p>
    <w:p w14:paraId="7C50E4B3" w14:textId="77777777" w:rsidR="00C87389" w:rsidRPr="00B82BD4" w:rsidRDefault="00C87389" w:rsidP="00B82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</w:pPr>
      <w:r w:rsidRPr="00B82BD4">
        <w:rPr>
          <w:rFonts w:ascii="Times New Roman" w:hAnsi="Times New Roman" w:cs="Times New Roman"/>
          <w:sz w:val="24"/>
          <w:szCs w:val="24"/>
        </w:rPr>
        <w:t xml:space="preserve">A háttérirodalomhoz a párhuzamok miatt ajánlom: </w:t>
      </w:r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 xml:space="preserve">The </w:t>
      </w:r>
      <w:proofErr w:type="spellStart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>death</w:t>
      </w:r>
      <w:proofErr w:type="spellEnd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 xml:space="preserve"> of </w:t>
      </w:r>
      <w:proofErr w:type="spellStart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>distance</w:t>
      </w:r>
      <w:proofErr w:type="spellEnd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 xml:space="preserve"> </w:t>
      </w:r>
      <w:proofErr w:type="spellStart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>revisited</w:t>
      </w:r>
      <w:proofErr w:type="spellEnd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 xml:space="preserve">: </w:t>
      </w:r>
      <w:proofErr w:type="spellStart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>cyber-place</w:t>
      </w:r>
      <w:proofErr w:type="spellEnd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 xml:space="preserve">, </w:t>
      </w:r>
      <w:proofErr w:type="spellStart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>physical</w:t>
      </w:r>
      <w:proofErr w:type="spellEnd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 xml:space="preserve"> and </w:t>
      </w:r>
      <w:proofErr w:type="spellStart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>relational</w:t>
      </w:r>
      <w:proofErr w:type="spellEnd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 xml:space="preserve"> </w:t>
      </w:r>
      <w:proofErr w:type="spellStart"/>
      <w:r w:rsidRPr="00B82BD4">
        <w:rPr>
          <w:rFonts w:ascii="GentiumBasic-BoldItalic" w:hAnsi="GentiumBasic-BoldItalic" w:cs="GentiumBasic-BoldItalic"/>
          <w:b/>
          <w:bCs/>
          <w:i/>
          <w:iCs/>
          <w:sz w:val="28"/>
          <w:szCs w:val="28"/>
        </w:rPr>
        <w:t>proximities</w:t>
      </w:r>
      <w:proofErr w:type="spellEnd"/>
    </w:p>
    <w:p w14:paraId="4662A98D" w14:textId="77777777" w:rsidR="00B036D8" w:rsidRDefault="00C87389" w:rsidP="00C87389">
      <w:pPr>
        <w:rPr>
          <w:rFonts w:ascii="GentiumBasic-Bold" w:hAnsi="GentiumBasic-Bold" w:cs="GentiumBasic-Bold"/>
          <w:b/>
          <w:bCs/>
          <w:sz w:val="24"/>
          <w:szCs w:val="24"/>
        </w:rPr>
      </w:pPr>
      <w:r>
        <w:rPr>
          <w:rFonts w:ascii="GentiumBasic-Bold" w:hAnsi="GentiumBasic-Bold" w:cs="GentiumBasic-Bold"/>
          <w:b/>
          <w:bCs/>
          <w:sz w:val="24"/>
          <w:szCs w:val="24"/>
        </w:rPr>
        <w:t xml:space="preserve">EMMANOUIL TRANOS, PETER NIJKAMP tanulmányát. (ennek magyar fordítását mellékelem, de meg tudjátok keresni az angolt is). Az internet (IP) aktivitás erős térbeli meghatározottságát és </w:t>
      </w:r>
      <w:proofErr w:type="spellStart"/>
      <w:r>
        <w:rPr>
          <w:rFonts w:ascii="GentiumBasic-Bold" w:hAnsi="GentiumBasic-Bold" w:cs="GentiumBasic-Bold"/>
          <w:b/>
          <w:bCs/>
          <w:sz w:val="24"/>
          <w:szCs w:val="24"/>
        </w:rPr>
        <w:t>agglomerálódását</w:t>
      </w:r>
      <w:proofErr w:type="spellEnd"/>
      <w:r>
        <w:rPr>
          <w:rFonts w:ascii="GentiumBasic-Bold" w:hAnsi="GentiumBasic-Bold" w:cs="GentiumBasic-Bold"/>
          <w:b/>
          <w:bCs/>
          <w:sz w:val="24"/>
          <w:szCs w:val="24"/>
        </w:rPr>
        <w:t xml:space="preserve">. </w:t>
      </w:r>
      <w:r w:rsidR="0097417E">
        <w:rPr>
          <w:rFonts w:ascii="GentiumBasic-Bold" w:hAnsi="GentiumBasic-Bold" w:cs="GentiumBasic-Bold"/>
          <w:b/>
          <w:bCs/>
          <w:sz w:val="24"/>
          <w:szCs w:val="24"/>
        </w:rPr>
        <w:t xml:space="preserve">Ez egybeesik azzal a megállapításotokkal, hogy a fejlettebb térségek </w:t>
      </w:r>
      <w:proofErr w:type="gramStart"/>
      <w:r w:rsidR="0097417E">
        <w:rPr>
          <w:rFonts w:ascii="GentiumBasic-Bold" w:hAnsi="GentiumBasic-Bold" w:cs="GentiumBasic-Bold"/>
          <w:b/>
          <w:bCs/>
          <w:sz w:val="24"/>
          <w:szCs w:val="24"/>
        </w:rPr>
        <w:t xml:space="preserve">esetében </w:t>
      </w:r>
      <w:r w:rsidR="00B82BD4">
        <w:rPr>
          <w:rFonts w:ascii="GentiumBasic-Bold" w:hAnsi="GentiumBasic-Bold" w:cs="GentiumBasic-Bold"/>
          <w:b/>
          <w:bCs/>
          <w:sz w:val="24"/>
          <w:szCs w:val="24"/>
        </w:rPr>
        <w:t xml:space="preserve"> az</w:t>
      </w:r>
      <w:proofErr w:type="gramEnd"/>
      <w:r w:rsidR="00B82BD4">
        <w:rPr>
          <w:rFonts w:ascii="GentiumBasic-Bold" w:hAnsi="GentiumBasic-Bold" w:cs="GentiumBasic-Bold"/>
          <w:b/>
          <w:bCs/>
          <w:sz w:val="24"/>
          <w:szCs w:val="24"/>
        </w:rPr>
        <w:t xml:space="preserve"> internetpenetráció is nagyobb, ami több letöltéshez vezet</w:t>
      </w:r>
      <w:r w:rsidR="00987A63">
        <w:rPr>
          <w:rFonts w:ascii="GentiumBasic-Bold" w:hAnsi="GentiumBasic-Bold" w:cs="GentiumBasic-Bold"/>
          <w:b/>
          <w:bCs/>
          <w:sz w:val="24"/>
          <w:szCs w:val="24"/>
        </w:rPr>
        <w:t>het</w:t>
      </w:r>
      <w:r w:rsidR="00B82BD4">
        <w:rPr>
          <w:rFonts w:ascii="GentiumBasic-Bold" w:hAnsi="GentiumBasic-Bold" w:cs="GentiumBasic-Bold"/>
          <w:b/>
          <w:bCs/>
          <w:sz w:val="24"/>
          <w:szCs w:val="24"/>
        </w:rPr>
        <w:t>.</w:t>
      </w:r>
    </w:p>
    <w:p w14:paraId="520F703F" w14:textId="77777777" w:rsidR="00987A63" w:rsidRDefault="00987A63" w:rsidP="00C87389">
      <w:pPr>
        <w:rPr>
          <w:rFonts w:ascii="GentiumBasic-Bold" w:hAnsi="GentiumBasic-Bold" w:cs="GentiumBasic-Bold"/>
          <w:b/>
          <w:bCs/>
          <w:sz w:val="24"/>
          <w:szCs w:val="24"/>
        </w:rPr>
      </w:pPr>
    </w:p>
    <w:p w14:paraId="3551FB8D" w14:textId="77777777" w:rsidR="00987A63" w:rsidRDefault="002F2506" w:rsidP="00C8738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87A63" w:rsidRPr="00507F8B">
          <w:rPr>
            <w:rStyle w:val="Hyperlink"/>
            <w:rFonts w:ascii="Times New Roman" w:hAnsi="Times New Roman" w:cs="Times New Roman"/>
            <w:sz w:val="24"/>
            <w:szCs w:val="24"/>
          </w:rPr>
          <w:t>https://ideas.repec.org/p/tin/wpaper/20120066.html</w:t>
        </w:r>
      </w:hyperlink>
    </w:p>
    <w:p w14:paraId="252C21D2" w14:textId="77777777" w:rsidR="00987A63" w:rsidRDefault="00987A63" w:rsidP="00C87389">
      <w:pPr>
        <w:rPr>
          <w:rFonts w:ascii="Times New Roman" w:hAnsi="Times New Roman" w:cs="Times New Roman"/>
          <w:sz w:val="24"/>
          <w:szCs w:val="24"/>
        </w:rPr>
      </w:pPr>
    </w:p>
    <w:p w14:paraId="291A47B6" w14:textId="77777777" w:rsidR="00B82BD4" w:rsidRDefault="00B82BD4" w:rsidP="00B036D8">
      <w:pPr>
        <w:autoSpaceDE w:val="0"/>
        <w:autoSpaceDN w:val="0"/>
        <w:adjustRightInd w:val="0"/>
        <w:spacing w:after="0" w:line="240" w:lineRule="auto"/>
        <w:rPr>
          <w:rFonts w:ascii="GentiumPlus" w:eastAsia="GentiumPlus" w:cs="GentiumPlus"/>
          <w:szCs w:val="16"/>
        </w:rPr>
      </w:pPr>
      <w:proofErr w:type="spellStart"/>
      <w:r w:rsidRPr="00B82BD4">
        <w:rPr>
          <w:rFonts w:ascii="GentiumPlus" w:eastAsia="GentiumPlus" w:cs="GentiumPlus"/>
          <w:szCs w:val="16"/>
        </w:rPr>
        <w:t>related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articles</w:t>
      </w:r>
      <w:proofErr w:type="spellEnd"/>
      <w:r w:rsidRPr="00B82BD4">
        <w:rPr>
          <w:rFonts w:ascii="GentiumPlus" w:eastAsia="GentiumPlus" w:cs="GentiumPlus"/>
          <w:szCs w:val="16"/>
        </w:rPr>
        <w:t xml:space="preserve">: </w:t>
      </w:r>
    </w:p>
    <w:p w14:paraId="703DE376" w14:textId="77777777" w:rsidR="00B036D8" w:rsidRPr="00B82BD4" w:rsidRDefault="00B036D8" w:rsidP="00B036D8">
      <w:pPr>
        <w:autoSpaceDE w:val="0"/>
        <w:autoSpaceDN w:val="0"/>
        <w:adjustRightInd w:val="0"/>
        <w:spacing w:after="0" w:line="240" w:lineRule="auto"/>
        <w:rPr>
          <w:rFonts w:ascii="GentiumPlus" w:eastAsia="GentiumPlus" w:cs="GentiumPlus"/>
          <w:szCs w:val="16"/>
        </w:rPr>
      </w:pPr>
      <w:proofErr w:type="spellStart"/>
      <w:r w:rsidRPr="00B82BD4">
        <w:rPr>
          <w:rFonts w:ascii="GentiumPlus" w:eastAsia="GentiumPlus" w:cs="GentiumPlus"/>
          <w:szCs w:val="16"/>
        </w:rPr>
        <w:t>Tranos</w:t>
      </w:r>
      <w:proofErr w:type="spellEnd"/>
      <w:r w:rsidRPr="00B82BD4">
        <w:rPr>
          <w:rFonts w:ascii="GentiumPlus" w:eastAsia="GentiumPlus" w:cs="GentiumPlus"/>
          <w:szCs w:val="16"/>
        </w:rPr>
        <w:t xml:space="preserve">, E. (2011): The </w:t>
      </w:r>
      <w:proofErr w:type="spellStart"/>
      <w:r w:rsidRPr="00B82BD4">
        <w:rPr>
          <w:rFonts w:ascii="GentiumPlus" w:eastAsia="GentiumPlus" w:cs="GentiumPlus"/>
          <w:szCs w:val="16"/>
        </w:rPr>
        <w:t>topology</w:t>
      </w:r>
      <w:proofErr w:type="spellEnd"/>
      <w:r w:rsidRPr="00B82BD4">
        <w:rPr>
          <w:rFonts w:ascii="GentiumPlus" w:eastAsia="GentiumPlus" w:cs="GentiumPlus"/>
          <w:szCs w:val="16"/>
        </w:rPr>
        <w:t xml:space="preserve"> and </w:t>
      </w:r>
      <w:proofErr w:type="spellStart"/>
      <w:r w:rsidRPr="00B82BD4">
        <w:rPr>
          <w:rFonts w:ascii="GentiumPlus" w:eastAsia="GentiumPlus" w:cs="GentiumPlus"/>
          <w:szCs w:val="16"/>
        </w:rPr>
        <w:t>the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emerging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urban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geographies</w:t>
      </w:r>
      <w:proofErr w:type="spellEnd"/>
      <w:r w:rsidRPr="00B82BD4">
        <w:rPr>
          <w:rFonts w:ascii="GentiumPlus" w:eastAsia="GentiumPlus" w:cs="GentiumPlus"/>
          <w:szCs w:val="16"/>
        </w:rPr>
        <w:t xml:space="preserve"> of </w:t>
      </w:r>
      <w:proofErr w:type="spellStart"/>
      <w:r w:rsidRPr="00B82BD4">
        <w:rPr>
          <w:rFonts w:ascii="GentiumPlus" w:eastAsia="GentiumPlus" w:cs="GentiumPlus"/>
          <w:szCs w:val="16"/>
        </w:rPr>
        <w:t>the</w:t>
      </w:r>
      <w:proofErr w:type="spellEnd"/>
      <w:r w:rsidRPr="00B82BD4">
        <w:rPr>
          <w:rFonts w:ascii="GentiumPlus" w:eastAsia="GentiumPlus" w:cs="GentiumPlus"/>
          <w:szCs w:val="16"/>
        </w:rPr>
        <w:t xml:space="preserve"> Internet </w:t>
      </w:r>
      <w:proofErr w:type="spellStart"/>
      <w:r w:rsidRPr="00B82BD4">
        <w:rPr>
          <w:rFonts w:ascii="GentiumPlus" w:eastAsia="GentiumPlus" w:cs="GentiumPlus"/>
          <w:szCs w:val="16"/>
        </w:rPr>
        <w:t>backbone</w:t>
      </w:r>
      <w:proofErr w:type="spellEnd"/>
      <w:r w:rsidRPr="00B82BD4">
        <w:rPr>
          <w:rFonts w:ascii="GentiumPlus" w:eastAsia="GentiumPlus" w:cs="GentiumPlus"/>
          <w:szCs w:val="16"/>
        </w:rPr>
        <w:t xml:space="preserve"> and</w:t>
      </w:r>
    </w:p>
    <w:p w14:paraId="114C179D" w14:textId="77777777" w:rsidR="00B036D8" w:rsidRPr="00B82BD4" w:rsidRDefault="00B036D8" w:rsidP="00B036D8">
      <w:pPr>
        <w:autoSpaceDE w:val="0"/>
        <w:autoSpaceDN w:val="0"/>
        <w:adjustRightInd w:val="0"/>
        <w:spacing w:after="0" w:line="240" w:lineRule="auto"/>
        <w:rPr>
          <w:rFonts w:ascii="GentiumPlus" w:eastAsia="GentiumPlus" w:cs="GentiumPlus"/>
          <w:szCs w:val="16"/>
        </w:rPr>
      </w:pPr>
      <w:proofErr w:type="spellStart"/>
      <w:r w:rsidRPr="00B82BD4">
        <w:rPr>
          <w:rFonts w:ascii="GentiumPlus" w:eastAsia="GentiumPlus" w:cs="GentiumPlus"/>
          <w:szCs w:val="16"/>
        </w:rPr>
        <w:t>aviation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networks</w:t>
      </w:r>
      <w:proofErr w:type="spellEnd"/>
      <w:r w:rsidRPr="00B82BD4">
        <w:rPr>
          <w:rFonts w:ascii="GentiumPlus" w:eastAsia="GentiumPlus" w:cs="GentiumPlus"/>
          <w:szCs w:val="16"/>
        </w:rPr>
        <w:t xml:space="preserve"> in Europe: a </w:t>
      </w:r>
      <w:proofErr w:type="spellStart"/>
      <w:r w:rsidRPr="00B82BD4">
        <w:rPr>
          <w:rFonts w:ascii="GentiumPlus" w:eastAsia="GentiumPlus" w:cs="GentiumPlus"/>
          <w:szCs w:val="16"/>
        </w:rPr>
        <w:t>comparative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study</w:t>
      </w:r>
      <w:proofErr w:type="spellEnd"/>
      <w:r w:rsidRPr="00B82BD4">
        <w:rPr>
          <w:rFonts w:ascii="GentiumPlus" w:eastAsia="GentiumPlus" w:cs="GentiumPlus"/>
          <w:szCs w:val="16"/>
        </w:rPr>
        <w:t xml:space="preserve">.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Environment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 and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Planning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 A, </w:t>
      </w:r>
      <w:r w:rsidRPr="00B82BD4">
        <w:rPr>
          <w:rFonts w:ascii="GentiumPlus" w:eastAsia="GentiumPlus" w:cs="GentiumPlus"/>
          <w:szCs w:val="16"/>
        </w:rPr>
        <w:t>2., 378</w:t>
      </w:r>
      <w:r w:rsidRPr="00B82BD4">
        <w:rPr>
          <w:rFonts w:ascii="GentiumPlus" w:eastAsia="GentiumPlus" w:cs="GentiumPlus" w:hint="eastAsia"/>
          <w:szCs w:val="16"/>
        </w:rPr>
        <w:t>–</w:t>
      </w:r>
      <w:r w:rsidRPr="00B82BD4">
        <w:rPr>
          <w:rFonts w:ascii="GentiumPlus" w:eastAsia="GentiumPlus" w:cs="GentiumPlus"/>
          <w:szCs w:val="16"/>
        </w:rPr>
        <w:t>392.</w:t>
      </w:r>
    </w:p>
    <w:p w14:paraId="2F328B52" w14:textId="77777777" w:rsidR="00B036D8" w:rsidRPr="00B82BD4" w:rsidRDefault="00B036D8" w:rsidP="00B036D8">
      <w:pPr>
        <w:autoSpaceDE w:val="0"/>
        <w:autoSpaceDN w:val="0"/>
        <w:adjustRightInd w:val="0"/>
        <w:spacing w:after="0" w:line="240" w:lineRule="auto"/>
        <w:rPr>
          <w:rFonts w:ascii="GentiumPlus-Italic" w:eastAsia="GentiumPlus-Italic" w:cs="GentiumPlus-Italic"/>
          <w:i/>
          <w:iCs/>
          <w:szCs w:val="16"/>
        </w:rPr>
      </w:pPr>
      <w:proofErr w:type="spellStart"/>
      <w:r w:rsidRPr="00B82BD4">
        <w:rPr>
          <w:rFonts w:ascii="GentiumPlus" w:eastAsia="GentiumPlus" w:cs="GentiumPlus"/>
          <w:szCs w:val="16"/>
        </w:rPr>
        <w:t>Tranos</w:t>
      </w:r>
      <w:proofErr w:type="spellEnd"/>
      <w:r w:rsidRPr="00B82BD4">
        <w:rPr>
          <w:rFonts w:ascii="GentiumPlus" w:eastAsia="GentiumPlus" w:cs="GentiumPlus"/>
          <w:szCs w:val="16"/>
        </w:rPr>
        <w:t xml:space="preserve">, E. (2013): </w:t>
      </w:r>
      <w:r w:rsidRPr="00B82BD4">
        <w:rPr>
          <w:rFonts w:ascii="GentiumPlus-Italic" w:eastAsia="GentiumPlus-Italic" w:cs="GentiumPlus-Italic"/>
          <w:i/>
          <w:iCs/>
          <w:szCs w:val="16"/>
        </w:rPr>
        <w:t xml:space="preserve">The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geography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 of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the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 internet: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cities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,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regions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 and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the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 internet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infrastructure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 in Europe.</w:t>
      </w:r>
    </w:p>
    <w:p w14:paraId="4117A5DA" w14:textId="77777777" w:rsidR="00B036D8" w:rsidRPr="00B82BD4" w:rsidRDefault="00B036D8" w:rsidP="00B036D8">
      <w:pPr>
        <w:autoSpaceDE w:val="0"/>
        <w:autoSpaceDN w:val="0"/>
        <w:adjustRightInd w:val="0"/>
        <w:spacing w:after="0" w:line="240" w:lineRule="auto"/>
        <w:rPr>
          <w:rFonts w:ascii="GentiumPlus" w:eastAsia="GentiumPlus" w:cs="GentiumPlus"/>
          <w:szCs w:val="16"/>
        </w:rPr>
      </w:pPr>
      <w:r w:rsidRPr="00B82BD4">
        <w:rPr>
          <w:rFonts w:ascii="GentiumPlus" w:eastAsia="GentiumPlus" w:cs="GentiumPlus"/>
          <w:szCs w:val="16"/>
        </w:rPr>
        <w:t xml:space="preserve">Edward </w:t>
      </w:r>
      <w:proofErr w:type="spellStart"/>
      <w:r w:rsidRPr="00B82BD4">
        <w:rPr>
          <w:rFonts w:ascii="GentiumPlus" w:eastAsia="GentiumPlus" w:cs="GentiumPlus"/>
          <w:szCs w:val="16"/>
        </w:rPr>
        <w:t>Elgar</w:t>
      </w:r>
      <w:proofErr w:type="spellEnd"/>
    </w:p>
    <w:p w14:paraId="43426699" w14:textId="77777777" w:rsidR="00B036D8" w:rsidRPr="00B82BD4" w:rsidRDefault="00B036D8" w:rsidP="00B036D8">
      <w:pPr>
        <w:autoSpaceDE w:val="0"/>
        <w:autoSpaceDN w:val="0"/>
        <w:adjustRightInd w:val="0"/>
        <w:spacing w:after="0" w:line="240" w:lineRule="auto"/>
        <w:rPr>
          <w:rFonts w:ascii="GentiumPlus" w:eastAsia="GentiumPlus" w:cs="GentiumPlus"/>
          <w:szCs w:val="16"/>
        </w:rPr>
      </w:pPr>
      <w:proofErr w:type="spellStart"/>
      <w:r w:rsidRPr="00B82BD4">
        <w:rPr>
          <w:rFonts w:ascii="GentiumPlus" w:eastAsia="GentiumPlus" w:cs="GentiumPlus"/>
          <w:szCs w:val="16"/>
        </w:rPr>
        <w:t>Tranos</w:t>
      </w:r>
      <w:proofErr w:type="spellEnd"/>
      <w:r w:rsidRPr="00B82BD4">
        <w:rPr>
          <w:rFonts w:ascii="GentiumPlus" w:eastAsia="GentiumPlus" w:cs="GentiumPlus"/>
          <w:szCs w:val="16"/>
        </w:rPr>
        <w:t xml:space="preserve">, E., </w:t>
      </w:r>
      <w:proofErr w:type="spellStart"/>
      <w:r w:rsidRPr="00B82BD4">
        <w:rPr>
          <w:rFonts w:ascii="GentiumPlus" w:eastAsia="GentiumPlus" w:cs="GentiumPlus"/>
          <w:szCs w:val="16"/>
        </w:rPr>
        <w:t>Gillespie</w:t>
      </w:r>
      <w:proofErr w:type="spellEnd"/>
      <w:r w:rsidRPr="00B82BD4">
        <w:rPr>
          <w:rFonts w:ascii="GentiumPlus" w:eastAsia="GentiumPlus" w:cs="GentiumPlus"/>
          <w:szCs w:val="16"/>
        </w:rPr>
        <w:t xml:space="preserve">, A. (2009): The </w:t>
      </w:r>
      <w:proofErr w:type="spellStart"/>
      <w:r w:rsidRPr="00B82BD4">
        <w:rPr>
          <w:rFonts w:ascii="GentiumPlus" w:eastAsia="GentiumPlus" w:cs="GentiumPlus"/>
          <w:szCs w:val="16"/>
        </w:rPr>
        <w:t>spatial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distribution</w:t>
      </w:r>
      <w:proofErr w:type="spellEnd"/>
      <w:r w:rsidRPr="00B82BD4">
        <w:rPr>
          <w:rFonts w:ascii="GentiumPlus" w:eastAsia="GentiumPlus" w:cs="GentiumPlus"/>
          <w:szCs w:val="16"/>
        </w:rPr>
        <w:t xml:space="preserve"> of Internet </w:t>
      </w:r>
      <w:proofErr w:type="spellStart"/>
      <w:r w:rsidRPr="00B82BD4">
        <w:rPr>
          <w:rFonts w:ascii="GentiumPlus" w:eastAsia="GentiumPlus" w:cs="GentiumPlus"/>
          <w:szCs w:val="16"/>
        </w:rPr>
        <w:t>backbone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networks</w:t>
      </w:r>
      <w:proofErr w:type="spellEnd"/>
      <w:r w:rsidRPr="00B82BD4">
        <w:rPr>
          <w:rFonts w:ascii="GentiumPlus" w:eastAsia="GentiumPlus" w:cs="GentiumPlus"/>
          <w:szCs w:val="16"/>
        </w:rPr>
        <w:t xml:space="preserve"> in Europe: a</w:t>
      </w:r>
    </w:p>
    <w:p w14:paraId="6566E395" w14:textId="77777777" w:rsidR="00B036D8" w:rsidRPr="00B82BD4" w:rsidRDefault="00B036D8" w:rsidP="00B036D8">
      <w:pPr>
        <w:autoSpaceDE w:val="0"/>
        <w:autoSpaceDN w:val="0"/>
        <w:adjustRightInd w:val="0"/>
        <w:spacing w:after="0" w:line="240" w:lineRule="auto"/>
        <w:rPr>
          <w:rFonts w:ascii="GentiumPlus" w:eastAsia="GentiumPlus" w:cs="GentiumPlus"/>
          <w:szCs w:val="16"/>
        </w:rPr>
      </w:pPr>
      <w:proofErr w:type="spellStart"/>
      <w:r w:rsidRPr="00B82BD4">
        <w:rPr>
          <w:rFonts w:ascii="GentiumPlus" w:eastAsia="GentiumPlus" w:cs="GentiumPlus"/>
          <w:szCs w:val="16"/>
        </w:rPr>
        <w:t>metropolitan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knowledge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economy</w:t>
      </w:r>
      <w:proofErr w:type="spellEnd"/>
      <w:r w:rsidRPr="00B82BD4">
        <w:rPr>
          <w:rFonts w:ascii="GentiumPlus" w:eastAsia="GentiumPlus" w:cs="GentiumPlus"/>
          <w:szCs w:val="16"/>
        </w:rPr>
        <w:t xml:space="preserve"> </w:t>
      </w:r>
      <w:proofErr w:type="spellStart"/>
      <w:r w:rsidRPr="00B82BD4">
        <w:rPr>
          <w:rFonts w:ascii="GentiumPlus" w:eastAsia="GentiumPlus" w:cs="GentiumPlus"/>
          <w:szCs w:val="16"/>
        </w:rPr>
        <w:t>perspective</w:t>
      </w:r>
      <w:proofErr w:type="spellEnd"/>
      <w:r w:rsidRPr="00B82BD4">
        <w:rPr>
          <w:rFonts w:ascii="GentiumPlus" w:eastAsia="GentiumPlus" w:cs="GentiumPlus"/>
          <w:szCs w:val="16"/>
        </w:rPr>
        <w:t xml:space="preserve">. </w:t>
      </w:r>
      <w:r w:rsidRPr="00B82BD4">
        <w:rPr>
          <w:rFonts w:ascii="GentiumPlus-Italic" w:eastAsia="GentiumPlus-Italic" w:cs="GentiumPlus-Italic"/>
          <w:i/>
          <w:iCs/>
          <w:szCs w:val="16"/>
        </w:rPr>
        <w:t xml:space="preserve">European Urban and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Regional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 </w:t>
      </w:r>
      <w:proofErr w:type="spellStart"/>
      <w:r w:rsidRPr="00B82BD4">
        <w:rPr>
          <w:rFonts w:ascii="GentiumPlus-Italic" w:eastAsia="GentiumPlus-Italic" w:cs="GentiumPlus-Italic"/>
          <w:i/>
          <w:iCs/>
          <w:szCs w:val="16"/>
        </w:rPr>
        <w:t>Studies</w:t>
      </w:r>
      <w:proofErr w:type="spellEnd"/>
      <w:r w:rsidRPr="00B82BD4">
        <w:rPr>
          <w:rFonts w:ascii="GentiumPlus-Italic" w:eastAsia="GentiumPlus-Italic" w:cs="GentiumPlus-Italic"/>
          <w:i/>
          <w:iCs/>
          <w:szCs w:val="16"/>
        </w:rPr>
        <w:t xml:space="preserve">, </w:t>
      </w:r>
      <w:r w:rsidRPr="00B82BD4">
        <w:rPr>
          <w:rFonts w:ascii="GentiumPlus" w:eastAsia="GentiumPlus" w:cs="GentiumPlus"/>
          <w:szCs w:val="16"/>
        </w:rPr>
        <w:t>4.,</w:t>
      </w:r>
    </w:p>
    <w:p w14:paraId="3735A977" w14:textId="77777777" w:rsidR="00B036D8" w:rsidRPr="00B82BD4" w:rsidRDefault="00B036D8" w:rsidP="00B036D8">
      <w:pPr>
        <w:rPr>
          <w:rFonts w:ascii="GentiumPlus" w:eastAsia="GentiumPlus" w:cs="GentiumPlus"/>
          <w:szCs w:val="16"/>
        </w:rPr>
      </w:pPr>
      <w:r w:rsidRPr="00B82BD4">
        <w:rPr>
          <w:rFonts w:ascii="GentiumPlus" w:eastAsia="GentiumPlus" w:cs="GentiumPlus"/>
          <w:szCs w:val="16"/>
        </w:rPr>
        <w:t>423</w:t>
      </w:r>
      <w:r w:rsidRPr="00B82BD4">
        <w:rPr>
          <w:rFonts w:ascii="GentiumPlus" w:eastAsia="GentiumPlus" w:cs="GentiumPlus" w:hint="eastAsia"/>
          <w:szCs w:val="16"/>
        </w:rPr>
        <w:t>–</w:t>
      </w:r>
      <w:r w:rsidRPr="00B82BD4">
        <w:rPr>
          <w:rFonts w:ascii="GentiumPlus" w:eastAsia="GentiumPlus" w:cs="GentiumPlus"/>
          <w:szCs w:val="16"/>
        </w:rPr>
        <w:t>437.</w:t>
      </w:r>
    </w:p>
    <w:p w14:paraId="20B30802" w14:textId="77777777" w:rsidR="00B82BD4" w:rsidRDefault="00B82BD4" w:rsidP="00B82BD4">
      <w:pPr>
        <w:jc w:val="both"/>
        <w:rPr>
          <w:rFonts w:ascii="Times New Roman" w:hAnsi="Times New Roman" w:cs="Times New Roman"/>
          <w:sz w:val="24"/>
          <w:szCs w:val="24"/>
        </w:rPr>
      </w:pPr>
      <w:r w:rsidRPr="00B82BD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: „In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low-income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GDP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high-income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.” Mindez a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lagging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hatással is magyarázható. A gyorsabb felzárkózáshoz növelni kell a tudástermelést és az ahhoz szükséges a tudásbázist szélesíteni. A legális tudástartalom elérhetősége nem bővül olyan </w:t>
      </w:r>
      <w:proofErr w:type="spellStart"/>
      <w:proofErr w:type="gramStart"/>
      <w:r w:rsidRPr="00B82BD4">
        <w:rPr>
          <w:rFonts w:ascii="Times New Roman" w:hAnsi="Times New Roman" w:cs="Times New Roman"/>
          <w:sz w:val="24"/>
          <w:szCs w:val="24"/>
        </w:rPr>
        <w:t>gyorsan,mint</w:t>
      </w:r>
      <w:proofErr w:type="spellEnd"/>
      <w:proofErr w:type="gramEnd"/>
      <w:r w:rsidRPr="00B82BD4">
        <w:rPr>
          <w:rFonts w:ascii="Times New Roman" w:hAnsi="Times New Roman" w:cs="Times New Roman"/>
          <w:sz w:val="24"/>
          <w:szCs w:val="24"/>
        </w:rPr>
        <w:t xml:space="preserve"> azt a gyorsabb gazdasági növekedés igényei megkívánják, ezért </w:t>
      </w:r>
      <w:r>
        <w:rPr>
          <w:rFonts w:ascii="Times New Roman" w:hAnsi="Times New Roman" w:cs="Times New Roman"/>
          <w:sz w:val="24"/>
          <w:szCs w:val="24"/>
        </w:rPr>
        <w:t xml:space="preserve">ezt </w:t>
      </w:r>
      <w:r w:rsidRPr="00B82B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B82BD4">
        <w:rPr>
          <w:rFonts w:ascii="Times New Roman" w:hAnsi="Times New Roman" w:cs="Times New Roman"/>
          <w:sz w:val="24"/>
          <w:szCs w:val="24"/>
        </w:rPr>
        <w:t xml:space="preserve"> illegális </w:t>
      </w:r>
      <w:proofErr w:type="spellStart"/>
      <w:r w:rsidRPr="00B82BD4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B82BD4">
        <w:rPr>
          <w:rFonts w:ascii="Times New Roman" w:hAnsi="Times New Roman" w:cs="Times New Roman"/>
          <w:sz w:val="24"/>
          <w:szCs w:val="24"/>
        </w:rPr>
        <w:t xml:space="preserve"> források bevonásával kompenzálják.  </w:t>
      </w:r>
      <w:r>
        <w:rPr>
          <w:rFonts w:ascii="Times New Roman" w:hAnsi="Times New Roman" w:cs="Times New Roman"/>
          <w:sz w:val="24"/>
          <w:szCs w:val="24"/>
        </w:rPr>
        <w:t xml:space="preserve">Illetve releváns az a megállapításotok, hogy </w:t>
      </w:r>
      <w:r w:rsidR="00B8405A">
        <w:rPr>
          <w:rFonts w:ascii="Times New Roman" w:hAnsi="Times New Roman" w:cs="Times New Roman"/>
          <w:sz w:val="24"/>
          <w:szCs w:val="24"/>
        </w:rPr>
        <w:t xml:space="preserve">tudásgazdaságba történő beruházásoknál először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tudásinfrastruktúra kiépítése élvez prioritást</w:t>
      </w:r>
      <w:r w:rsidR="008E6BC6">
        <w:rPr>
          <w:rFonts w:ascii="Times New Roman" w:hAnsi="Times New Roman" w:cs="Times New Roman"/>
          <w:sz w:val="24"/>
          <w:szCs w:val="24"/>
        </w:rPr>
        <w:t xml:space="preserve"> </w:t>
      </w:r>
      <w:r w:rsidR="00B8405A">
        <w:rPr>
          <w:rFonts w:ascii="Times New Roman" w:hAnsi="Times New Roman" w:cs="Times New Roman"/>
          <w:sz w:val="24"/>
          <w:szCs w:val="24"/>
        </w:rPr>
        <w:t>az adatbázis és publikációs ada</w:t>
      </w:r>
      <w:r w:rsidR="008E6BC6">
        <w:rPr>
          <w:rFonts w:ascii="Times New Roman" w:hAnsi="Times New Roman" w:cs="Times New Roman"/>
          <w:sz w:val="24"/>
          <w:szCs w:val="24"/>
        </w:rPr>
        <w:t xml:space="preserve">tbázisok megvásárlásával szemben. (illetve </w:t>
      </w:r>
      <w:proofErr w:type="gramStart"/>
      <w:r w:rsidR="008E6B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E6BC6">
        <w:rPr>
          <w:rFonts w:ascii="Times New Roman" w:hAnsi="Times New Roman" w:cs="Times New Roman"/>
          <w:sz w:val="24"/>
          <w:szCs w:val="24"/>
        </w:rPr>
        <w:t xml:space="preserve"> ezek az adatbázisok relatíve drágábbak a publikációs platformok (cégek) nagyon magas profitrátája és monopóliuma miatt. </w:t>
      </w:r>
    </w:p>
    <w:p w14:paraId="0F46FD09" w14:textId="77777777" w:rsidR="00A23148" w:rsidRDefault="00A23148" w:rsidP="00B82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6009C" w14:textId="77777777" w:rsidR="00AA3FA8" w:rsidRDefault="00A23148" w:rsidP="00A23148">
      <w:pPr>
        <w:pStyle w:val="Heading1"/>
        <w:spacing w:before="0" w:beforeAutospacing="0" w:after="375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sz w:val="24"/>
          <w:szCs w:val="24"/>
        </w:rPr>
        <w:lastRenderedPageBreak/>
        <w:t>Érdems</w:t>
      </w:r>
      <w:proofErr w:type="spellEnd"/>
      <w:r>
        <w:rPr>
          <w:sz w:val="24"/>
          <w:szCs w:val="24"/>
        </w:rPr>
        <w:t xml:space="preserve"> lenne összevetni az Európán kívüli </w:t>
      </w:r>
      <w:proofErr w:type="spellStart"/>
      <w:r>
        <w:rPr>
          <w:sz w:val="24"/>
          <w:szCs w:val="24"/>
        </w:rPr>
        <w:t>emerging</w:t>
      </w:r>
      <w:proofErr w:type="spellEnd"/>
      <w:r>
        <w:rPr>
          <w:sz w:val="24"/>
          <w:szCs w:val="24"/>
        </w:rPr>
        <w:t xml:space="preserve"> gazdaságokat a CEE-vel. Anno hallgattam Andreas </w:t>
      </w:r>
      <w:proofErr w:type="spellStart"/>
      <w:r>
        <w:rPr>
          <w:sz w:val="24"/>
          <w:szCs w:val="24"/>
        </w:rPr>
        <w:t>Nölke</w:t>
      </w:r>
      <w:proofErr w:type="spellEnd"/>
      <w:r>
        <w:rPr>
          <w:sz w:val="24"/>
          <w:szCs w:val="24"/>
        </w:rPr>
        <w:t xml:space="preserve"> előadását (cikke a témában: „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Dependent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versus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state-permeated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capitalism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: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two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basic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options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for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emerging</w:t>
      </w:r>
      <w:proofErr w:type="spellEnd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A23148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markets</w:t>
      </w:r>
      <w:proofErr w:type="spellEnd"/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”</w:t>
      </w:r>
      <w:r w:rsidR="00AA3FA8" w:rsidRPr="00AA3FA8">
        <w:rPr>
          <w:rStyle w:val="PlaceholderText"/>
          <w:rFonts w:ascii="Arial" w:hAnsi="Arial" w:cs="Arial"/>
          <w:color w:val="888888"/>
          <w:sz w:val="21"/>
          <w:szCs w:val="21"/>
        </w:rPr>
        <w:t xml:space="preserve"> </w:t>
      </w:r>
      <w:r w:rsidR="00AA3FA8">
        <w:rPr>
          <w:rStyle w:val="Emphasis"/>
          <w:rFonts w:ascii="Arial" w:hAnsi="Arial" w:cs="Arial"/>
          <w:color w:val="888888"/>
          <w:sz w:val="21"/>
          <w:szCs w:val="21"/>
        </w:rPr>
        <w:t>in</w:t>
      </w:r>
      <w:r w:rsidR="00AA3FA8">
        <w:rPr>
          <w:rFonts w:ascii="Arial" w:hAnsi="Arial" w:cs="Arial"/>
          <w:color w:val="555555"/>
          <w:sz w:val="21"/>
          <w:szCs w:val="21"/>
        </w:rPr>
        <w:t> </w:t>
      </w:r>
      <w:hyperlink r:id="rId8" w:tgtFrame="_blank" w:history="1">
        <w:r w:rsidR="00AA3FA8">
          <w:rPr>
            <w:rStyle w:val="Hyperlink"/>
            <w:rFonts w:ascii="inherit" w:hAnsi="inherit" w:cs="Arial"/>
            <w:color w:val="0080FF"/>
            <w:sz w:val="21"/>
            <w:szCs w:val="21"/>
            <w:bdr w:val="none" w:sz="0" w:space="0" w:color="auto" w:frame="1"/>
          </w:rPr>
          <w:t xml:space="preserve">International Journal of Management and </w:t>
        </w:r>
        <w:proofErr w:type="spellStart"/>
        <w:r w:rsidR="00AA3FA8">
          <w:rPr>
            <w:rStyle w:val="Hyperlink"/>
            <w:rFonts w:ascii="inherit" w:hAnsi="inherit" w:cs="Arial"/>
            <w:color w:val="0080FF"/>
            <w:sz w:val="21"/>
            <w:szCs w:val="21"/>
            <w:bdr w:val="none" w:sz="0" w:space="0" w:color="auto" w:frame="1"/>
          </w:rPr>
          <w:t>Economics</w:t>
        </w:r>
        <w:proofErr w:type="spellEnd"/>
      </w:hyperlink>
      <w:r w:rsidR="00AA3FA8">
        <w:rPr>
          <w:rFonts w:ascii="Arial" w:hAnsi="Arial" w:cs="Arial"/>
          <w:color w:val="555555"/>
          <w:sz w:val="21"/>
          <w:szCs w:val="21"/>
        </w:rPr>
        <w:t xml:space="preserve"> 54(4):269-282 ·: megállapította, hogy kutatásra és oktatásra CEE kevesebbet költ , mint a BRIC országok. </w:t>
      </w:r>
      <w:r w:rsidR="00762E74">
        <w:rPr>
          <w:rFonts w:ascii="Arial" w:hAnsi="Arial" w:cs="Arial"/>
          <w:color w:val="555555"/>
          <w:sz w:val="21"/>
          <w:szCs w:val="21"/>
        </w:rPr>
        <w:t xml:space="preserve">Kíváncsi </w:t>
      </w:r>
      <w:proofErr w:type="gramStart"/>
      <w:r w:rsidR="00762E74">
        <w:rPr>
          <w:rFonts w:ascii="Arial" w:hAnsi="Arial" w:cs="Arial"/>
          <w:color w:val="555555"/>
          <w:sz w:val="21"/>
          <w:szCs w:val="21"/>
        </w:rPr>
        <w:t>lennék</w:t>
      </w:r>
      <w:proofErr w:type="gramEnd"/>
      <w:r w:rsidR="00762E74">
        <w:rPr>
          <w:rFonts w:ascii="Arial" w:hAnsi="Arial" w:cs="Arial"/>
          <w:color w:val="555555"/>
          <w:sz w:val="21"/>
          <w:szCs w:val="21"/>
        </w:rPr>
        <w:t xml:space="preserve"> hogy más aspektusokkal is magyarázhatók e a két országcsoport különbségei pl. a tudástermelésben és abszorpcióban. </w:t>
      </w:r>
    </w:p>
    <w:p w14:paraId="31323F4F" w14:textId="77777777" w:rsidR="00AA3FA8" w:rsidRDefault="00AA3FA8" w:rsidP="00A23148">
      <w:pPr>
        <w:pStyle w:val="Heading1"/>
        <w:spacing w:before="0" w:beforeAutospacing="0" w:after="375" w:afterAutospacing="0"/>
        <w:rPr>
          <w:rFonts w:ascii="Arial" w:hAnsi="Arial" w:cs="Arial"/>
          <w:color w:val="555555"/>
          <w:sz w:val="21"/>
          <w:szCs w:val="21"/>
        </w:rPr>
      </w:pPr>
    </w:p>
    <w:p w14:paraId="6FB37CFB" w14:textId="77777777" w:rsidR="00037304" w:rsidRDefault="00AA3FA8" w:rsidP="008072A8">
      <w:pPr>
        <w:pStyle w:val="ListParagraph"/>
        <w:numPr>
          <w:ilvl w:val="0"/>
          <w:numId w:val="2"/>
        </w:numPr>
        <w:jc w:val="both"/>
      </w:pPr>
      <w:r w:rsidRPr="008072A8">
        <w:rPr>
          <w:rFonts w:ascii="Arial" w:hAnsi="Arial" w:cs="Arial"/>
          <w:color w:val="555555"/>
          <w:sz w:val="21"/>
          <w:szCs w:val="21"/>
        </w:rPr>
        <w:t>’</w:t>
      </w:r>
      <w:r w:rsidRPr="00AA3FA8"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infrastructural</w:t>
      </w:r>
      <w:proofErr w:type="spellEnd"/>
      <w:r>
        <w:t xml:space="preserve"> mix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.’ </w:t>
      </w:r>
    </w:p>
    <w:p w14:paraId="53CEADBB" w14:textId="77777777" w:rsidR="00037304" w:rsidRDefault="00037304" w:rsidP="00037304">
      <w:pPr>
        <w:pStyle w:val="ListParagraph"/>
        <w:jc w:val="both"/>
      </w:pPr>
    </w:p>
    <w:p w14:paraId="3AEBC536" w14:textId="77777777" w:rsidR="00AA3FA8" w:rsidRDefault="00AA3FA8" w:rsidP="00037304">
      <w:pPr>
        <w:pStyle w:val="ListParagraph"/>
        <w:jc w:val="both"/>
      </w:pPr>
      <w:r>
        <w:t>„</w:t>
      </w:r>
      <w:r w:rsidR="00037304">
        <w:t xml:space="preserve">. In </w:t>
      </w:r>
      <w:proofErr w:type="spellStart"/>
      <w:r w:rsidR="00037304">
        <w:t>low-income</w:t>
      </w:r>
      <w:proofErr w:type="spellEnd"/>
      <w:r w:rsidR="00037304">
        <w:t xml:space="preserve"> </w:t>
      </w:r>
      <w:proofErr w:type="spellStart"/>
      <w:r w:rsidR="00037304">
        <w:t>countries</w:t>
      </w:r>
      <w:proofErr w:type="spellEnd"/>
      <w:r w:rsidR="00037304">
        <w:t xml:space="preserve">, </w:t>
      </w:r>
      <w:proofErr w:type="spellStart"/>
      <w:r w:rsidR="00037304">
        <w:t>higher</w:t>
      </w:r>
      <w:proofErr w:type="spellEnd"/>
      <w:r w:rsidR="00037304">
        <w:t xml:space="preserve"> </w:t>
      </w:r>
      <w:proofErr w:type="spellStart"/>
      <w:r w:rsidR="00037304">
        <w:t>investment</w:t>
      </w:r>
      <w:proofErr w:type="spellEnd"/>
      <w:r w:rsidR="00037304">
        <w:t xml:space="preserve"> </w:t>
      </w:r>
      <w:proofErr w:type="spellStart"/>
      <w:r w:rsidR="00037304">
        <w:t>may</w:t>
      </w:r>
      <w:proofErr w:type="spellEnd"/>
      <w:r w:rsidR="00037304">
        <w:t xml:space="preserve"> lead </w:t>
      </w:r>
      <w:proofErr w:type="spellStart"/>
      <w:r w:rsidR="00037304">
        <w:t>to</w:t>
      </w:r>
      <w:proofErr w:type="spellEnd"/>
      <w:r w:rsidR="00037304">
        <w:t xml:space="preserve"> </w:t>
      </w:r>
      <w:proofErr w:type="spellStart"/>
      <w:r w:rsidR="00037304">
        <w:t>fast-growing</w:t>
      </w:r>
      <w:proofErr w:type="spellEnd"/>
      <w:r w:rsidR="00037304">
        <w:t xml:space="preserve"> </w:t>
      </w:r>
      <w:proofErr w:type="spellStart"/>
      <w:r w:rsidR="00037304">
        <w:t>knowledge</w:t>
      </w:r>
      <w:proofErr w:type="spellEnd"/>
      <w:r w:rsidR="00037304">
        <w:t xml:space="preserve"> </w:t>
      </w:r>
      <w:proofErr w:type="spellStart"/>
      <w:r w:rsidR="00037304">
        <w:t>absorption</w:t>
      </w:r>
      <w:proofErr w:type="spellEnd"/>
      <w:r w:rsidR="00037304">
        <w:t xml:space="preserve"> </w:t>
      </w:r>
      <w:proofErr w:type="spellStart"/>
      <w:r w:rsidR="00037304">
        <w:t>capacity</w:t>
      </w:r>
      <w:proofErr w:type="spellEnd"/>
      <w:r w:rsidR="00037304">
        <w:t xml:space="preserve">, </w:t>
      </w:r>
      <w:proofErr w:type="spellStart"/>
      <w:r w:rsidR="00037304">
        <w:t>which</w:t>
      </w:r>
      <w:proofErr w:type="spellEnd"/>
      <w:r w:rsidR="00037304">
        <w:t xml:space="preserve"> </w:t>
      </w:r>
      <w:proofErr w:type="spellStart"/>
      <w:r w:rsidR="00037304">
        <w:t>may</w:t>
      </w:r>
      <w:proofErr w:type="spellEnd"/>
      <w:r w:rsidR="00037304">
        <w:t xml:space="preserve"> </w:t>
      </w:r>
      <w:proofErr w:type="spellStart"/>
      <w:r w:rsidR="00037304">
        <w:t>not</w:t>
      </w:r>
      <w:proofErr w:type="spellEnd"/>
      <w:r w:rsidR="00037304">
        <w:t xml:space="preserve"> be </w:t>
      </w:r>
      <w:proofErr w:type="spellStart"/>
      <w:r w:rsidR="00037304">
        <w:t>met</w:t>
      </w:r>
      <w:proofErr w:type="spellEnd"/>
      <w:r w:rsidR="00037304">
        <w:t xml:space="preserve"> </w:t>
      </w:r>
      <w:proofErr w:type="spellStart"/>
      <w:r w:rsidR="00037304">
        <w:t>with</w:t>
      </w:r>
      <w:proofErr w:type="spellEnd"/>
      <w:r w:rsidR="00037304">
        <w:t xml:space="preserve"> </w:t>
      </w:r>
      <w:proofErr w:type="spellStart"/>
      <w:r w:rsidR="00037304">
        <w:t>appropriate</w:t>
      </w:r>
      <w:proofErr w:type="spellEnd"/>
      <w:r w:rsidR="00037304">
        <w:t xml:space="preserve"> </w:t>
      </w:r>
      <w:proofErr w:type="spellStart"/>
      <w:r w:rsidR="00037304">
        <w:t>infrastructural</w:t>
      </w:r>
      <w:proofErr w:type="spellEnd"/>
      <w:r w:rsidR="00037304">
        <w:t xml:space="preserve"> </w:t>
      </w:r>
      <w:proofErr w:type="spellStart"/>
      <w:r w:rsidR="00037304">
        <w:t>support</w:t>
      </w:r>
      <w:proofErr w:type="spellEnd"/>
      <w:r w:rsidR="00037304">
        <w:t xml:space="preserve">. </w:t>
      </w:r>
      <w:proofErr w:type="spellStart"/>
      <w:r w:rsidR="00037304">
        <w:t>This</w:t>
      </w:r>
      <w:proofErr w:type="spellEnd"/>
      <w:r w:rsidR="00037304">
        <w:t xml:space="preserve"> </w:t>
      </w:r>
      <w:proofErr w:type="spellStart"/>
      <w:r w:rsidR="00037304">
        <w:t>means</w:t>
      </w:r>
      <w:proofErr w:type="spellEnd"/>
      <w:r w:rsidR="00037304">
        <w:t xml:space="preserve"> </w:t>
      </w:r>
      <w:proofErr w:type="spellStart"/>
      <w:r w:rsidR="00037304">
        <w:t>that</w:t>
      </w:r>
      <w:proofErr w:type="spellEnd"/>
      <w:r w:rsidR="00037304">
        <w:t xml:space="preserve"> </w:t>
      </w:r>
      <w:proofErr w:type="spellStart"/>
      <w:r w:rsidR="00037304">
        <w:t>low-income</w:t>
      </w:r>
      <w:proofErr w:type="spellEnd"/>
      <w:r w:rsidR="00037304">
        <w:t xml:space="preserve"> </w:t>
      </w:r>
      <w:proofErr w:type="spellStart"/>
      <w:r w:rsidR="00037304">
        <w:t>countries</w:t>
      </w:r>
      <w:proofErr w:type="spellEnd"/>
      <w:r w:rsidR="00037304">
        <w:t xml:space="preserve"> </w:t>
      </w:r>
      <w:proofErr w:type="spellStart"/>
      <w:r w:rsidR="00037304">
        <w:t>generate</w:t>
      </w:r>
      <w:proofErr w:type="spellEnd"/>
      <w:r w:rsidR="00037304">
        <w:t xml:space="preserve"> less </w:t>
      </w:r>
      <w:proofErr w:type="spellStart"/>
      <w:r w:rsidR="00037304">
        <w:t>shadow</w:t>
      </w:r>
      <w:proofErr w:type="spellEnd"/>
      <w:r w:rsidR="00037304">
        <w:t xml:space="preserve"> </w:t>
      </w:r>
      <w:proofErr w:type="spellStart"/>
      <w:r w:rsidR="00037304">
        <w:t>library</w:t>
      </w:r>
      <w:proofErr w:type="spellEnd"/>
      <w:r w:rsidR="00037304">
        <w:t xml:space="preserve"> </w:t>
      </w:r>
      <w:proofErr w:type="spellStart"/>
      <w:r w:rsidR="00037304">
        <w:t>usage</w:t>
      </w:r>
      <w:proofErr w:type="spellEnd"/>
      <w:r w:rsidR="00037304">
        <w:t xml:space="preserve"> in </w:t>
      </w:r>
      <w:proofErr w:type="spellStart"/>
      <w:r w:rsidR="00037304">
        <w:t>general</w:t>
      </w:r>
      <w:proofErr w:type="spellEnd"/>
      <w:r w:rsidR="00037304">
        <w:t xml:space="preserve">, </w:t>
      </w:r>
      <w:proofErr w:type="spellStart"/>
      <w:r w:rsidR="00037304">
        <w:t>but</w:t>
      </w:r>
      <w:proofErr w:type="spellEnd"/>
      <w:r w:rsidR="00037304">
        <w:t xml:space="preserve"> </w:t>
      </w:r>
      <w:proofErr w:type="spellStart"/>
      <w:r w:rsidR="00037304">
        <w:t>within</w:t>
      </w:r>
      <w:proofErr w:type="spellEnd"/>
      <w:r w:rsidR="00037304">
        <w:t xml:space="preserve"> </w:t>
      </w:r>
      <w:proofErr w:type="spellStart"/>
      <w:r w:rsidR="00037304">
        <w:t>that</w:t>
      </w:r>
      <w:proofErr w:type="spellEnd"/>
      <w:r w:rsidR="00037304">
        <w:t xml:space="preserve"> </w:t>
      </w:r>
      <w:proofErr w:type="spellStart"/>
      <w:r w:rsidR="00037304">
        <w:t>group</w:t>
      </w:r>
      <w:proofErr w:type="spellEnd"/>
      <w:r w:rsidR="00037304">
        <w:t xml:space="preserve">, </w:t>
      </w:r>
      <w:proofErr w:type="spellStart"/>
      <w:r w:rsidR="00037304">
        <w:t>larger</w:t>
      </w:r>
      <w:proofErr w:type="spellEnd"/>
      <w:r w:rsidR="00037304">
        <w:t xml:space="preserve"> </w:t>
      </w:r>
      <w:proofErr w:type="spellStart"/>
      <w:r w:rsidR="00037304">
        <w:t>investment</w:t>
      </w:r>
      <w:proofErr w:type="spellEnd"/>
      <w:r w:rsidR="00037304">
        <w:t xml:space="preserve"> </w:t>
      </w:r>
      <w:proofErr w:type="spellStart"/>
      <w:r w:rsidR="00037304">
        <w:t>into</w:t>
      </w:r>
      <w:proofErr w:type="spellEnd"/>
      <w:r w:rsidR="00037304">
        <w:t xml:space="preserve"> </w:t>
      </w:r>
      <w:proofErr w:type="spellStart"/>
      <w:r w:rsidR="00037304">
        <w:t>knowledge-intensive</w:t>
      </w:r>
      <w:proofErr w:type="spellEnd"/>
      <w:r w:rsidR="00037304">
        <w:t xml:space="preserve"> </w:t>
      </w:r>
      <w:proofErr w:type="spellStart"/>
      <w:r w:rsidR="00037304">
        <w:t>activities</w:t>
      </w:r>
      <w:proofErr w:type="spellEnd"/>
      <w:r w:rsidR="00037304">
        <w:t xml:space="preserve"> has </w:t>
      </w:r>
      <w:proofErr w:type="spellStart"/>
      <w:r w:rsidR="00037304">
        <w:t>greater</w:t>
      </w:r>
      <w:proofErr w:type="spellEnd"/>
      <w:r w:rsidR="00037304">
        <w:t xml:space="preserve"> </w:t>
      </w:r>
      <w:proofErr w:type="spellStart"/>
      <w:r w:rsidR="00037304">
        <w:t>positive</w:t>
      </w:r>
      <w:proofErr w:type="spellEnd"/>
      <w:r w:rsidR="00037304">
        <w:t xml:space="preserve"> </w:t>
      </w:r>
      <w:proofErr w:type="spellStart"/>
      <w:r w:rsidR="00037304">
        <w:t>impact</w:t>
      </w:r>
      <w:proofErr w:type="spellEnd"/>
      <w:r w:rsidR="00037304">
        <w:t xml:space="preserve"> </w:t>
      </w:r>
      <w:proofErr w:type="spellStart"/>
      <w:r w:rsidR="00037304">
        <w:t>on</w:t>
      </w:r>
      <w:proofErr w:type="spellEnd"/>
      <w:r w:rsidR="00037304">
        <w:t xml:space="preserve"> </w:t>
      </w:r>
      <w:proofErr w:type="spellStart"/>
      <w:r w:rsidR="00037304">
        <w:t>usage</w:t>
      </w:r>
      <w:proofErr w:type="spellEnd"/>
      <w:r w:rsidR="00037304">
        <w:t>.</w:t>
      </w:r>
      <w:r>
        <w:t>”</w:t>
      </w:r>
    </w:p>
    <w:p w14:paraId="01F98023" w14:textId="77777777" w:rsidR="00AA3FA8" w:rsidRPr="00C425C3" w:rsidRDefault="00AA3FA8" w:rsidP="00AA3FA8">
      <w:pPr>
        <w:jc w:val="both"/>
        <w:rPr>
          <w:rFonts w:ascii="Times New Roman" w:hAnsi="Times New Roman" w:cs="Times New Roman"/>
          <w:sz w:val="24"/>
          <w:szCs w:val="24"/>
        </w:rPr>
      </w:pPr>
      <w:r w:rsidRPr="00C425C3">
        <w:rPr>
          <w:rFonts w:ascii="Times New Roman" w:hAnsi="Times New Roman" w:cs="Times New Roman"/>
          <w:sz w:val="24"/>
          <w:szCs w:val="24"/>
        </w:rPr>
        <w:t>Egy kicsi</w:t>
      </w:r>
      <w:r w:rsidR="00C425C3" w:rsidRPr="00C425C3">
        <w:rPr>
          <w:rFonts w:ascii="Times New Roman" w:hAnsi="Times New Roman" w:cs="Times New Roman"/>
          <w:sz w:val="24"/>
          <w:szCs w:val="24"/>
        </w:rPr>
        <w:t xml:space="preserve">t </w:t>
      </w:r>
      <w:r w:rsidRPr="00C425C3">
        <w:rPr>
          <w:rFonts w:ascii="Times New Roman" w:hAnsi="Times New Roman" w:cs="Times New Roman"/>
          <w:sz w:val="24"/>
          <w:szCs w:val="24"/>
        </w:rPr>
        <w:t xml:space="preserve">relevánsnak érzem itt a 2007-es dél-dunántúli R&amp; D vizsgálatunkat. A 20 régiós </w:t>
      </w:r>
      <w:proofErr w:type="spellStart"/>
      <w:r w:rsidR="00C425C3">
        <w:rPr>
          <w:rFonts w:ascii="Times New Roman" w:hAnsi="Times New Roman" w:cs="Times New Roman"/>
          <w:sz w:val="24"/>
          <w:szCs w:val="24"/>
        </w:rPr>
        <w:t>EUs</w:t>
      </w:r>
      <w:proofErr w:type="spellEnd"/>
      <w:r w:rsidR="00C425C3">
        <w:rPr>
          <w:rFonts w:ascii="Times New Roman" w:hAnsi="Times New Roman" w:cs="Times New Roman"/>
          <w:sz w:val="24"/>
          <w:szCs w:val="24"/>
        </w:rPr>
        <w:t xml:space="preserve"> </w:t>
      </w:r>
      <w:r w:rsidRPr="00C425C3">
        <w:rPr>
          <w:rFonts w:ascii="Times New Roman" w:hAnsi="Times New Roman" w:cs="Times New Roman"/>
          <w:sz w:val="24"/>
          <w:szCs w:val="24"/>
        </w:rPr>
        <w:t xml:space="preserve">vizsgálatban a </w:t>
      </w:r>
      <w:r w:rsidR="00C425C3">
        <w:rPr>
          <w:rFonts w:ascii="Times New Roman" w:hAnsi="Times New Roman" w:cs="Times New Roman"/>
          <w:sz w:val="24"/>
          <w:szCs w:val="24"/>
        </w:rPr>
        <w:t xml:space="preserve">fő </w:t>
      </w:r>
      <w:r w:rsidRPr="00C425C3">
        <w:rPr>
          <w:rFonts w:ascii="Times New Roman" w:hAnsi="Times New Roman" w:cs="Times New Roman"/>
          <w:sz w:val="24"/>
          <w:szCs w:val="24"/>
        </w:rPr>
        <w:t xml:space="preserve">kérdés az volt, hogy a K+F </w:t>
      </w:r>
      <w:proofErr w:type="gramStart"/>
      <w:r w:rsidRPr="00C425C3">
        <w:rPr>
          <w:rFonts w:ascii="Times New Roman" w:hAnsi="Times New Roman" w:cs="Times New Roman"/>
          <w:sz w:val="24"/>
          <w:szCs w:val="24"/>
        </w:rPr>
        <w:t>beruházások  növelése</w:t>
      </w:r>
      <w:proofErr w:type="gramEnd"/>
      <w:r w:rsidRPr="00C425C3">
        <w:rPr>
          <w:rFonts w:ascii="Times New Roman" w:hAnsi="Times New Roman" w:cs="Times New Roman"/>
          <w:sz w:val="24"/>
          <w:szCs w:val="24"/>
        </w:rPr>
        <w:t xml:space="preserve"> vezet e nagyobb innovációhoz és gazdasági növekedéshez. A fő megállapítás az volt, hogy </w:t>
      </w:r>
      <w:r w:rsidR="008072A8" w:rsidRPr="00C425C3">
        <w:rPr>
          <w:rFonts w:ascii="Times New Roman" w:hAnsi="Times New Roman" w:cs="Times New Roman"/>
          <w:sz w:val="24"/>
          <w:szCs w:val="24"/>
        </w:rPr>
        <w:t xml:space="preserve">a perifériákon </w:t>
      </w:r>
      <w:r w:rsidRPr="00C425C3">
        <w:rPr>
          <w:rFonts w:ascii="Times New Roman" w:hAnsi="Times New Roman" w:cs="Times New Roman"/>
          <w:sz w:val="24"/>
          <w:szCs w:val="24"/>
        </w:rPr>
        <w:t>hiába nő a</w:t>
      </w:r>
      <w:r w:rsidR="008072A8" w:rsidRPr="00C425C3">
        <w:rPr>
          <w:rFonts w:ascii="Times New Roman" w:hAnsi="Times New Roman" w:cs="Times New Roman"/>
          <w:sz w:val="24"/>
          <w:szCs w:val="24"/>
        </w:rPr>
        <w:t xml:space="preserve"> K+</w:t>
      </w:r>
      <w:proofErr w:type="gramStart"/>
      <w:r w:rsidR="008072A8" w:rsidRPr="00C425C3">
        <w:rPr>
          <w:rFonts w:ascii="Times New Roman" w:hAnsi="Times New Roman" w:cs="Times New Roman"/>
          <w:sz w:val="24"/>
          <w:szCs w:val="24"/>
        </w:rPr>
        <w:t xml:space="preserve">F </w:t>
      </w:r>
      <w:r w:rsidRPr="00C425C3">
        <w:rPr>
          <w:rFonts w:ascii="Times New Roman" w:hAnsi="Times New Roman" w:cs="Times New Roman"/>
          <w:sz w:val="24"/>
          <w:szCs w:val="24"/>
        </w:rPr>
        <w:t xml:space="preserve"> ráfordítás</w:t>
      </w:r>
      <w:proofErr w:type="gramEnd"/>
      <w:r w:rsidRPr="00C425C3">
        <w:rPr>
          <w:rFonts w:ascii="Times New Roman" w:hAnsi="Times New Roman" w:cs="Times New Roman"/>
          <w:sz w:val="24"/>
          <w:szCs w:val="24"/>
        </w:rPr>
        <w:t>, ha a bef</w:t>
      </w:r>
      <w:r w:rsidR="008072A8" w:rsidRPr="00C425C3">
        <w:rPr>
          <w:rFonts w:ascii="Times New Roman" w:hAnsi="Times New Roman" w:cs="Times New Roman"/>
          <w:sz w:val="24"/>
          <w:szCs w:val="24"/>
        </w:rPr>
        <w:t>ek</w:t>
      </w:r>
      <w:r w:rsidRPr="00C425C3">
        <w:rPr>
          <w:rFonts w:ascii="Times New Roman" w:hAnsi="Times New Roman" w:cs="Times New Roman"/>
          <w:sz w:val="24"/>
          <w:szCs w:val="24"/>
        </w:rPr>
        <w:t xml:space="preserve">tetés a perifériák „ritka </w:t>
      </w:r>
      <w:proofErr w:type="spellStart"/>
      <w:r w:rsidRPr="00C425C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C425C3">
        <w:rPr>
          <w:rFonts w:ascii="Times New Roman" w:hAnsi="Times New Roman" w:cs="Times New Roman"/>
          <w:sz w:val="24"/>
          <w:szCs w:val="24"/>
        </w:rPr>
        <w:t xml:space="preserve"> sűrűségű” közegébe érkezik, ahol nincsennek </w:t>
      </w:r>
      <w:r w:rsidR="00037304" w:rsidRPr="00C425C3">
        <w:rPr>
          <w:rFonts w:ascii="Times New Roman" w:hAnsi="Times New Roman" w:cs="Times New Roman"/>
          <w:sz w:val="24"/>
          <w:szCs w:val="24"/>
        </w:rPr>
        <w:t xml:space="preserve"> nagyvállalatok (</w:t>
      </w:r>
      <w:proofErr w:type="spellStart"/>
      <w:r w:rsidR="00037304" w:rsidRPr="00C425C3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037304" w:rsidRPr="00C425C3">
        <w:rPr>
          <w:rFonts w:ascii="Times New Roman" w:hAnsi="Times New Roman" w:cs="Times New Roman"/>
          <w:sz w:val="24"/>
          <w:szCs w:val="24"/>
        </w:rPr>
        <w:t xml:space="preserve"> oldalról)</w:t>
      </w:r>
      <w:r w:rsidR="008072A8" w:rsidRPr="00C425C3">
        <w:rPr>
          <w:rFonts w:ascii="Times New Roman" w:hAnsi="Times New Roman" w:cs="Times New Roman"/>
          <w:sz w:val="24"/>
          <w:szCs w:val="24"/>
        </w:rPr>
        <w:t xml:space="preserve"> és </w:t>
      </w:r>
      <w:r w:rsidR="00397E50">
        <w:rPr>
          <w:rFonts w:ascii="Times New Roman" w:hAnsi="Times New Roman" w:cs="Times New Roman"/>
          <w:sz w:val="24"/>
          <w:szCs w:val="24"/>
        </w:rPr>
        <w:t xml:space="preserve">így </w:t>
      </w:r>
      <w:r w:rsidR="008072A8" w:rsidRPr="00C425C3">
        <w:rPr>
          <w:rFonts w:ascii="Times New Roman" w:hAnsi="Times New Roman" w:cs="Times New Roman"/>
          <w:sz w:val="24"/>
          <w:szCs w:val="24"/>
        </w:rPr>
        <w:t xml:space="preserve">a tudástermelés bővülése gazdasági oldalról fenntarthatatlan (és kormányzati oldalról </w:t>
      </w:r>
      <w:r w:rsidR="00B8405A">
        <w:rPr>
          <w:rFonts w:ascii="Times New Roman" w:hAnsi="Times New Roman" w:cs="Times New Roman"/>
          <w:sz w:val="24"/>
          <w:szCs w:val="24"/>
        </w:rPr>
        <w:t>sincsennek hatalmas források</w:t>
      </w:r>
      <w:r w:rsidR="008072A8" w:rsidRPr="00C425C3">
        <w:rPr>
          <w:rFonts w:ascii="Times New Roman" w:hAnsi="Times New Roman" w:cs="Times New Roman"/>
          <w:sz w:val="24"/>
          <w:szCs w:val="24"/>
        </w:rPr>
        <w:t>)</w:t>
      </w:r>
      <w:r w:rsidR="00037304" w:rsidRPr="00C425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5782F" w14:textId="77777777" w:rsidR="00037304" w:rsidRPr="00C425C3" w:rsidRDefault="00B8405A" w:rsidP="00AA3F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szegényebb országok esetében </w:t>
      </w:r>
      <w:r w:rsidR="00037304" w:rsidRPr="00C425C3">
        <w:rPr>
          <w:rFonts w:ascii="Times New Roman" w:hAnsi="Times New Roman" w:cs="Times New Roman"/>
          <w:sz w:val="24"/>
          <w:szCs w:val="24"/>
        </w:rPr>
        <w:t xml:space="preserve">a nemcsak a </w:t>
      </w:r>
      <w:r>
        <w:rPr>
          <w:rFonts w:ascii="Times New Roman" w:hAnsi="Times New Roman" w:cs="Times New Roman"/>
          <w:sz w:val="24"/>
          <w:szCs w:val="24"/>
        </w:rPr>
        <w:t>hiányzó in</w:t>
      </w:r>
      <w:r w:rsidR="00397E5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</w:t>
      </w:r>
      <w:r w:rsidR="00397E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trukturális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támogatás </w:t>
      </w:r>
      <w:r w:rsidR="00037304" w:rsidRPr="00C425C3">
        <w:rPr>
          <w:rFonts w:ascii="Times New Roman" w:hAnsi="Times New Roman" w:cs="Times New Roman"/>
          <w:sz w:val="24"/>
          <w:szCs w:val="24"/>
        </w:rPr>
        <w:t xml:space="preserve"> lehet</w:t>
      </w:r>
      <w:proofErr w:type="gramEnd"/>
      <w:r w:rsidR="00037304" w:rsidRPr="00C425C3">
        <w:rPr>
          <w:rFonts w:ascii="Times New Roman" w:hAnsi="Times New Roman" w:cs="Times New Roman"/>
          <w:sz w:val="24"/>
          <w:szCs w:val="24"/>
        </w:rPr>
        <w:t xml:space="preserve"> a m</w:t>
      </w:r>
      <w:r w:rsidR="008072A8" w:rsidRPr="00C425C3">
        <w:rPr>
          <w:rFonts w:ascii="Times New Roman" w:hAnsi="Times New Roman" w:cs="Times New Roman"/>
          <w:sz w:val="24"/>
          <w:szCs w:val="24"/>
        </w:rPr>
        <w:t>a</w:t>
      </w:r>
      <w:r w:rsidR="00037304" w:rsidRPr="00C425C3">
        <w:rPr>
          <w:rFonts w:ascii="Times New Roman" w:hAnsi="Times New Roman" w:cs="Times New Roman"/>
          <w:sz w:val="24"/>
          <w:szCs w:val="24"/>
        </w:rPr>
        <w:t>g</w:t>
      </w:r>
      <w:r w:rsidR="008072A8" w:rsidRPr="00C425C3">
        <w:rPr>
          <w:rFonts w:ascii="Times New Roman" w:hAnsi="Times New Roman" w:cs="Times New Roman"/>
          <w:sz w:val="24"/>
          <w:szCs w:val="24"/>
        </w:rPr>
        <w:t>y</w:t>
      </w:r>
      <w:r w:rsidR="00037304" w:rsidRPr="00C425C3">
        <w:rPr>
          <w:rFonts w:ascii="Times New Roman" w:hAnsi="Times New Roman" w:cs="Times New Roman"/>
          <w:sz w:val="24"/>
          <w:szCs w:val="24"/>
        </w:rPr>
        <w:t>arázó</w:t>
      </w:r>
      <w:r w:rsidR="008072A8" w:rsidRPr="00C425C3">
        <w:rPr>
          <w:rFonts w:ascii="Times New Roman" w:hAnsi="Times New Roman" w:cs="Times New Roman"/>
          <w:sz w:val="24"/>
          <w:szCs w:val="24"/>
        </w:rPr>
        <w:t xml:space="preserve"> (az internetellátottság sem)</w:t>
      </w:r>
      <w:r w:rsidR="00037304" w:rsidRPr="00C425C3">
        <w:rPr>
          <w:rFonts w:ascii="Times New Roman" w:hAnsi="Times New Roman" w:cs="Times New Roman"/>
          <w:sz w:val="24"/>
          <w:szCs w:val="24"/>
        </w:rPr>
        <w:t>, hanem  tudástermelői külső kapcsolatok hiánya</w:t>
      </w:r>
      <w:r>
        <w:rPr>
          <w:rFonts w:ascii="Times New Roman" w:hAnsi="Times New Roman" w:cs="Times New Roman"/>
          <w:sz w:val="24"/>
          <w:szCs w:val="24"/>
        </w:rPr>
        <w:t xml:space="preserve"> (nemzetközi tudáshálózatokba való integráltság) </w:t>
      </w:r>
      <w:r w:rsidR="00037304" w:rsidRPr="00C425C3">
        <w:rPr>
          <w:rFonts w:ascii="Times New Roman" w:hAnsi="Times New Roman" w:cs="Times New Roman"/>
          <w:sz w:val="24"/>
          <w:szCs w:val="24"/>
        </w:rPr>
        <w:t xml:space="preserve"> és   a gyenge gazdasági háttér is kontraproduktív lehet, ami nem serkenti első körben a </w:t>
      </w:r>
      <w:proofErr w:type="spellStart"/>
      <w:r w:rsidR="00037304" w:rsidRPr="00C425C3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="00037304" w:rsidRPr="00C42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304" w:rsidRPr="00C425C3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037304" w:rsidRPr="00C425C3">
        <w:rPr>
          <w:rFonts w:ascii="Times New Roman" w:hAnsi="Times New Roman" w:cs="Times New Roman"/>
          <w:sz w:val="24"/>
          <w:szCs w:val="24"/>
        </w:rPr>
        <w:t xml:space="preserve"> aktivitást</w:t>
      </w:r>
      <w:r w:rsidR="008072A8" w:rsidRPr="00C425C3">
        <w:rPr>
          <w:rFonts w:ascii="Times New Roman" w:hAnsi="Times New Roman" w:cs="Times New Roman"/>
          <w:sz w:val="24"/>
          <w:szCs w:val="24"/>
        </w:rPr>
        <w:t xml:space="preserve"> sem</w:t>
      </w:r>
      <w:r w:rsidR="00037304" w:rsidRPr="00C425C3">
        <w:rPr>
          <w:rFonts w:ascii="Times New Roman" w:hAnsi="Times New Roman" w:cs="Times New Roman"/>
          <w:sz w:val="24"/>
          <w:szCs w:val="24"/>
        </w:rPr>
        <w:t>.</w:t>
      </w:r>
      <w:r w:rsidR="008072A8" w:rsidRPr="00C425C3">
        <w:rPr>
          <w:rFonts w:ascii="Times New Roman" w:hAnsi="Times New Roman" w:cs="Times New Roman"/>
          <w:sz w:val="24"/>
          <w:szCs w:val="24"/>
        </w:rPr>
        <w:t xml:space="preserve"> </w:t>
      </w:r>
      <w:r w:rsidR="00CE1402" w:rsidRPr="00C425C3">
        <w:rPr>
          <w:rFonts w:ascii="Times New Roman" w:hAnsi="Times New Roman" w:cs="Times New Roman"/>
          <w:sz w:val="24"/>
          <w:szCs w:val="24"/>
        </w:rPr>
        <w:t xml:space="preserve">Az alacsonyabb GDP/per capita, </w:t>
      </w:r>
      <w:proofErr w:type="spellStart"/>
      <w:r w:rsidR="00CE1402" w:rsidRPr="00C425C3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CE1402" w:rsidRPr="00C425C3">
        <w:rPr>
          <w:rFonts w:ascii="Times New Roman" w:hAnsi="Times New Roman" w:cs="Times New Roman"/>
          <w:sz w:val="24"/>
          <w:szCs w:val="24"/>
        </w:rPr>
        <w:t xml:space="preserve"> kisebb </w:t>
      </w:r>
      <w:proofErr w:type="spellStart"/>
      <w:r w:rsidR="00CE1402" w:rsidRPr="00C425C3">
        <w:rPr>
          <w:rFonts w:ascii="Times New Roman" w:hAnsi="Times New Roman" w:cs="Times New Roman"/>
          <w:sz w:val="24"/>
          <w:szCs w:val="24"/>
        </w:rPr>
        <w:t>tudasabszorpciós</w:t>
      </w:r>
      <w:proofErr w:type="spellEnd"/>
      <w:r w:rsidR="00CE1402" w:rsidRPr="00C425C3">
        <w:rPr>
          <w:rFonts w:ascii="Times New Roman" w:hAnsi="Times New Roman" w:cs="Times New Roman"/>
          <w:sz w:val="24"/>
          <w:szCs w:val="24"/>
        </w:rPr>
        <w:t xml:space="preserve"> kapacitást generál. </w:t>
      </w:r>
    </w:p>
    <w:p w14:paraId="5BD08921" w14:textId="77777777" w:rsidR="00CE1402" w:rsidRDefault="00CE1402" w:rsidP="00AA3FA8">
      <w:pPr>
        <w:jc w:val="both"/>
      </w:pPr>
    </w:p>
    <w:p w14:paraId="6A29909A" w14:textId="77777777" w:rsidR="00CE1402" w:rsidRDefault="00CE1402" w:rsidP="00397E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erősebb tudástermeléshez és hatékonyabb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trudásabszorpcióhoz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kell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</w:t>
      </w:r>
      <w:proofErr w:type="gramEnd"/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kiforrott intézményrendszer,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ahol a tudás </w:t>
      </w:r>
      <w:proofErr w:type="spellStart"/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>akkumulacionak</w:t>
      </w:r>
      <w:proofErr w:type="spellEnd"/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minimum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pár évtizedes hagyománya, stabil </w:t>
      </w:r>
      <w:proofErr w:type="spellStart"/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>intezmenyrendszere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hosszú távon kiszámítható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finanszírozási háttere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kiforrott protokollja van. Tehát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nagyon igaz,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nemcsak</w:t>
      </w:r>
      <w:proofErr w:type="gramEnd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>open</w:t>
      </w:r>
      <w:proofErr w:type="spellEnd"/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>shadow</w:t>
      </w:r>
      <w:proofErr w:type="spellEnd"/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az </w:t>
      </w:r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internethozzáférés, és nem is csak 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pénz kérdés a tudomány, de </w:t>
      </w:r>
      <w:r w:rsidR="00397E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utóbbi az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egyik esszenciális előfeltétel (olyan mint az FDI befektetéseknél a közlekedési infrastruktúra: ha nincs akkor biztosan nem jön a befektető, de ha van attól még nem biztos hogy tényleg lesz is befektetés)</w:t>
      </w:r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Tehát csak a ráfordítások növelése és az </w:t>
      </w:r>
      <w:proofErr w:type="spellStart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>open</w:t>
      </w:r>
      <w:proofErr w:type="spellEnd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>shadow</w:t>
      </w:r>
      <w:proofErr w:type="spellEnd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még </w:t>
      </w:r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önmagában nem vezet </w:t>
      </w:r>
      <w:proofErr w:type="spellStart"/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>tud</w:t>
      </w:r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>sakkumulaci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ó</w:t>
      </w:r>
      <w:r w:rsidR="00C425C3">
        <w:rPr>
          <w:rFonts w:ascii="Times New Roman" w:eastAsia="Times New Roman" w:hAnsi="Times New Roman" w:cs="Times New Roman"/>
          <w:sz w:val="24"/>
          <w:szCs w:val="24"/>
          <w:lang w:eastAsia="hu-HU"/>
        </w:rPr>
        <w:t>hoz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>De az eseti többletráfordításo</w:t>
      </w:r>
      <w:r w:rsidR="00397E50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  <w:r w:rsidR="00397E50">
        <w:rPr>
          <w:rFonts w:ascii="Times New Roman" w:eastAsia="Times New Roman" w:hAnsi="Times New Roman" w:cs="Times New Roman"/>
          <w:sz w:val="24"/>
          <w:szCs w:val="24"/>
          <w:lang w:eastAsia="hu-HU"/>
        </w:rPr>
        <w:t>al</w:t>
      </w:r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finansz</w:t>
      </w:r>
      <w:r w:rsidR="00B8405A">
        <w:rPr>
          <w:rFonts w:ascii="Times New Roman" w:eastAsia="Times New Roman" w:hAnsi="Times New Roman" w:cs="Times New Roman"/>
          <w:sz w:val="24"/>
          <w:szCs w:val="24"/>
          <w:lang w:eastAsia="hu-HU"/>
        </w:rPr>
        <w:t>í</w:t>
      </w:r>
      <w:r w:rsidR="00987A6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rozott eseti projektek megnövelhetik </w:t>
      </w:r>
      <w:r w:rsidR="00B840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B8405A">
        <w:rPr>
          <w:rFonts w:ascii="Times New Roman" w:eastAsia="Times New Roman" w:hAnsi="Times New Roman" w:cs="Times New Roman"/>
          <w:sz w:val="24"/>
          <w:szCs w:val="24"/>
          <w:lang w:eastAsia="hu-HU"/>
        </w:rPr>
        <w:t>Shadow</w:t>
      </w:r>
      <w:proofErr w:type="spellEnd"/>
      <w:r w:rsidR="00B840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letöltési intenzitást. De mivel ni</w:t>
      </w:r>
      <w:r w:rsidR="00397E50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="00B840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 kiszámítható intézményi környezet és ezek a régiók érzékenyebben reagálnak a külső gazdasági sokkokra is, ezért a tudásakkumuláció folyamata </w:t>
      </w:r>
      <w:proofErr w:type="gramStart"/>
      <w:r w:rsidR="00B8405A">
        <w:rPr>
          <w:rFonts w:ascii="Times New Roman" w:eastAsia="Times New Roman" w:hAnsi="Times New Roman" w:cs="Times New Roman"/>
          <w:sz w:val="24"/>
          <w:szCs w:val="24"/>
          <w:lang w:eastAsia="hu-HU"/>
        </w:rPr>
        <w:t>is  gyakran</w:t>
      </w:r>
      <w:proofErr w:type="gramEnd"/>
      <w:r w:rsidR="00B840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megszakad, tehát nincs egy fenntartható növekedési pálya. </w:t>
      </w:r>
    </w:p>
    <w:p w14:paraId="579D4713" w14:textId="77777777" w:rsidR="00C425C3" w:rsidRDefault="00C425C3" w:rsidP="00CE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7BC89A8" w14:textId="77777777" w:rsidR="00CE1402" w:rsidRDefault="00C425C3" w:rsidP="00C425C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 a szétaprózott (több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állás)  és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fenntartható/kiszámítható kutatói életpályamodell hiánya több CEE</w:t>
      </w:r>
      <w:r w:rsidR="00397E50">
        <w:rPr>
          <w:rFonts w:ascii="Times New Roman" w:eastAsia="Times New Roman" w:hAnsi="Times New Roman" w:cs="Times New Roman"/>
          <w:sz w:val="24"/>
          <w:szCs w:val="24"/>
          <w:lang w:eastAsia="hu-HU"/>
        </w:rPr>
        <w:t>/SEE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országban korlátozza – ahogy írjátok is- a </w:t>
      </w:r>
      <w:proofErr w:type="spellStart"/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>tud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CE1402">
        <w:rPr>
          <w:rFonts w:ascii="Times New Roman" w:eastAsia="Times New Roman" w:hAnsi="Times New Roman" w:cs="Times New Roman"/>
          <w:sz w:val="24"/>
          <w:szCs w:val="24"/>
          <w:lang w:eastAsia="hu-HU"/>
        </w:rPr>
        <w:t>sakkumulaci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ót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6F9BF22" w14:textId="77777777" w:rsidR="008072A8" w:rsidRDefault="008072A8" w:rsidP="00AA3FA8">
      <w:pPr>
        <w:jc w:val="both"/>
      </w:pPr>
    </w:p>
    <w:p w14:paraId="562651AB" w14:textId="77777777" w:rsidR="008072A8" w:rsidRDefault="008072A8" w:rsidP="00AA3FA8">
      <w:pPr>
        <w:jc w:val="both"/>
      </w:pPr>
    </w:p>
    <w:p w14:paraId="1717F08E" w14:textId="77777777" w:rsidR="008072A8" w:rsidRPr="00397E50" w:rsidRDefault="008072A8" w:rsidP="00C425C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97E50">
        <w:rPr>
          <w:sz w:val="24"/>
        </w:rPr>
        <w:t>A</w:t>
      </w:r>
      <w:r w:rsidR="00F85310" w:rsidRPr="00397E50">
        <w:rPr>
          <w:sz w:val="24"/>
        </w:rPr>
        <w:t xml:space="preserve">z európai modellnél </w:t>
      </w:r>
      <w:proofErr w:type="gramStart"/>
      <w:r w:rsidR="00F85310" w:rsidRPr="00397E50">
        <w:rPr>
          <w:sz w:val="24"/>
        </w:rPr>
        <w:t xml:space="preserve">a </w:t>
      </w:r>
      <w:r w:rsidRPr="00397E50">
        <w:rPr>
          <w:sz w:val="24"/>
        </w:rPr>
        <w:t xml:space="preserve"> Tudástermelés</w:t>
      </w:r>
      <w:proofErr w:type="gramEnd"/>
      <w:r w:rsidRPr="00397E50">
        <w:rPr>
          <w:sz w:val="24"/>
        </w:rPr>
        <w:t xml:space="preserve"> és abszor</w:t>
      </w:r>
      <w:r w:rsidR="00F85310" w:rsidRPr="00397E50">
        <w:rPr>
          <w:sz w:val="24"/>
        </w:rPr>
        <w:t>p</w:t>
      </w:r>
      <w:r w:rsidRPr="00397E50">
        <w:rPr>
          <w:sz w:val="24"/>
        </w:rPr>
        <w:t xml:space="preserve">ciós kapacitásokhoz a R&amp; D </w:t>
      </w:r>
      <w:proofErr w:type="spellStart"/>
      <w:r w:rsidRPr="00397E50">
        <w:rPr>
          <w:sz w:val="24"/>
        </w:rPr>
        <w:t>personnel</w:t>
      </w:r>
      <w:proofErr w:type="spellEnd"/>
      <w:r w:rsidRPr="00397E50">
        <w:rPr>
          <w:sz w:val="24"/>
        </w:rPr>
        <w:t xml:space="preserve"> adatok mellett lehetne nézni a </w:t>
      </w:r>
      <w:r w:rsidRPr="00397E50">
        <w:rPr>
          <w:b/>
          <w:i/>
          <w:sz w:val="24"/>
        </w:rPr>
        <w:t xml:space="preserve">PHD </w:t>
      </w:r>
      <w:proofErr w:type="spellStart"/>
      <w:r w:rsidRPr="00397E50">
        <w:rPr>
          <w:b/>
          <w:i/>
          <w:sz w:val="24"/>
        </w:rPr>
        <w:t>val</w:t>
      </w:r>
      <w:proofErr w:type="spellEnd"/>
      <w:r w:rsidRPr="00397E50">
        <w:rPr>
          <w:b/>
          <w:i/>
          <w:sz w:val="24"/>
        </w:rPr>
        <w:t xml:space="preserve"> rendelkezők szám</w:t>
      </w:r>
      <w:r w:rsidR="00F85310" w:rsidRPr="00397E50">
        <w:rPr>
          <w:b/>
          <w:i/>
          <w:sz w:val="24"/>
        </w:rPr>
        <w:t>át</w:t>
      </w:r>
      <w:r w:rsidRPr="00397E50">
        <w:rPr>
          <w:sz w:val="24"/>
        </w:rPr>
        <w:t xml:space="preserve">, illetve a </w:t>
      </w:r>
      <w:r w:rsidRPr="00397E50">
        <w:rPr>
          <w:b/>
          <w:i/>
          <w:sz w:val="24"/>
        </w:rPr>
        <w:t>patent</w:t>
      </w:r>
      <w:r w:rsidRPr="00397E50">
        <w:rPr>
          <w:sz w:val="24"/>
        </w:rPr>
        <w:t xml:space="preserve"> adatokat</w:t>
      </w:r>
      <w:r w:rsidR="00C425C3" w:rsidRPr="00397E50">
        <w:rPr>
          <w:sz w:val="24"/>
        </w:rPr>
        <w:t xml:space="preserve"> lehetne használni</w:t>
      </w:r>
      <w:r w:rsidRPr="00397E50">
        <w:rPr>
          <w:sz w:val="24"/>
        </w:rPr>
        <w:t>.</w:t>
      </w:r>
    </w:p>
    <w:p w14:paraId="0C742C7D" w14:textId="77777777" w:rsidR="00987A63" w:rsidRDefault="00987A63" w:rsidP="00987A63">
      <w:pPr>
        <w:jc w:val="both"/>
      </w:pPr>
      <w:r w:rsidRPr="00987A63">
        <w:rPr>
          <w:b/>
        </w:rPr>
        <w:t xml:space="preserve">Az internet </w:t>
      </w:r>
      <w:proofErr w:type="spellStart"/>
      <w:r w:rsidRPr="00987A63">
        <w:rPr>
          <w:b/>
        </w:rPr>
        <w:t>proficiency</w:t>
      </w:r>
      <w:proofErr w:type="spellEnd"/>
      <w:r>
        <w:t xml:space="preserve">: alternatív változó lehet a </w:t>
      </w:r>
      <w:r w:rsidRPr="00987A63">
        <w:rPr>
          <w:b/>
          <w:i/>
        </w:rPr>
        <w:t>mobil banki applikációt</w:t>
      </w:r>
      <w:r>
        <w:t xml:space="preserve"> </w:t>
      </w:r>
      <w:proofErr w:type="gramStart"/>
      <w:r>
        <w:t>használók  aránya</w:t>
      </w:r>
      <w:proofErr w:type="gramEnd"/>
      <w:r>
        <w:t xml:space="preserve">/száma (a </w:t>
      </w:r>
      <w:proofErr w:type="spellStart"/>
      <w:r>
        <w:t>Fintech</w:t>
      </w:r>
      <w:proofErr w:type="spellEnd"/>
      <w:r>
        <w:t xml:space="preserve"> </w:t>
      </w:r>
      <w:proofErr w:type="spellStart"/>
      <w:r>
        <w:t>terndek</w:t>
      </w:r>
      <w:proofErr w:type="spellEnd"/>
      <w:r>
        <w:t xml:space="preserve"> miatt a hagyományos webes internetbanki használattól erre mozdult el a bankpiac). </w:t>
      </w:r>
    </w:p>
    <w:p w14:paraId="5FDB7407" w14:textId="77777777" w:rsidR="008072A8" w:rsidRDefault="008072A8" w:rsidP="00AA3FA8">
      <w:pPr>
        <w:jc w:val="both"/>
      </w:pPr>
    </w:p>
    <w:p w14:paraId="00FF085D" w14:textId="77777777" w:rsidR="000A0112" w:rsidRPr="00C87389" w:rsidRDefault="00987A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 </w:t>
      </w:r>
      <w:r w:rsidR="00D35E88" w:rsidRPr="00C87389">
        <w:rPr>
          <w:rFonts w:ascii="Times New Roman" w:hAnsi="Times New Roman" w:cs="Times New Roman"/>
          <w:b/>
          <w:sz w:val="24"/>
          <w:szCs w:val="24"/>
        </w:rPr>
        <w:t xml:space="preserve">A módszertannal kapcsolatosan kétfajta kommentet fűznék a cikkhez. </w:t>
      </w:r>
    </w:p>
    <w:p w14:paraId="52F086C4" w14:textId="77777777" w:rsidR="00C425C3" w:rsidRDefault="00D35E88" w:rsidP="00C425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Elsőként a fő problémám írnám le. A cikk több modellt épít a vizsgált kérdés megválaszolására, melyből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egyszerű lineáris regresszió, míg a többi modell Poisson-regresszió.</w:t>
      </w:r>
      <w:r w:rsidR="000A0112">
        <w:rPr>
          <w:rFonts w:ascii="Times New Roman" w:hAnsi="Times New Roman" w:cs="Times New Roman"/>
          <w:sz w:val="24"/>
          <w:szCs w:val="24"/>
        </w:rPr>
        <w:t xml:space="preserve"> A cikk azt írja, mivel az eredményváltozó a nemnegatív egész számok halmazán alapuló (</w:t>
      </w:r>
      <w:proofErr w:type="spellStart"/>
      <w:r w:rsidR="000A011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0A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1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0A0112">
        <w:rPr>
          <w:rFonts w:ascii="Times New Roman" w:hAnsi="Times New Roman" w:cs="Times New Roman"/>
          <w:sz w:val="24"/>
          <w:szCs w:val="24"/>
        </w:rPr>
        <w:t>) megfigyeléshalmaz, ezért a Poisson-regresszió alkalmazhatósága alátámasztott. Az valóban igaz, hogy Poisson-regresszió akkor alkalmazható csak, ha a megfigyelések ebből a számhalmazból származnak, ugyanakkor emellett az is szükséges, hogy az eredményváltozó megfigyelései Poisson-eloszlást kövessenek, amely jelen adatállomány esetén nem áll fenn (vagy erre a cikk nem tér ki). Habár a harmadik ábrán egy olyan oszlopdiagram rajzolódik ki, amelynek alakja hasonlít a Poisson-eloszlás</w:t>
      </w:r>
      <w:r w:rsidR="006C2193">
        <w:rPr>
          <w:rFonts w:ascii="Times New Roman" w:hAnsi="Times New Roman" w:cs="Times New Roman"/>
          <w:sz w:val="24"/>
          <w:szCs w:val="24"/>
        </w:rPr>
        <w:t xml:space="preserve"> megfelelő paraméterű súly</w:t>
      </w:r>
      <w:r w:rsidR="000A0112">
        <w:rPr>
          <w:rFonts w:ascii="Times New Roman" w:hAnsi="Times New Roman" w:cs="Times New Roman"/>
          <w:sz w:val="24"/>
          <w:szCs w:val="24"/>
        </w:rPr>
        <w:t xml:space="preserve">függvényéhez, ez mégsem az. A harmadik ábra első részén ugyanis nem sűrűségfüggvény látható, hiszen nem relatív gyakoriságokat láthatunk rajta, csupán egymás mellé rendezett megfigyeléseket csökkenő sorrendben. </w:t>
      </w:r>
      <w:r w:rsidR="006C2193">
        <w:rPr>
          <w:rFonts w:ascii="Times New Roman" w:hAnsi="Times New Roman" w:cs="Times New Roman"/>
          <w:sz w:val="24"/>
          <w:szCs w:val="24"/>
        </w:rPr>
        <w:t>Így a Poisson-regresszió alkalmazását nem látom alátámasztottnak. További problémám ezzel, hogy a Poisson-regresszió alkalmazása feltételezi az eredményváltozó megfigyeléseinek egymástól való függetlenségét. Mivel a cikk elemez térbeli kapcsolatokat is az eredményváltozó esetén, így önmagában megsérti a Poisson-regresszió alkalmazhatóságának feltételeit.</w:t>
      </w:r>
    </w:p>
    <w:p w14:paraId="706EE2C5" w14:textId="77777777" w:rsidR="006C2193" w:rsidRPr="001C357C" w:rsidRDefault="006C2193" w:rsidP="00C425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Amennyiben </w:t>
      </w:r>
      <w:r w:rsidR="007C525F">
        <w:rPr>
          <w:rFonts w:ascii="Times New Roman" w:hAnsi="Times New Roman" w:cs="Times New Roman"/>
          <w:sz w:val="24"/>
          <w:szCs w:val="24"/>
        </w:rPr>
        <w:t>mégis ez a regressziós módszer maradna, amit én kifejezetten ellenjavallok, akkor további problémák merülnek fel a modellépítéssel. A Poisson-regresszió az eloszlás tulajdonságaiból kiindulva tipikusan log-</w:t>
      </w:r>
      <w:proofErr w:type="spellStart"/>
      <w:r w:rsidR="007C525F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7C525F">
        <w:rPr>
          <w:rFonts w:ascii="Times New Roman" w:hAnsi="Times New Roman" w:cs="Times New Roman"/>
          <w:sz w:val="24"/>
          <w:szCs w:val="24"/>
        </w:rPr>
        <w:t xml:space="preserve"> regresszió, tehát a modell a következőképp futtatható:</w:t>
      </w:r>
      <w:r w:rsidR="007C525F">
        <w:rPr>
          <w:rFonts w:ascii="Times New Roman" w:hAnsi="Times New Roman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14:paraId="68FE9580" w14:textId="77777777" w:rsidR="001C357C" w:rsidRPr="001C357C" w:rsidRDefault="001C357C" w:rsidP="00C425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mert ekkor kapjuk vissza a Poisson-regresszió exponenciális alakját: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</m:oMath>
      </m:oMathPara>
    </w:p>
    <w:p w14:paraId="09BA4C1C" w14:textId="77777777" w:rsidR="00605949" w:rsidRDefault="001C357C" w:rsidP="00C425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lineáris formulából jól látszik, hogy a cikkben futtatott modellek egyike sem felel a fenti felírásnak, hiszen a jobb oldalon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logaritmált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és nem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logaritmált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változók egyaránt szerepelnek. Így ennek átgondolása szintén javallott lenne. </w:t>
      </w:r>
      <w:r w:rsidR="00605949">
        <w:rPr>
          <w:rFonts w:ascii="Times New Roman" w:eastAsiaTheme="minorEastAsia" w:hAnsi="Times New Roman" w:cs="Times New Roman"/>
          <w:sz w:val="24"/>
          <w:szCs w:val="24"/>
        </w:rPr>
        <w:br/>
        <w:t>A random-</w:t>
      </w:r>
      <w:proofErr w:type="spellStart"/>
      <w:r w:rsidR="00605949">
        <w:rPr>
          <w:rFonts w:ascii="Times New Roman" w:eastAsiaTheme="minorEastAsia" w:hAnsi="Times New Roman" w:cs="Times New Roman"/>
          <w:sz w:val="24"/>
          <w:szCs w:val="24"/>
        </w:rPr>
        <w:t>effect</w:t>
      </w:r>
      <w:proofErr w:type="spellEnd"/>
      <w:r w:rsidR="00605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05949">
        <w:rPr>
          <w:rFonts w:ascii="Times New Roman" w:eastAsiaTheme="minorEastAsia" w:hAnsi="Times New Roman" w:cs="Times New Roman"/>
          <w:sz w:val="24"/>
          <w:szCs w:val="24"/>
        </w:rPr>
        <w:t>model</w:t>
      </w:r>
      <w:proofErr w:type="spellEnd"/>
      <w:r w:rsidR="00605949">
        <w:rPr>
          <w:rFonts w:ascii="Times New Roman" w:eastAsiaTheme="minorEastAsia" w:hAnsi="Times New Roman" w:cs="Times New Roman"/>
          <w:sz w:val="24"/>
          <w:szCs w:val="24"/>
        </w:rPr>
        <w:t xml:space="preserve"> esetén semmilyen arra utaló jel nincsen, hogy miért ezt választották a szerzők szemben a fixhatásos vagy első differencia modellekkel. Ennek indoklása is szükséges lenne.</w:t>
      </w:r>
      <w:r w:rsidR="00605949">
        <w:rPr>
          <w:rFonts w:ascii="Times New Roman" w:eastAsiaTheme="minorEastAsia" w:hAnsi="Times New Roman" w:cs="Times New Roman"/>
          <w:sz w:val="24"/>
          <w:szCs w:val="24"/>
        </w:rPr>
        <w:br/>
        <w:t>Alapvetően én ebben az esetben lineáris modelleket alkalmaznék, az adatok tulajdonságaihoz azt gondolom, az a megfelelő.</w:t>
      </w:r>
    </w:p>
    <w:p w14:paraId="4B068445" w14:textId="77777777" w:rsidR="00760B3F" w:rsidRDefault="00605949" w:rsidP="00C425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második típusú megjegyzések a kisebb, vagy gyorsabban korrigálható csoportba tartoznak.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Elsőként, a szignifikancia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szinteketek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szokásosan 1, 5, 10%-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választjuk meg. A cikk is így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elemez, viszont a regressziós eredmények táblái nem ezeket a számokat tartalmazzák, érdemes lenne ezt egységesíteni.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Jóllehet, panel eszközöket is alkalmaznak a szerzők a random hatásos modellek esetén, ugyanakkor az adatállomány szerkezetéről semmit nem tudunk (mekkora keresztmetszet, hány </w:t>
      </w:r>
      <w:r w:rsidR="00E159FB">
        <w:rPr>
          <w:rFonts w:ascii="Times New Roman" w:eastAsiaTheme="minorEastAsia" w:hAnsi="Times New Roman" w:cs="Times New Roman"/>
          <w:sz w:val="24"/>
          <w:szCs w:val="24"/>
        </w:rPr>
        <w:t>időszak, stb.) Ez annak eldöntéséül is szolgálna, hogy a kiválasztott panel módszer megállja-e a helyét. Továbbá mindenképpen szükséges egy leírás az adatokról. Leíró statisztika is csak az eredményváltozóról készül, a többiről nem, holott ez is igen fontos információkat tartalmaz.</w:t>
      </w:r>
      <w:r w:rsidR="00760B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0D2A73" w14:textId="77777777" w:rsidR="00605949" w:rsidRPr="001C357C" w:rsidRDefault="00760B3F" w:rsidP="00C425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előző bekezdés már csak azért is lenne igen hasznos, mert az adatok típusától függhet az alkalmazott módszer. Több helyen a cikkben említésre kerül a megfigyelések száma, amely összevetve az országok számával azt sejteti, hogy az időtáv nem feltétlenül elég hosszú egy random hatásos modell „értelmes” becsléséhez. Az információk hiányában azonban ez csak sejtés.</w:t>
      </w:r>
      <w:r w:rsidR="00E159FB">
        <w:rPr>
          <w:rFonts w:ascii="Times New Roman" w:eastAsiaTheme="minorEastAsia" w:hAnsi="Times New Roman" w:cs="Times New Roman"/>
          <w:sz w:val="24"/>
          <w:szCs w:val="24"/>
        </w:rPr>
        <w:br/>
        <w:t>A szöveget át kell önteni „olvasható formába”. Azt gondolom, nem szerepelhetnek olyan mondatok egy cikkben, amelyek olyan elemeket tartalmaznak, minthogy a „VIF minden esetben &lt;2”. Ez helyesen leírva a „VIF minden esetben kettőnél kisebb értéket vett fel” formát ölti.</w:t>
      </w:r>
      <w:r w:rsidR="00E159FB">
        <w:rPr>
          <w:rFonts w:ascii="Times New Roman" w:eastAsiaTheme="minorEastAsia" w:hAnsi="Times New Roman" w:cs="Times New Roman"/>
          <w:sz w:val="24"/>
          <w:szCs w:val="24"/>
        </w:rPr>
        <w:br/>
        <w:t xml:space="preserve">A regressziós táblákból hiányoznak az illeszkedési (R-négyzet, stb.) mutatók. Szokás szerint a megfigyelések számát és valamilyen modellilleszkedés mutatót tüntetünk fel a táblákban, a devianciák nem hordoznak annyi információt ezekben az esetekben. </w:t>
      </w:r>
      <w:r w:rsidR="00605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605949" w:rsidRPr="001C357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12CBD" w14:textId="77777777" w:rsidR="002F2506" w:rsidRDefault="002F2506" w:rsidP="00C425C3">
      <w:pPr>
        <w:spacing w:after="0" w:line="240" w:lineRule="auto"/>
      </w:pPr>
      <w:r>
        <w:separator/>
      </w:r>
    </w:p>
  </w:endnote>
  <w:endnote w:type="continuationSeparator" w:id="0">
    <w:p w14:paraId="17ABD9E9" w14:textId="77777777" w:rsidR="002F2506" w:rsidRDefault="002F2506" w:rsidP="00C4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iumBasic-Bold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GentiumBasic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GentiumPlu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ntiumPlus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1619679"/>
      <w:docPartObj>
        <w:docPartGallery w:val="Page Numbers (Bottom of Page)"/>
        <w:docPartUnique/>
      </w:docPartObj>
    </w:sdtPr>
    <w:sdtEndPr/>
    <w:sdtContent>
      <w:p w14:paraId="67619251" w14:textId="77777777" w:rsidR="00C425C3" w:rsidRDefault="00C425C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E50">
          <w:rPr>
            <w:noProof/>
          </w:rPr>
          <w:t>3</w:t>
        </w:r>
        <w:r>
          <w:fldChar w:fldCharType="end"/>
        </w:r>
      </w:p>
    </w:sdtContent>
  </w:sdt>
  <w:p w14:paraId="253723AA" w14:textId="77777777" w:rsidR="00C425C3" w:rsidRDefault="00C42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1D507" w14:textId="77777777" w:rsidR="002F2506" w:rsidRDefault="002F2506" w:rsidP="00C425C3">
      <w:pPr>
        <w:spacing w:after="0" w:line="240" w:lineRule="auto"/>
      </w:pPr>
      <w:r>
        <w:separator/>
      </w:r>
    </w:p>
  </w:footnote>
  <w:footnote w:type="continuationSeparator" w:id="0">
    <w:p w14:paraId="57DEC78F" w14:textId="77777777" w:rsidR="002F2506" w:rsidRDefault="002F2506" w:rsidP="00C42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5921"/>
    <w:multiLevelType w:val="hybridMultilevel"/>
    <w:tmpl w:val="9AD0A288"/>
    <w:lvl w:ilvl="0" w:tplc="C43A81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32E35"/>
    <w:multiLevelType w:val="hybridMultilevel"/>
    <w:tmpl w:val="D60877F0"/>
    <w:lvl w:ilvl="0" w:tplc="D038AEC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024"/>
    <w:rsid w:val="00037304"/>
    <w:rsid w:val="00061563"/>
    <w:rsid w:val="000A0112"/>
    <w:rsid w:val="001C357C"/>
    <w:rsid w:val="002F2506"/>
    <w:rsid w:val="00397E50"/>
    <w:rsid w:val="004572A0"/>
    <w:rsid w:val="00605949"/>
    <w:rsid w:val="006C2193"/>
    <w:rsid w:val="0071151B"/>
    <w:rsid w:val="00760B3F"/>
    <w:rsid w:val="00762E74"/>
    <w:rsid w:val="007C525F"/>
    <w:rsid w:val="008072A8"/>
    <w:rsid w:val="008E6BC6"/>
    <w:rsid w:val="009209A9"/>
    <w:rsid w:val="0097417E"/>
    <w:rsid w:val="00987A63"/>
    <w:rsid w:val="00A23148"/>
    <w:rsid w:val="00AA3FA8"/>
    <w:rsid w:val="00B036D8"/>
    <w:rsid w:val="00B82BD4"/>
    <w:rsid w:val="00B8405A"/>
    <w:rsid w:val="00C425C3"/>
    <w:rsid w:val="00C87389"/>
    <w:rsid w:val="00CE1402"/>
    <w:rsid w:val="00D35E88"/>
    <w:rsid w:val="00E159FB"/>
    <w:rsid w:val="00F67024"/>
    <w:rsid w:val="00F85310"/>
    <w:rsid w:val="00FD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7210"/>
  <w15:chartTrackingRefBased/>
  <w15:docId w15:val="{FD143E42-31AE-4CAF-97E1-D9302E74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25F"/>
    <w:rPr>
      <w:color w:val="808080"/>
    </w:rPr>
  </w:style>
  <w:style w:type="paragraph" w:styleId="ListParagraph">
    <w:name w:val="List Paragraph"/>
    <w:basedOn w:val="Normal"/>
    <w:uiPriority w:val="34"/>
    <w:qFormat/>
    <w:rsid w:val="00B82B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14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Emphasis">
    <w:name w:val="Emphasis"/>
    <w:basedOn w:val="DefaultParagraphFont"/>
    <w:uiPriority w:val="20"/>
    <w:qFormat/>
    <w:rsid w:val="00AA3FA8"/>
    <w:rPr>
      <w:i/>
      <w:iCs/>
    </w:rPr>
  </w:style>
  <w:style w:type="character" w:styleId="Hyperlink">
    <w:name w:val="Hyperlink"/>
    <w:basedOn w:val="DefaultParagraphFont"/>
    <w:uiPriority w:val="99"/>
    <w:unhideWhenUsed/>
    <w:rsid w:val="00AA3FA8"/>
    <w:rPr>
      <w:color w:val="0000FF"/>
      <w:u w:val="single"/>
    </w:rPr>
  </w:style>
  <w:style w:type="character" w:customStyle="1" w:styleId="m9osqain">
    <w:name w:val="m9osqain"/>
    <w:basedOn w:val="DefaultParagraphFont"/>
    <w:rsid w:val="00CE1402"/>
  </w:style>
  <w:style w:type="paragraph" w:styleId="Header">
    <w:name w:val="header"/>
    <w:basedOn w:val="Normal"/>
    <w:link w:val="HeaderChar"/>
    <w:uiPriority w:val="99"/>
    <w:unhideWhenUsed/>
    <w:rsid w:val="00C42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5C3"/>
  </w:style>
  <w:style w:type="paragraph" w:styleId="Footer">
    <w:name w:val="footer"/>
    <w:basedOn w:val="Normal"/>
    <w:link w:val="FooterChar"/>
    <w:uiPriority w:val="99"/>
    <w:unhideWhenUsed/>
    <w:rsid w:val="00C42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8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journal/2299-9701_International_Journal_of_Management_and_Econom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eas.repec.org/p/tin/wpaper/201200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Richárd</dc:creator>
  <cp:keywords/>
  <dc:description/>
  <cp:lastModifiedBy>syd barrett</cp:lastModifiedBy>
  <cp:revision>2</cp:revision>
  <dcterms:created xsi:type="dcterms:W3CDTF">2020-08-25T13:22:00Z</dcterms:created>
  <dcterms:modified xsi:type="dcterms:W3CDTF">2020-08-25T13:22:00Z</dcterms:modified>
</cp:coreProperties>
</file>