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Matematički fakultet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Univerzitet u Beogradu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Seminarski rad: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Uticaj P-adičnosti na razilke genetskog koda SARS1, SARS2 i MERS koronavirusa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Mentor:</w:t>
        <w:tab/>
        <w:tab/>
        <w:tab/>
        <w:tab/>
        <w:tab/>
        <w:tab/>
        <w:tab/>
        <w:tab/>
        <w:t xml:space="preserve">     Studenti: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Prof. dr Nenad Mitić</w:t>
        <w:tab/>
        <w:tab/>
        <w:tab/>
        <w:tab/>
        <w:tab/>
        <w:tab/>
        <w:t xml:space="preserve">Marko Koprivica</w:t>
        <w:tab/>
        <w:tab/>
        <w:tab/>
        <w:tab/>
        <w:tab/>
        <w:tab/>
        <w:tab/>
        <w:tab/>
        <w:tab/>
        <w:t xml:space="preserve">Milan Bodo </w:t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lswcz3ba9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pa96rclj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2.P-adična distanca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t2f53qlw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P-adično kodiranje nukleotidnih sekvenci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eduihhfo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P-adična distanca izmedju kodona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2dav6odgb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3.Podaci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ebtys0g6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nenpeowk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K- najbližih suseda sa odsecanjem dela sekvence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qtgj72w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Ocena modela za klasifikaciju po tipu virusa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hyh0a4yx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Ocena modela za klasifikaciju po tipu proteina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muf9mihn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 Ocena modela za klasifikaciju po soju virusa za SARS2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15p89at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K- najbližih suseda sa celim sekvencama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eyo217un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Ocena modela za klasifikaciju po tipu virusa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p5tbzema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 Ocena modela za klasifikaciju po soju virusa za SARS2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qyetom2f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Zaključak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bjuij9zxr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6.Reference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tlswcz3ba9a2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Ovaj seminarski rad bavi se uticajem p-adičnosti na različitosti genetskog koda kod SARS1, MERS i SARS2 virusa, i to na primerima klasifikacije ovih virusa, klasifikacije proteina virusa i klasifikacije sojeva SARS2 virusa po WHO klasifikaciji.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25pa96rcljka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.P-adična distanca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Kako se  ∀m∈Z , m≠0 može zapisati kao m=p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•а  gde je p prost broj, k ∈{0,1,2,...} i a ceo broj koji nije delji sa p. P-adična distanca broja m  u oznaci |m|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p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se definiše na sledeći način:</w:t>
      </w:r>
    </w:p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|m|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≔p</w:t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-k</w:t>
      </w:r>
      <w:r w:rsidDel="00000000" w:rsidR="00000000" w:rsidRPr="00000000">
        <w:rPr>
          <w:vertAlign w:val="superscript"/>
          <w:rtl w:val="0"/>
        </w:rPr>
        <w:t xml:space="preserve"> [1]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specijalno za m=0, </w:t>
      </w:r>
      <w:r w:rsidDel="00000000" w:rsidR="00000000" w:rsidRPr="00000000">
        <w:rPr>
          <w:rtl w:val="0"/>
        </w:rPr>
        <w:t xml:space="preserve">|m|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≔0.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P-adičcna distanca dva cela broja x i y se racuna na sledeći način: </w:t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|x-y|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P-adičcna distanca je ultrametrika, to jest za nju važi: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1.     </w:t>
      </w:r>
      <w:r w:rsidDel="00000000" w:rsidR="00000000" w:rsidRPr="00000000">
        <w:rPr>
          <w:rtl w:val="0"/>
        </w:rPr>
        <w:t xml:space="preserve">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 , 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＝0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x＝y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2.     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＝|y-x|</w:t>
      </w:r>
      <w:r w:rsidDel="00000000" w:rsidR="00000000" w:rsidRPr="00000000">
        <w:rPr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3.     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max {|x-z|</w:t>
      </w:r>
      <w:r w:rsidDel="00000000" w:rsidR="00000000" w:rsidRPr="00000000">
        <w:rPr>
          <w:vertAlign w:val="subscript"/>
          <w:rtl w:val="0"/>
        </w:rPr>
        <w:t xml:space="preserve">p </w:t>
      </w:r>
      <w:r w:rsidDel="00000000" w:rsidR="00000000" w:rsidRPr="00000000">
        <w:rPr>
          <w:rtl w:val="0"/>
        </w:rPr>
        <w:t xml:space="preserve">,|y-z|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|63-3|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|60|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|2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•3•5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|63-3|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|60|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|2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•3•5|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⅓</w:t>
      </w:r>
    </w:p>
    <w:p w:rsidR="00000000" w:rsidDel="00000000" w:rsidP="00000000" w:rsidRDefault="00000000" w:rsidRPr="00000000" w14:paraId="00000049">
      <w:pPr>
        <w:pStyle w:val="Heading2"/>
        <w:ind w:firstLine="720"/>
        <w:rPr/>
      </w:pPr>
      <w:bookmarkStart w:colFirst="0" w:colLast="0" w:name="_vrt2f53qlwmw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P-adično kodiranje nukleotidnih sekvenci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Nukleotidna sekvenca se deli u kodone(niske od po tri nukleotida), koji se kodiraju u trocifrene brojeve, gde se svakom od nukleotida ({A,C,G i T}) pridružuje po jedan broj iz Z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={0,1,2,3,4}, i to na sledeći način: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C=1</w:t>
        <w:tab/>
        <w:t xml:space="preserve">A=2</w:t>
        <w:tab/>
        <w:t xml:space="preserve">U=3</w:t>
        <w:tab/>
        <w:t xml:space="preserve">G=4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Primetimo da se purinske aminokiseline(A,G) i pirinske aminokisleine(C,U) kodiraju kao cifre iste parnosti, što ćemo korisititi u računanju distanci izmedju kodona.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firstLine="720"/>
        <w:rPr/>
      </w:pPr>
      <w:bookmarkStart w:colFirst="0" w:colLast="0" w:name="_cheduihhfouv" w:id="3"/>
      <w:bookmarkEnd w:id="3"/>
      <w:r w:rsidDel="00000000" w:rsidR="00000000" w:rsidRPr="00000000">
        <w:rPr>
          <w:rtl w:val="0"/>
        </w:rPr>
        <w:t xml:space="preserve">2.2 P-adična distanca izmedju kodona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Za računanje distance izmedju kodona korišćena je kombinacija 5-adične i 2-adične metrike [1] i to na sledeći način. Ako se kodoni razlikuju na prvoj nukleotidi, distanca se uvećava za 5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=1, ako se kodoni razlikuju na drugoj nukleotidi, distanca se uvećava za 5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=1/5, dok ako se kodoni razlikuju na trećoj nukleotidi i apsolutna razlika kodova na toj poziciji je 2 (što znači da su obe nukleotide na trećoj poziciji ili purinske ili pirinske) distnaca je uvećava za 2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*5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=1/2*1/25 ili ako ta razlika nije 2 distanca se uvećava za 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*5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=1*1/25. Distanca izmedju sekvenci predstavlja zbir distanci izmedju kodona.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2.3 Implentacija računanja P-adične distance izmedju kodona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Distanca izmedju svih sekvenci bez odsecanja u Pajton programskom jeziku nije uspela da se izvrši,te je to pokušano C++ programskom jeziku gde je uspelo. Kod tog programa se nalazi u  </w:t>
      </w:r>
      <w:r w:rsidDel="00000000" w:rsidR="00000000" w:rsidRPr="00000000">
        <w:rPr>
          <w:i w:val="1"/>
          <w:rtl w:val="0"/>
        </w:rPr>
        <w:t xml:space="preserve">create_distances_traingle.cpp, </w:t>
      </w:r>
      <w:r w:rsidDel="00000000" w:rsidR="00000000" w:rsidRPr="00000000">
        <w:rPr>
          <w:rtl w:val="0"/>
        </w:rPr>
        <w:t xml:space="preserve"> pravi se dijagonalna matrica rastojanja izmedju svih sekvenci, koja se posle koristi za sve vrste klasifikacija.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kq2dav6odgbr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.Podaci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Istraživanje smo izvodili na bazi podataka od 13202 instanci. Najvažniji atributi su ime virusa, ime proteina, i nukleotidna sekvenca.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Virus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Broj instanci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SARS1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SARS2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11325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3.1 raspodela instanci po tipu virusa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Još za SARS2 razlikovali su se i sojevi virusa: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155"/>
        <w:tblGridChange w:id="0">
          <w:tblGrid>
            <w:gridCol w:w="484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Soj SARS2 virusa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Broj instanci</w:t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Alpha, Delta, Epsilon, Gamma, Iota, Omricon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Tabela 3.2 raspodela instanci po soju SARS2 virusa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Raspodela proteina virusa: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Broj instanci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ORF1ab polyprotein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ORF1a polyprotein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surface glycoprotein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nucleocapsid phosphoprotein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ORF3a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membrane glycoprotein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ORF4b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ORF3 protein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ORF5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ORF8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ORF4a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ORF8b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envelope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ORF7a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ORF6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ORF7b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ORF1b polyprotein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ORF10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3.3 raspodela instanci po tipu proteina</w:t>
      </w:r>
    </w:p>
    <w:p w:rsidR="00000000" w:rsidDel="00000000" w:rsidP="00000000" w:rsidRDefault="00000000" w:rsidRPr="00000000" w14:paraId="000000A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Sve sekvence proteina su jedinstvene, nukleotidno kompletne i bez višeznačnih karaktera.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i2ebtys0g6mv" w:id="5"/>
      <w:bookmarkEnd w:id="5"/>
      <w:r w:rsidDel="00000000" w:rsidR="00000000" w:rsidRPr="00000000">
        <w:rPr>
          <w:rtl w:val="0"/>
        </w:rPr>
        <w:t xml:space="preserve">4. Modeli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Podaci u svim modelima su podeljenji u trening i test skup u u odnosu  2 : 1, stratifikovanim uzorkom.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p7nenpeowkxq" w:id="6"/>
      <w:bookmarkEnd w:id="6"/>
      <w:r w:rsidDel="00000000" w:rsidR="00000000" w:rsidRPr="00000000">
        <w:rPr>
          <w:rtl w:val="0"/>
        </w:rPr>
        <w:tab/>
        <w:t xml:space="preserve">4.1 K- najbližih suseda sa odsecanjem dela sekvence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Primenjen je algoritma K-najbližih suseda, gde je broj suseda 3 i  korišćena je metrika  objašnjena u delu 2.2 za računanje razdaljine izmedju instanci. Ovaj model je primenjen za klasifikaciju po tipu virusa, po tipu proteina i po soju virusa za SARS2.</w:t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rtl w:val="0"/>
        </w:rPr>
        <w:t xml:space="preserve">Sve nukleotidne sekvence su odsečene na dužinu od 78 kodona.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firstLine="720"/>
        <w:rPr>
          <w:color w:val="000000"/>
        </w:rPr>
      </w:pPr>
      <w:bookmarkStart w:colFirst="0" w:colLast="0" w:name="_uaqtgj72wuy" w:id="7"/>
      <w:bookmarkEnd w:id="7"/>
      <w:r w:rsidDel="00000000" w:rsidR="00000000" w:rsidRPr="00000000">
        <w:rPr>
          <w:color w:val="000000"/>
          <w:rtl w:val="0"/>
        </w:rPr>
        <w:t xml:space="preserve">4.1.1 Ocena modela za klasifikaciju po tipu virusa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Ovaj model na test skupu ima tačnost od 0.99 i matricu konfuzije kao u tabeli 4.1.1.1.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Predvidjen 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Predvidjen SARS1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Predvidjen SARS2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Stavrno 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Stvarno SARS1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Stvarno SARS2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3739</w:t>
            </w:r>
          </w:p>
        </w:tc>
      </w:tr>
    </w:tbl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Tabela 4.1.1.1 Matrica konfuzije za klasifikaciju po tipu virusa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Primećujemo da ovaj model ima problem u razlikovanju malobrojnog SARS1 i SARS2 virusa. Tu postoji mogućnost za popravljanje ovog modela. </w:t>
      </w:r>
    </w:p>
    <w:p w:rsidR="00000000" w:rsidDel="00000000" w:rsidP="00000000" w:rsidRDefault="00000000" w:rsidRPr="00000000" w14:paraId="000000BF">
      <w:pPr>
        <w:pStyle w:val="Heading3"/>
        <w:ind w:firstLine="720"/>
        <w:rPr>
          <w:color w:val="000000"/>
        </w:rPr>
      </w:pPr>
      <w:bookmarkStart w:colFirst="0" w:colLast="0" w:name="_xkhyh0a4yx9e" w:id="8"/>
      <w:bookmarkEnd w:id="8"/>
      <w:r w:rsidDel="00000000" w:rsidR="00000000" w:rsidRPr="00000000">
        <w:rPr>
          <w:color w:val="000000"/>
          <w:rtl w:val="0"/>
        </w:rPr>
        <w:t xml:space="preserve">4.1.2 Ocena modela za klasifikaciju po tipu proteina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Ovaj model na test skupu ima tačnost od 0.56 i matricu konfuzije kao u tabeli(toplotnoj mapi) 4.1.2.1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Tabela 4.1.2.1 Matrica konfuzije za klasifikaciju po tipu proteina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Primetno je da se najbrojniji </w:t>
      </w:r>
      <w:r w:rsidDel="00000000" w:rsidR="00000000" w:rsidRPr="00000000">
        <w:rPr>
          <w:i w:val="1"/>
          <w:rtl w:val="0"/>
        </w:rPr>
        <w:t xml:space="preserve">ORF1ab polyprotein</w:t>
      </w:r>
      <w:r w:rsidDel="00000000" w:rsidR="00000000" w:rsidRPr="00000000">
        <w:rPr>
          <w:rtl w:val="0"/>
        </w:rPr>
        <w:t xml:space="preserve"> skoro u potpunosti klasifikuje kao drugi po brojnosti </w:t>
      </w:r>
      <w:r w:rsidDel="00000000" w:rsidR="00000000" w:rsidRPr="00000000">
        <w:rPr>
          <w:i w:val="1"/>
          <w:rtl w:val="0"/>
        </w:rPr>
        <w:t xml:space="preserve">ORF1a polyprotein</w:t>
      </w:r>
      <w:r w:rsidDel="00000000" w:rsidR="00000000" w:rsidRPr="00000000">
        <w:rPr>
          <w:rtl w:val="0"/>
        </w:rPr>
        <w:t xml:space="preserve">, što najviše kvari tačnost ovog modela.</w:t>
      </w:r>
    </w:p>
    <w:p w:rsidR="00000000" w:rsidDel="00000000" w:rsidP="00000000" w:rsidRDefault="00000000" w:rsidRPr="00000000" w14:paraId="000000C4">
      <w:pPr>
        <w:pStyle w:val="Heading3"/>
        <w:rPr>
          <w:color w:val="000000"/>
          <w:sz w:val="28"/>
          <w:szCs w:val="28"/>
        </w:rPr>
      </w:pPr>
      <w:bookmarkStart w:colFirst="0" w:colLast="0" w:name="_t4muf9mihnbj" w:id="9"/>
      <w:bookmarkEnd w:id="9"/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4.1.</w:t>
      </w:r>
      <w:r w:rsidDel="00000000" w:rsidR="00000000" w:rsidRPr="00000000">
        <w:rPr>
          <w:color w:val="000000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Ocena modela za klasifikaciju po soju virusa za SARS2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Ovaj model na test skupu ima tačnost od 0.2 te matricu konfuzije nema potrebe ni prikazivati.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firstLine="720"/>
        <w:rPr/>
      </w:pPr>
      <w:bookmarkStart w:colFirst="0" w:colLast="0" w:name="_m4a15p89ate3" w:id="10"/>
      <w:bookmarkEnd w:id="10"/>
      <w:r w:rsidDel="00000000" w:rsidR="00000000" w:rsidRPr="00000000">
        <w:rPr>
          <w:rtl w:val="0"/>
        </w:rPr>
        <w:t xml:space="preserve">4.2 K- najbližih suseda sa celim sekvencama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Primenjen je algoritma K-najbližih suseda, gde je broj suseda 3 i  korišćena je metrika  objašnjena u delu 2.2 za računanje razdaljine izmedju instanci. Ovaj model je primenjen za klasifikaciju po tipu virusa, po tipu proteina i po soju virusa za SARS2, korišćene su cele sekvence.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firstLine="720"/>
        <w:rPr>
          <w:color w:val="000000"/>
        </w:rPr>
      </w:pPr>
      <w:bookmarkStart w:colFirst="0" w:colLast="0" w:name="_j9eyo217unic" w:id="11"/>
      <w:bookmarkEnd w:id="11"/>
      <w:r w:rsidDel="00000000" w:rsidR="00000000" w:rsidRPr="00000000">
        <w:rPr>
          <w:color w:val="000000"/>
          <w:rtl w:val="0"/>
        </w:rPr>
        <w:t xml:space="preserve">4.2.1 Ocena modela za klasifikaciju po tipu virusa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Rezultati ovog modela su slični kao i rezultati modela iz 4.1.1.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pStyle w:val="Heading3"/>
        <w:rPr>
          <w:color w:val="000000"/>
          <w:sz w:val="28"/>
          <w:szCs w:val="28"/>
        </w:rPr>
      </w:pPr>
      <w:bookmarkStart w:colFirst="0" w:colLast="0" w:name="_fshnqpy3r2xe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4.2.2 Ocena modela za klasifikaciju po tipu proteina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Primena modela na cele sekvence je ovde napravila značajna poboljšanja u prepoznavanju tipa proteina. Tačnost ovog modela je 0.99  i matrica konfuzije je prikazana u tabeli 4.2.2.1.</w:t>
      </w:r>
    </w:p>
    <w:p w:rsidR="00000000" w:rsidDel="00000000" w:rsidP="00000000" w:rsidRDefault="00000000" w:rsidRPr="00000000" w14:paraId="000000CF">
      <w:pPr>
        <w:pStyle w:val="Heading3"/>
        <w:rPr>
          <w:color w:val="000000"/>
        </w:rPr>
      </w:pPr>
      <w:bookmarkStart w:colFirst="0" w:colLast="0" w:name="_c5p5tbzema67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4.2.3 Ocena modela za klasifikaciju po soju virusa za SARS2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Primena modela na cele sekvence je u ovom slučaju klasifikacije napravila još začajnija poboljšanja u prepoznavanju soja SARS2 virusa u odnosu na model 4.1.3. Tačnost ovog modela je  0.96 i matrica konfuzije je prikazana u tabeli  4.2.3.1.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6281738" cy="681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  <w:t xml:space="preserve">Tabela 4.2.2.1 Matrica konfuzije za klasifikaciju po tipu proteina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8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  <w:t xml:space="preserve">Tabela 4.2.3.1 Matrica konfuzije za klasifikaciju po soju SARS2 virusa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nsqyetom2fvg" w:id="14"/>
      <w:bookmarkEnd w:id="14"/>
      <w:r w:rsidDel="00000000" w:rsidR="00000000" w:rsidRPr="00000000">
        <w:rPr>
          <w:rtl w:val="0"/>
        </w:rPr>
        <w:t xml:space="preserve">5. Zaključak</w:t>
      </w:r>
    </w:p>
    <w:p w:rsidR="00000000" w:rsidDel="00000000" w:rsidP="00000000" w:rsidRDefault="00000000" w:rsidRPr="00000000" w14:paraId="000000E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line="480" w:lineRule="auto"/>
        <w:rPr/>
      </w:pPr>
      <w:bookmarkStart w:colFirst="0" w:colLast="0" w:name="_hhbjuij9zxr0" w:id="15"/>
      <w:bookmarkEnd w:id="1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.Reference</w:t>
      </w:r>
    </w:p>
    <w:p w:rsidR="00000000" w:rsidDel="00000000" w:rsidP="00000000" w:rsidRDefault="00000000" w:rsidRPr="00000000" w14:paraId="000000E4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Dragovich,, Branko, and Nataša Ž Mišić. “P-Adic Hierarchical Properties of the Genetic Code.” </w:t>
      </w:r>
      <w:r w:rsidDel="00000000" w:rsidR="00000000" w:rsidRPr="00000000">
        <w:rPr>
          <w:i w:val="1"/>
          <w:rtl w:val="0"/>
        </w:rPr>
        <w:t xml:space="preserve">BioSystems,</w:t>
      </w:r>
      <w:r w:rsidDel="00000000" w:rsidR="00000000" w:rsidRPr="00000000">
        <w:rPr>
          <w:rtl w:val="0"/>
        </w:rPr>
        <w:t xml:space="preserve">, vol. 185, no. 104017, 2019, [1]</w:t>
      </w:r>
    </w:p>
    <w:p w:rsidR="00000000" w:rsidDel="00000000" w:rsidP="00000000" w:rsidRDefault="00000000" w:rsidRPr="00000000" w14:paraId="000000E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108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JournalArticle</b:SourceType>
    <b:Issue>104017</b:Issue>
    <b:JournalName>BioSystems,</b:JournalName>
    <b:Pages>2,3,4</b:Pages>
    <b:Title>P-Adic Hierarchical Properties of the Genetic Code.</b:Title>
    <b:Volume>185</b:Volume>
    <b:Year>2019</b:Year>
    <b:Gdcea>{"AccessedType":"Print"}</b:Gdcea>
    <b:Author>
      <b:Author>
        <b:NameList>
          <b:Person>
            <b:First>Branko</b:First>
            <b:Last>Dragovich,</b:Last>
          </b:Person>
          <b:Person>
            <b:First>Nataša</b:First>
            <b:Middle>Ž</b:Middle>
            <b:Last>Mišić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