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地图</w:t>
            </w:r>
            <w:r>
              <w:rPr>
                <w:rFonts w:hint="eastAsia" w:hAnsi="宋体"/>
                <w:bCs/>
                <w:color w:val="000000"/>
                <w:szCs w:val="21"/>
              </w:rPr>
              <w:t>服务的吸引力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互联网应用</w:t>
            </w:r>
            <w:r>
              <w:rPr>
                <w:rFonts w:hint="eastAsia" w:hAnsi="宋体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</w:rPr>
              <w:t>无法实现</w:t>
            </w:r>
            <w:r>
              <w:rPr>
                <w:rFonts w:hint="eastAsia" w:ascii="Calibri" w:hAnsi="Calibri"/>
                <w:lang w:val="en-US" w:eastAsia="zh-CN"/>
              </w:rPr>
              <w:t>信息准确性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对于该城市调研不足所导致的错漏现象。</w:t>
            </w:r>
            <w:bookmarkStart w:id="0" w:name="_GoBack"/>
            <w:bookmarkEnd w:id="0"/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6D50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21</TotalTime>
  <ScaleCrop>false</ScaleCrop>
  <LinksUpToDate>false</LinksUpToDate>
  <CharactersWithSpaces>261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58246</cp:lastModifiedBy>
  <dcterms:modified xsi:type="dcterms:W3CDTF">2019-03-21T11:06:31Z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