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SysCraft Arena Domain &amp; SIDC Catalog</w:t>
      </w:r>
    </w:p>
    <w:p>
      <w:pPr>
        <w:spacing w:after="280"/>
      </w:pPr>
      <w:r>
        <w:rPr>
          <w:rFonts w:ascii="Calibri" w:hAnsi="Calibri"/>
          <w:color w:val="52616B"/>
          <w:sz w:val="24"/>
        </w:rPr>
        <w:t>Reference examples for MQTT SensorInfo entity snapshots</w:t>
      </w:r>
    </w:p>
    <w:p>
      <w:pPr>
        <w:spacing w:after="240"/>
      </w:pPr>
      <w:r>
        <w:rPr>
          <w:rFonts w:ascii="Calibri" w:hAnsi="Calibri"/>
          <w:b/>
          <w:color w:val="1F4D78"/>
          <w:sz w:val="21"/>
        </w:rPr>
        <w:t xml:space="preserve">How the Arena renders entities. </w:t>
      </w:r>
      <w:r>
        <w:rPr>
          <w:rFonts w:ascii="Calibri" w:hAnsi="Calibri"/>
          <w:color w:val="334E68"/>
          <w:sz w:val="21"/>
        </w:rPr>
        <w:t>The domain controls the Assets grouping. The SIDC controls the MIL-STD symbol drawn on the map. Use a SIDC that describes the specific entity; the values below are the current Arena reference defaults.</w:t>
      </w:r>
    </w:p>
    <w:p>
      <w:pPr>
        <w:pStyle w:val="Heading1"/>
      </w:pPr>
      <w:r>
        <w:t>Domain reference table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050"/>
        <w:gridCol w:w="2500"/>
        <w:gridCol w:w="2200"/>
        <w:gridCol w:w="2710"/>
      </w:tblGrid>
      <w:tr>
        <w:tc>
          <w:tcPr>
            <w:tcW w:type="dxa" w:w="9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Icon</w:t>
            </w:r>
          </w:p>
        </w:tc>
        <w:tc>
          <w:tcPr>
            <w:tcW w:type="dxa" w:w="105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Domain</w:t>
            </w:r>
          </w:p>
        </w:tc>
        <w:tc>
          <w:tcPr>
            <w:tcW w:type="dxa" w:w="25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SIDC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Example entity</w:t>
            </w:r>
          </w:p>
        </w:tc>
        <w:tc>
          <w:tcPr>
            <w:tcW w:type="dxa" w:w="2710"/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20"/>
              </w:rPr>
              <w:t>Catalog note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" cy="45597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455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2A43"/>
                <w:sz w:val="20"/>
              </w:rPr>
              <w:t>Air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color w:val="102A43"/>
                <w:sz w:val="16"/>
              </w:rPr>
              <w:t>130301000011010000000000000000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02A43"/>
                <w:sz w:val="20"/>
              </w:rPr>
              <w:t>Fixed-wing aircraft</w:t>
            </w:r>
          </w:p>
        </w:tc>
        <w:tc>
          <w:tcPr>
            <w:tcW w:type="dxa" w:w="27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52616B"/>
                <w:sz w:val="18"/>
              </w:rPr>
              <w:t>Air symbol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" cy="4206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oun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420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2A43"/>
                <w:sz w:val="20"/>
              </w:rPr>
              <w:t>Ground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color w:val="102A43"/>
                <w:sz w:val="16"/>
              </w:rPr>
              <w:t>130315000016040000000000000000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02A43"/>
                <w:sz w:val="20"/>
              </w:rPr>
              <w:t>Utility ground vehicle</w:t>
            </w:r>
          </w:p>
        </w:tc>
        <w:tc>
          <w:tcPr>
            <w:tcW w:type="dxa" w:w="27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52616B"/>
                <w:sz w:val="18"/>
              </w:rPr>
              <w:t>Land-equipment vehicle symbol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" cy="4206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rfa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420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2A43"/>
                <w:sz w:val="20"/>
              </w:rPr>
              <w:t>Surface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color w:val="102A43"/>
                <w:sz w:val="16"/>
              </w:rPr>
              <w:t>130330000012050100000000000000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02A43"/>
                <w:sz w:val="20"/>
              </w:rPr>
              <w:t>Patrol craft</w:t>
            </w:r>
          </w:p>
        </w:tc>
        <w:tc>
          <w:tcPr>
            <w:tcW w:type="dxa" w:w="27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52616B"/>
                <w:sz w:val="18"/>
              </w:rPr>
              <w:t>Sea-surface vessel symbol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" cy="45597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ac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455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2A43"/>
                <w:sz w:val="20"/>
              </w:rPr>
              <w:t>Space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color w:val="102A43"/>
                <w:sz w:val="16"/>
              </w:rPr>
              <w:t>130305000011070000000000000000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02A43"/>
                <w:sz w:val="20"/>
              </w:rPr>
              <w:t>Satellite / orbital platform</w:t>
            </w:r>
          </w:p>
        </w:tc>
        <w:tc>
          <w:tcPr>
            <w:tcW w:type="dxa" w:w="27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52616B"/>
                <w:sz w:val="18"/>
              </w:rPr>
              <w:t>Space satellite symbol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" cy="29202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yb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920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2A43"/>
                <w:sz w:val="20"/>
              </w:rPr>
              <w:t>Cyber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color w:val="102A43"/>
                <w:sz w:val="16"/>
              </w:rPr>
              <w:t>130360000014010000000000000000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02A43"/>
                <w:sz w:val="20"/>
              </w:rPr>
              <w:t>Cyber operations node</w:t>
            </w:r>
          </w:p>
        </w:tc>
        <w:tc>
          <w:tcPr>
            <w:tcW w:type="dxa" w:w="27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52616B"/>
                <w:sz w:val="18"/>
              </w:rPr>
              <w:t>Cyberspace core-router symbol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624" cy="4206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ci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420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02A43"/>
                <w:sz w:val="20"/>
              </w:rPr>
              <w:t>Social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hAnsi="Courier New"/>
                <w:b w:val="0"/>
                <w:color w:val="102A43"/>
                <w:sz w:val="16"/>
              </w:rPr>
              <w:t>130327000011010100000000000000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02A43"/>
                <w:sz w:val="20"/>
              </w:rPr>
              <w:t>Operator / dismounted individual</w:t>
            </w:r>
          </w:p>
        </w:tc>
        <w:tc>
          <w:tcPr>
            <w:tcW w:type="dxa" w:w="271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52616B"/>
                <w:sz w:val="18"/>
              </w:rPr>
              <w:t>Dismounted-individual symbol</w:t>
            </w:r>
          </w:p>
        </w:tc>
      </w:tr>
    </w:tbl>
    <w:p/>
    <w:p>
      <w:pPr>
        <w:pStyle w:val="Heading2"/>
      </w:pPr>
      <w:r>
        <w:t>MQTT placement</w:t>
      </w:r>
    </w:p>
    <w:p>
      <w:pPr>
        <w:spacing w:after="80"/>
      </w:pPr>
      <w:r>
        <w:rPr>
          <w:rFonts w:ascii="Calibri" w:hAnsi="Calibri"/>
          <w:color w:val="334E68"/>
          <w:sz w:val="21"/>
        </w:rPr>
        <w:t xml:space="preserve">Put the selected SIDC in the full, low-rate SensorInfo packet: </w:t>
      </w:r>
      <w:r>
        <w:rPr>
          <w:rFonts w:ascii="Courier New" w:hAnsi="Courier New"/>
          <w:color w:val="1F4D78"/>
          <w:sz w:val="18"/>
        </w:rPr>
        <w:t>"arena-entity": { "domain": "ground", "sidc": "130315000016040000000000000000" }</w:t>
      </w:r>
    </w:p>
    <w:p>
      <w:pPr>
        <w:spacing w:after="0"/>
      </w:pPr>
      <w:r>
        <w:rPr>
          <w:rFonts w:ascii="Calibri" w:hAnsi="Calibri"/>
          <w:color w:val="334E68"/>
          <w:sz w:val="21"/>
        </w:rPr>
        <w:t>Keep HeartBeat packets small; they identify and refresh the entity but do not need to repeat the SIDC.</w:t>
      </w:r>
    </w:p>
    <w:sectPr w:rsidR="00FC693F" w:rsidRPr="0006063C" w:rsidSect="00034616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C93"/>
        <w:sz w:val="17"/>
      </w:rPr>
      <w:t>SysCraft Arena MQTT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