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Style14"/>
        </w:rPr>
        <w:t>Figure S1.</w:t>
      </w:r>
      <w:r>
        <w:rPr/>
        <w:t xml:space="preserve"> Taxonomic composition of the protist communities of the Volga River at the </w:t>
      </w:r>
      <w:r>
        <w:rPr/>
        <w:t>domain</w:t>
      </w:r>
      <w:r>
        <w:rPr/>
        <w:t xml:space="preserve"> level (sampling sites 1-138; see Table S1 and Figure 1 for details) in the pico- and microfractions based on RRA (%).</w:t>
      </w:r>
    </w:p>
    <w:p>
      <w:pPr>
        <w:pStyle w:val="Normal"/>
        <w:bidi w:val="0"/>
        <w:jc w:val="left"/>
        <w:rPr>
          <w:rStyle w:val="Style14"/>
        </w:rPr>
      </w:pPr>
      <w:r>
        <w:rPr/>
      </w:r>
    </w:p>
    <w:p>
      <w:pPr>
        <w:pStyle w:val="Normal"/>
        <w:bidi w:val="0"/>
        <w:jc w:val="left"/>
        <w:rPr/>
      </w:pPr>
      <w:r>
        <w:rPr>
          <w:rStyle w:val="Style14"/>
        </w:rPr>
        <w:t>Figure S</w:t>
      </w:r>
      <w:r>
        <w:rPr>
          <w:rStyle w:val="Style14"/>
        </w:rPr>
        <w:t>2</w:t>
      </w:r>
      <w:r>
        <w:rPr>
          <w:rStyle w:val="Style14"/>
        </w:rPr>
        <w:t>.</w:t>
      </w:r>
      <w:r>
        <w:rPr/>
        <w:t xml:space="preserve"> Taxonomic composition of the protist communities of the Volga River at the class level of the TSAR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3</w:t>
      </w:r>
      <w:r>
        <w:rPr>
          <w:rStyle w:val="Style14"/>
        </w:rPr>
        <w:t>.</w:t>
      </w:r>
      <w:r>
        <w:rPr/>
        <w:t xml:space="preserve"> Taxonomic composition of the protist communities of the Volga River at the class level of the Cryptista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4</w:t>
      </w:r>
      <w:r>
        <w:rPr>
          <w:rStyle w:val="Style14"/>
        </w:rPr>
        <w:t>.</w:t>
      </w:r>
      <w:r>
        <w:rPr/>
        <w:t xml:space="preserve"> Taxonomic composition of the protist communities of the Volga River at the class level of the Obazoa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5</w:t>
      </w:r>
      <w:r>
        <w:rPr>
          <w:rStyle w:val="Style14"/>
        </w:rPr>
        <w:t>.</w:t>
      </w:r>
      <w:r>
        <w:rPr/>
        <w:t xml:space="preserve"> Taxonomic composition of the protist communities of the Volga River at the class level of the Haptista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6</w:t>
      </w:r>
      <w:r>
        <w:rPr>
          <w:rStyle w:val="Style14"/>
        </w:rPr>
        <w:t>.</w:t>
      </w:r>
      <w:r>
        <w:rPr/>
        <w:t xml:space="preserve"> Taxonomic composition of the protist communities of the Volga River at the class level of the Archaeplastida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7</w:t>
      </w:r>
      <w:r>
        <w:rPr>
          <w:rStyle w:val="Style14"/>
        </w:rPr>
        <w:t>.</w:t>
      </w:r>
      <w:r>
        <w:rPr/>
        <w:t xml:space="preserve"> Taxonomic composition of the protist communities of the Volga River at the class level of the Amoebozoa domain (sampling sites 1-138; see Table S1 and Figure 1 for details) in the pico- and microfractions based on RRA (%).</w:t>
      </w:r>
    </w:p>
    <w:p>
      <w:pPr>
        <w:pStyle w:val="Normal"/>
        <w:bidi w:val="0"/>
        <w:jc w:val="left"/>
        <w:rPr/>
      </w:pPr>
      <w:r>
        <w:rPr/>
      </w:r>
    </w:p>
    <w:p>
      <w:pPr>
        <w:pStyle w:val="Normal"/>
        <w:bidi w:val="0"/>
        <w:jc w:val="left"/>
        <w:rPr/>
      </w:pPr>
      <w:r>
        <w:rPr>
          <w:rStyle w:val="Style14"/>
        </w:rPr>
        <w:t>Figure S</w:t>
      </w:r>
      <w:r>
        <w:rPr>
          <w:rStyle w:val="Style14"/>
        </w:rPr>
        <w:t>8</w:t>
      </w:r>
      <w:r>
        <w:rPr>
          <w:rStyle w:val="Style14"/>
        </w:rPr>
        <w:t>.</w:t>
      </w:r>
      <w:r>
        <w:rPr/>
        <w:t xml:space="preserve"> ML phylogenetic tree of the unclassified ASVs in the Volga river. Branch nodes show standard bootstrap support values. The letters before the colon show the last assigned taxonomic rank for ASVs (k — Kingdom, d — Domain, p — Phylum, c — Class)</w:t>
      </w:r>
    </w:p>
    <w:p>
      <w:pPr>
        <w:pStyle w:val="Normal"/>
        <w:bidi w:val="0"/>
        <w:jc w:val="left"/>
        <w:rPr/>
      </w:pPr>
      <w:r>
        <w:rPr/>
      </w:r>
    </w:p>
    <w:p>
      <w:pPr>
        <w:pStyle w:val="Normal"/>
        <w:bidi w:val="0"/>
        <w:jc w:val="left"/>
        <w:rPr/>
      </w:pPr>
      <w:bookmarkStart w:id="0" w:name="docs-internal-guid-3ec64c65-7fff-3ad4-ea"/>
      <w:bookmarkEnd w:id="0"/>
      <w:r>
        <w:rPr>
          <w:rStyle w:val="Style14"/>
          <w:rFonts w:ascii="Times New Roman;serif" w:hAnsi="Times New Roman;serif"/>
          <w:i w:val="false"/>
          <w:caps w:val="false"/>
          <w:smallCaps w:val="false"/>
          <w:strike w:val="false"/>
          <w:dstrike w:val="false"/>
          <w:color w:val="000000"/>
          <w:sz w:val="24"/>
          <w:u w:val="none"/>
          <w:effect w:val="none"/>
          <w:shd w:fill="auto" w:val="clear"/>
        </w:rPr>
        <w:t>Figure S</w:t>
      </w:r>
      <w:r>
        <w:rPr>
          <w:rStyle w:val="Style14"/>
          <w:rFonts w:ascii="Times New Roman;serif" w:hAnsi="Times New Roman;serif"/>
          <w:i w:val="false"/>
          <w:caps w:val="false"/>
          <w:smallCaps w:val="false"/>
          <w:strike w:val="false"/>
          <w:dstrike w:val="false"/>
          <w:color w:val="000000"/>
          <w:sz w:val="24"/>
          <w:u w:val="none"/>
          <w:effect w:val="none"/>
          <w:shd w:fill="auto" w:val="clear"/>
        </w:rPr>
        <w:t>9</w:t>
      </w:r>
      <w:r>
        <w:rPr>
          <w:rStyle w:val="Style14"/>
          <w:rFonts w:ascii="Times New Roman;serif" w:hAnsi="Times New Roman;serif"/>
          <w:i w:val="false"/>
          <w:caps w:val="false"/>
          <w:smallCaps w:val="false"/>
          <w:strike w:val="false"/>
          <w:dstrike w:val="false"/>
          <w:color w:val="000000"/>
          <w:sz w:val="24"/>
          <w:u w:val="none"/>
          <w:effect w:val="none"/>
          <w:shd w:fill="auto" w:val="clear"/>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Distribution of different domains of protists in the </w:t>
      </w:r>
      <w:r>
        <w:rPr>
          <w:rFonts w:ascii="Times New Roman;serif" w:hAnsi="Times New Roman;serif"/>
          <w:b w:val="false"/>
          <w:i w:val="false"/>
          <w:caps w:val="false"/>
          <w:smallCaps w:val="false"/>
          <w:strike w:val="false"/>
          <w:dstrike w:val="false"/>
          <w:color w:val="222222"/>
          <w:sz w:val="24"/>
          <w:u w:val="none"/>
          <w:effect w:val="none"/>
          <w:shd w:fill="auto" w:val="clear"/>
        </w:rPr>
        <w:t>flowing and backwater sections of the Volga River</w:t>
      </w:r>
      <w:r>
        <w:rPr>
          <w:rFonts w:ascii="Times New Roman;serif" w:hAnsi="Times New Roman;serif"/>
          <w:b w:val="false"/>
          <w:i w:val="false"/>
          <w:caps w:val="false"/>
          <w:smallCaps w:val="false"/>
          <w:strike w:val="false"/>
          <w:dstrike w:val="false"/>
          <w:color w:val="000000"/>
          <w:sz w:val="24"/>
          <w:u w:val="none"/>
          <w:effect w:val="none"/>
          <w:shd w:fill="auto" w:val="clear"/>
        </w:rPr>
        <w:t>.</w:t>
      </w:r>
    </w:p>
    <w:p>
      <w:pPr>
        <w:pStyle w:val="Normal"/>
        <w:bidi w:val="0"/>
        <w:jc w:val="left"/>
        <w:rPr>
          <w:rFonts w:ascii="Times New Roman;serif" w:hAnsi="Times New Roman;serif"/>
          <w:b w:val="false"/>
          <w:i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r>
    </w:p>
    <w:p>
      <w:pPr>
        <w:pStyle w:val="Normal"/>
        <w:bidi w:val="0"/>
        <w:jc w:val="left"/>
        <w:rPr/>
      </w:pPr>
      <w:r>
        <w:rPr>
          <w:rFonts w:ascii="Times New Roman;serif" w:hAnsi="Times New Roman;serif"/>
          <w:b/>
          <w:bCs/>
          <w:i w:val="false"/>
          <w:caps w:val="false"/>
          <w:smallCaps w:val="false"/>
          <w:strike w:val="false"/>
          <w:dstrike w:val="false"/>
          <w:color w:val="000000"/>
          <w:sz w:val="24"/>
          <w:u w:val="none"/>
          <w:effect w:val="none"/>
          <w:shd w:fill="auto" w:val="clear"/>
        </w:rPr>
        <w:t>Table S1.</w:t>
      </w:r>
      <w:r>
        <w:rPr>
          <w:rFonts w:ascii="Times New Roman;serif" w:hAnsi="Times New Roman;serif"/>
          <w:b w:val="false"/>
          <w:i w:val="false"/>
          <w:caps w:val="false"/>
          <w:smallCaps w:val="false"/>
          <w:strike w:val="false"/>
          <w:dstrike w:val="false"/>
          <w:color w:val="000000"/>
          <w:sz w:val="24"/>
          <w:u w:val="none"/>
          <w:effect w:val="none"/>
          <w:shd w:fill="auto" w:val="clear"/>
        </w:rPr>
        <w:t xml:space="preserve"> Volga River sampling data and hydrochemical characteristics.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Style14">
    <w:name w:val="Выделение жирным"/>
    <w:qFormat/>
    <w:rPr>
      <w:b/>
      <w:bCs/>
    </w:rPr>
  </w:style>
  <w:style w:type="paragraph" w:styleId="Style15">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1</Pages>
  <Words>348</Words>
  <Characters>1720</Characters>
  <CharactersWithSpaces>2062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2024-07-04T12:59:01Z</dcterms:created>
  <dc:creator/>
  <dc:description/>
  <dc:language>ru-RU</dc:language>
  <cp:lastModifiedBy/>
  <dcterms:modified xsi:type="dcterms:W3CDTF">2024-12-22T15:27:46Z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