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PatentPartTitle"/>
      </w:pPr>
      <w:r>
        <w:t>审阅说明</w:t>
      </w:r>
    </w:p>
    <w:p>
      <w:pPr>
        <w:pStyle w:val="PatentBody"/>
      </w:pPr>
      <w:r>
        <w:rPr>
          <w:b/>
        </w:rPr>
        <w:t>本页为审阅说明，非申请文件组成部分，提交前删除。</w:t>
      </w:r>
    </w:p>
    <w:p>
      <w:pPr>
        <w:pStyle w:val="PatentSectionTitle"/>
      </w:pPr>
      <w:r>
        <w:t>撰写结论</w:t>
      </w:r>
    </w:p>
    <w:p>
      <w:pPr>
        <w:pStyle w:val="PatentBody"/>
      </w:pPr>
      <w:r>
        <w:t>本案針對職業培訓機構（如初級維修電工課程）之線上考評場景，解決三個並存痛點：教師不具備程式開發能力但需快速換卷；多班次同時開考需各自獨立考試憑證；學生免註冊但需保證一人一卷且無法冒用。</w:t>
      </w:r>
    </w:p>
    <w:p>
      <w:pPr>
        <w:pStyle w:val="PatentBody"/>
      </w:pPr>
      <w:r>
        <w:t>核心區別特徵為：以標準表格範本（XLSX 格式）為唯一題庫載入介面，教師修改表格即完成換卷；以阿拉伯數字考試碼綁定班次與有效期，無需二維碼或公開鏈接；以雙欄姓名核對加名鎖三態（未交卷可重入／已交卷鎖死／異碼互斥）保證身份唯一；以混合題部分評分模型對一題多小題獨立計分；以浮點容差判比較適配電工計算題之小數誤差。</w:t>
      </w:r>
    </w:p>
    <w:p>
      <w:pPr>
        <w:pStyle w:val="PatentBody"/>
      </w:pPr>
      <w:r>
        <w:t>從該領域常見做法看，傳統線上考試平台多採「後台動態建題＋帳號註冊」模式，本申請以表格範本作為教師唯一操作介面、以考試碼取代註冊流程，係針對中小職業培訓機構之具體改進。</w:t>
      </w:r>
    </w:p>
    <w:p>
      <w:pPr>
        <w:pStyle w:val="PatentBody"/>
      </w:pPr>
      <w:r>
        <w:t>本次未寫入的內容：飛躍教育中心 logo 水印屬於品牌視覺元素，與本案技術方案無關，未寫入正文；QR 碼登入為前期探索方案，後已由考試碼機制取代，未寫入權利要求；學生端具體 UI 排版（按鈕位置、顏色）係實施細節，僅在具體實施方式中提及。</w:t>
      </w:r>
    </w:p>
    <w:p>
      <w:pPr>
        <w:pStyle w:val="PatentSectionTitle"/>
      </w:pPr>
      <w:r>
        <w:t>待确认事项</w:t>
      </w:r>
    </w:p>
    <w:p>
      <w:pPr>
        <w:pStyle w:val="PatentReviewItem"/>
      </w:pPr>
      <w:r>
        <w:t>1. 本次定稿前需要确认：正式申請人名稱。本案按「豆包工作」登記為權利人，正式提交前需確認該名稱是否為註冊商業主體名稱（個體戶／公司／商號），以及申請人簽章資訊。</w:t>
      </w:r>
    </w:p>
    <w:p>
      <w:pPr>
        <w:pStyle w:val="PatentReviewItem"/>
      </w:pPr>
      <w:r>
        <w:t>2. 本次定稿前需要确认：發明人姓名。本案未指定發明人，正式提交前需確認發明人列名（建議至少列李文学為發明人之一，其他共同發明人由您決定）。</w:t>
      </w:r>
    </w:p>
    <w:p>
      <w:pPr>
        <w:pStyle w:val="PatentReviewItem"/>
      </w:pPr>
      <w:r>
        <w:t>3. 本次定稿前需要确认：正式附圖。本文件所列為規劃圖名，正式提交前需繪製正式系統流程圖，並按圖號調整標記編號。</w:t>
      </w:r>
    </w:p>
    <w:p>
      <w:pPr>
        <w:pStyle w:val="PatentReviewItem"/>
      </w:pPr>
      <w:r>
        <w:t>4. 正式提交前建议确认：現有技術檢索。本次未進行新穎性檢索，正式提交前建議進行檢索並核對申請人名下已有申請。</w:t>
      </w:r>
    </w:p>
    <w:p>
      <w:pPr>
        <w:pStyle w:val="PatentReviewItem"/>
      </w:pPr>
      <w:r>
        <w:t>5. 正式提交前建议确认：考試碼有效期小時數、容差具體數值、班次最大數量。本案實施例中記載為 4 小時、±0.051／±0.0051、最多 6 個班次，正式提交前可確認是否需要調整。</w:t>
      </w:r>
    </w:p>
    <w:p>
      <w:pPr>
        <w:pStyle w:val="PatentSectionTitle"/>
      </w:pPr>
      <w:r>
        <w:t>提交前说明</w:t>
      </w:r>
    </w:p>
    <w:p>
      <w:pPr>
        <w:pStyle w:val="PatentBody"/>
      </w:pPr>
      <w:r>
        <w:t>本次服務範圍：撰寫發明專利申請文件審閱稿（權利要求書、說明書、說明書摘要）。</w:t>
      </w:r>
    </w:p>
    <w:p>
      <w:pPr>
        <w:pStyle w:val="PatentBody"/>
      </w:pPr>
      <w:r>
        <w:t>本次未包含：現有技術檢索、FTO／侵權分析、審查意見答覆、專利申請提交手續、專利代理事務所對接。</w:t>
      </w:r>
    </w:p>
    <w:p>
      <w:pPr>
        <w:pStyle w:val="PatentBody"/>
      </w:pPr>
      <w:r>
        <w:t>本文件為審閱稿，正式提交前需由申請人與專利代理師複核。</w:t>
      </w:r>
    </w:p>
    <w:p>
      <w:pPr>
        <w:pStyle w:val="PatentPartTitle"/>
        <w:pageBreakBefore/>
      </w:pPr>
      <w:r>
        <w:t>说明书摘要</w:t>
      </w:r>
    </w:p>
    <w:p>
      <w:pPr>
        <w:pStyle w:val="PatentBody"/>
      </w:pPr>
      <w:r>
        <w:t>本申請公開一種基于表格範本驅動的線上考試系統及其考試方法，屬於電子考評技術領域。該方法接收表格範本檔案，按預設欄位結構解析題目對象，題型標記欄為預設值時對應題型打開；教師端選定考卷與班次後生成阿拉伯數字考試碼並綁定到期時間；學生端輸入考試碼、從名單選擇姓名與手動輸入姓名一致時准予入場；對姓名實施未交卷可重入、已交卷鎖死、異碼互斥之三態名鎖；對混合題按作答部分獨立計分，對數值答案採容差判比較；最終匯總成績並輸出電子表格。本申請能夠使不具備程式開發能力之教師透過修改表格快速完成換卷，並支援多班次同時獨立開考。</w:t>
      </w:r>
    </w:p>
    <w:p>
      <w:pPr>
        <w:pStyle w:val="PatentPartTitle"/>
        <w:pageBreakBefore/>
      </w:pPr>
      <w:r>
        <w:t>权利要求书</w:t>
      </w:r>
    </w:p>
    <w:p>
      <w:pPr>
        <w:pStyle w:val="PatentClaim"/>
      </w:pPr>
      <w:r>
        <w:t>1. 一種基於表格範本驅動的線上考試系統及其考試方法，應用於電子裝置上的考評系統，其特徵在於包括以下步驟：S1、接收表格範本檔案，按預設欄位結構解析出至少一個題目對象，該題目對象之題型標記欄為預設值時對應題型打開，並讀取該題目對象之分數欄位；S2、透過教師端選定考卷與班次，生成對應之阿拉伯數字考試碼，並綁定預設到期時間；S3、接收學生端輸入之考試碼、從預設名單選擇之姓名、與手動輸入之姓名，二者一致時准予入場；S4、對該姓名鎖定其狀態，未交卷狀態下重入同一考試碼准予繼續作答，已交卷狀態拒絕再入本卷，且不同考試碼互斥；S5、接收學生對該題目對象之作答，對混合題按其打開之多個題型部分獨立計分；S6、匯總成績並輸出至少包含得分與正確率之結果資訊。</w:t>
      </w:r>
    </w:p>
    <w:p>
      <w:pPr>
        <w:pStyle w:val="PatentClaim"/>
      </w:pPr>
      <w:r>
        <w:t>2. 根據權利要求1所述之方法，其特徵在於：步驟S1中，該表格範本之欄位結構包含問題欄、填寫題標記欄、單選題標記欄、多選題標記欄、是非題標記欄、填寫答案欄、單選答案選項欄、多選答案選項欄、學生作答欄與分數欄；當該題目對象之填寫題標記欄、單選題標記欄、多選題標記欄、是非題標記欄中至少二欄為預設值時，該題目對象為混合題，其包含多個對應之作答部分。</w:t>
      </w:r>
    </w:p>
    <w:p>
      <w:pPr>
        <w:pStyle w:val="PatentClaim"/>
      </w:pPr>
      <w:r>
        <w:t>3. 根據權利要求1所述之方法，其特徵在於：步驟S2中，該到期時間為自生成時起預設小時數，考試碼與班次資訊綁定後儲存，逾時後自動失效；教師端可同時發起多個不同考試碼，分別對應不同班次或不同考卷。</w:t>
      </w:r>
    </w:p>
    <w:p>
      <w:pPr>
        <w:pStyle w:val="PatentClaim"/>
      </w:pPr>
      <w:r>
        <w:t>4. 根據權利要求1所述之方法，其特徵在於：步驟S3中，該預設名單為教師端可增減之學生姓名列表；當學生端從名單選擇之姓名與手動輸入之姓名不一致時，拒絕入場並提示重新核對。</w:t>
      </w:r>
    </w:p>
    <w:p>
      <w:pPr>
        <w:pStyle w:val="PatentClaim"/>
      </w:pPr>
      <w:r>
        <w:t>5. 根據權利要求1所述之方法，其特徵在於：步驟S4中，該狀態包含未交卷與已交卷二態；同一姓名在未交卷態下再次輸入同一考試碼時恢復作答進度；在已交卷態下拒絕任何對應本卷之入場請求；不同考試碼下之同一姓名視為不同考試場次。</w:t>
      </w:r>
    </w:p>
    <w:p>
      <w:pPr>
        <w:pStyle w:val="PatentClaim"/>
      </w:pPr>
      <w:r>
        <w:t>6. 根據權利要求2所述之方法，其特徵在於：該混合題之基準分數按作答部分數量平均攤分，每個作答部分獨立判分，對應部分作答正確時獲得該部分之攤分，錯誤時不獲分；最終得分為各部分攤分之和。</w:t>
      </w:r>
    </w:p>
    <w:p>
      <w:pPr>
        <w:pStyle w:val="PatentClaim"/>
      </w:pPr>
      <w:r>
        <w:t>7. 根據權利要求1所述之方法，其特徵在於：步驟S5中，對數值類答案之判比較包含容差判斷，當標準答案絕對值大於或等於1時容差為第一容差值，當標準答案絕對值小於1時容差為第二容差值，學生答案與標準答案之差異在容差範圍內時視為正確。</w:t>
      </w:r>
    </w:p>
    <w:p>
      <w:pPr>
        <w:pStyle w:val="PatentClaim"/>
      </w:pPr>
      <w:r>
        <w:t>8. 根據權利要求1所述之方法，其特徵在於：步驟S6中，匯總之成績進一步輸出為電子表格檔案，該電子表格檔案至少包含成績記錄工作表、作答明細工作表與題庫工作表；成績記錄工作表包含姓名、班次、卷名、得分、正確率與錯題序號。</w:t>
      </w:r>
    </w:p>
    <w:p>
      <w:pPr>
        <w:pStyle w:val="PatentClaim"/>
      </w:pPr>
      <w:r>
        <w:t>9. 根據權利要求1所述之方法，其特徵在於：教師端進一步包含密碼驗證步驟，密碼為至少四位數字，登入成功後方可執行步驟S2之考試發起與其他教師功能；修改密碼時需二次確認輸入一致後方可更新。</w:t>
      </w:r>
    </w:p>
    <w:p>
      <w:pPr>
        <w:pStyle w:val="PatentClaim"/>
      </w:pPr>
      <w:r>
        <w:t>10. 一種基於表格範本驅動的線上考試系統，其特徵在於包括：題庫解析模組，用於執行權利要求1之步驟S1；考試發起模組，用於執行權利要求1之步驟S2；入場核對模組，用於執行權利要求1之步驟S3；名鎖管理模組，用於執行權利要求1之步驟S4；作答評分模組，用於執行權利要求1之步驟S5；成績輸出模組，用於執行權利要求1之步驟S6。</w:t>
      </w:r>
    </w:p>
    <w:p>
      <w:pPr>
        <w:pStyle w:val="PatentClaim"/>
      </w:pPr>
      <w:r>
        <w:t>11. 一種電腦可讀取儲存媒體，其上儲存有電腦程式，該電腦程式被處理器執行時實現權利要求1至9中任一項所述之方法。</w:t>
      </w:r>
    </w:p>
    <w:p>
      <w:pPr>
        <w:pStyle w:val="PatentPartTitle"/>
        <w:pageBreakBefore/>
      </w:pPr>
      <w:r>
        <w:t>说明书</w:t>
      </w:r>
    </w:p>
    <w:p>
      <w:pPr>
        <w:pStyle w:val="PatentPartTitle"/>
      </w:pPr>
      <w:r>
        <w:t>基于表格範本驅動的線上考試系統及其考試方法</w:t>
      </w:r>
    </w:p>
    <w:p>
      <w:pPr>
        <w:pStyle w:val="PatentSectionTitle"/>
      </w:pPr>
      <w:r>
        <w:t>发明名称</w:t>
      </w:r>
    </w:p>
    <w:p>
      <w:pPr>
        <w:pStyle w:val="PatentBody"/>
      </w:pPr>
      <w:r>
        <w:t>基於表格範本驅動的線上考試系統及其考試方法</w:t>
      </w:r>
    </w:p>
    <w:p>
      <w:pPr>
        <w:pStyle w:val="PatentSectionTitle"/>
      </w:pPr>
      <w:r>
        <w:t>技术领域</w:t>
      </w:r>
    </w:p>
    <w:p>
      <w:pPr>
        <w:pStyle w:val="PatentBody"/>
      </w:pPr>
      <w:r>
        <w:t>本申請涉及電子考評技術領域，尤其涉及一種基於表格範本驅動的線上考試系統及方法，適用於職業培訓機構之即時考評場景。</w:t>
      </w:r>
    </w:p>
    <w:p>
      <w:pPr>
        <w:pStyle w:val="PatentSectionTitle"/>
      </w:pPr>
      <w:r>
        <w:t>背景技术</w:t>
      </w:r>
    </w:p>
    <w:p>
      <w:pPr>
        <w:pStyle w:val="PatentBody"/>
      </w:pPr>
      <w:r>
        <w:t>線上考試平台已廣泛應用於各類教育考評場景。現有平台通常要求教師透過後台介面逐題錄入題目，學生需註冊帳號後方可參加考試。</w:t>
      </w:r>
    </w:p>
    <w:p>
      <w:pPr>
        <w:pStyle w:val="PatentBody"/>
      </w:pPr>
      <w:r>
        <w:t>對於中小職業培訓機構而言，此模式存在三方面不足：其一，教師多為一線技術人員，不具備網頁開發能力，透過後台逐題錄入效率低，且每次更換考試內容仍需重新錄入；其二，同一機構常有多個班次同時上課，需要同時開多場考試並保證各班次獨立計分，現有平台多以單一公開連結或二維碼作為入場憑證，難以實現班次與考試場次之精細綁定；其三，學生群體以在職人員為主，重新註冊帳號意愿低，但僅憑姓名入場又存在冒用風險，特別是學生中途退出後可能由他人代答、或交卷後再次進入同一試卷修改答案。</w:t>
      </w:r>
    </w:p>
    <w:p>
      <w:pPr>
        <w:pStyle w:val="PatentBody"/>
      </w:pPr>
      <w:r>
        <w:t>此外，職業培訓考試常包含混合題，即一道大題下包含單選、填寫、是非等多個小題，現有平台多採整題對錯判分，無法實現部分得分；電工計算題答案常帶小數，受運算精度影響，嚴格字串比對易產生誤判。</w:t>
      </w:r>
    </w:p>
    <w:p>
      <w:pPr>
        <w:pStyle w:val="PatentSectionTitle"/>
      </w:pPr>
      <w:r>
        <w:t>发明内容</w:t>
      </w:r>
    </w:p>
    <w:p>
      <w:pPr>
        <w:pStyle w:val="PatentBody"/>
      </w:pPr>
      <w:r>
        <w:t>技術問題</w:t>
      </w:r>
    </w:p>
    <w:p>
      <w:pPr>
        <w:pStyle w:val="PatentBody"/>
      </w:pPr>
      <w:r>
        <w:t>本申請之主技術問題在於：提供一種基於表格範本驅動的線上考試系統及方法，使不具備程式開發能力之教師能夠以表格檔案作為唯一題庫載入介面快速完成換卷，同時實現多班次獨立開考、學生身份唯一性鎖定與混合題精細評分。</w:t>
      </w:r>
    </w:p>
    <w:p>
      <w:pPr>
        <w:pStyle w:val="PatentBody"/>
      </w:pPr>
      <w:r>
        <w:t>次要技術問題包括：實現學生免註冊但身份不可冒用；實現數值答案之容差判比較；實現成績即時匯出為標準電子表格。</w:t>
      </w:r>
    </w:p>
    <w:p>
      <w:pPr>
        <w:pStyle w:val="PatentBody"/>
      </w:pPr>
      <w:r>
        <w:t>技術方案</w:t>
      </w:r>
    </w:p>
    <w:p>
      <w:pPr>
        <w:pStyle w:val="PatentBody"/>
      </w:pPr>
      <w:r>
        <w:t>為解決上述主技術問題，本申請提供一種基於表格範本驅動的線上考試方法，包括以下步驟：接收表格範本檔案並按預設欄位結構解析出題目對象；教師端選定考卷與班次後生成阿拉伯數字考試碼並綁定到期時間；學生端輸入考試碼、從名單選擇姓名與手動輸入姓名一致時准予入場；對姓名實施未交卷可重入、已交卷鎖死、異碼互斥之名鎖管理；對混合題按作答部分獨立計分；最終匯總成績並輸出結果資訊。</w:t>
      </w:r>
    </w:p>
    <w:p>
      <w:pPr>
        <w:pStyle w:val="PatentBody"/>
      </w:pPr>
      <w:r>
        <w:t>進一步地，表格範本採用預設之多欄位結構，題型標記欄為預設值（本實施例中為數字1）時對應題型打開；當多個題型標記欄同時為預設值時，該題目為混合題。</w:t>
      </w:r>
    </w:p>
    <w:p>
      <w:pPr>
        <w:pStyle w:val="PatentBody"/>
      </w:pPr>
      <w:r>
        <w:t>進一步地，考試碼自生成時起綁定預設小時數（本實施例中為4小時）之到期時間，逾時自動失效；教師可同時發起多個考試碼對應不同班次或考卷。</w:t>
      </w:r>
    </w:p>
    <w:p>
      <w:pPr>
        <w:pStyle w:val="PatentBody"/>
      </w:pPr>
      <w:r>
        <w:t>進一步地，入場核對採雙欄姓名機制：學生從預設名單下拉選擇姓名，並於另一欄位手動輸入同名姓名，兩者比對一致方准入場。</w:t>
      </w:r>
    </w:p>
    <w:p>
      <w:pPr>
        <w:pStyle w:val="PatentBody"/>
      </w:pPr>
      <w:r>
        <w:t>進一步地，名鎖管理包含未交卷與已交卷二態：未交卷態下重入同一考試碼恢復作答進度；已交卷態下拒絕再入本卷；不同考試碼下之同一姓名視為不同考試場次。</w:t>
      </w:r>
    </w:p>
    <w:p>
      <w:pPr>
        <w:pStyle w:val="PatentBody"/>
      </w:pPr>
      <w:r>
        <w:t>進一步地，混合題之基準分數按作答部分數量平均攤分，每個作答部分獨立判分。</w:t>
      </w:r>
    </w:p>
    <w:p>
      <w:pPr>
        <w:pStyle w:val="PatentBody"/>
      </w:pPr>
      <w:r>
        <w:t>進一步地，數值類答案之判比較採容差機制：標準答案絕對值大於或等於1時採用第一容差值（本實施例中為±0.051），絕對值小於1時採用第二容差值（本實施例中為±0.0051）。</w:t>
      </w:r>
    </w:p>
    <w:p>
      <w:pPr>
        <w:pStyle w:val="PatentBody"/>
      </w:pPr>
      <w:r>
        <w:t>進一步地，成績匯總後輸出電子表格檔案，包含成績記錄、作答明細與題庫三個工作表。</w:t>
      </w:r>
    </w:p>
    <w:p>
      <w:pPr>
        <w:pStyle w:val="PatentBody"/>
      </w:pPr>
      <w:r>
        <w:t>進一步地，教師端採密碼驗證（本實施例中為至少四位數字），修改密碼需二次輸入一致後方可更新。</w:t>
      </w:r>
    </w:p>
    <w:p>
      <w:pPr>
        <w:pStyle w:val="PatentBody"/>
      </w:pPr>
      <w:r>
        <w:t>有益效果</w:t>
      </w:r>
    </w:p>
    <w:p>
      <w:pPr>
        <w:pStyle w:val="PatentBody"/>
      </w:pPr>
      <w:r>
        <w:t>第一，本申請透過表格範本作為題庫載入介面，教師修改表格內容即完成換卷，無需後台逐題錄入，有利於降低職業培訓機構之考評準備成本。</w:t>
      </w:r>
    </w:p>
    <w:p>
      <w:pPr>
        <w:pStyle w:val="PatentBody"/>
      </w:pPr>
      <w:r>
        <w:t>第二，本申請以阿拉伯數字考試碼綁定班次與有效期，教師可同時發起多場考試，無需二維碼或公開連結，有利於實現多班次獨立開考。</w:t>
      </w:r>
    </w:p>
    <w:p>
      <w:pPr>
        <w:pStyle w:val="PatentBody"/>
      </w:pPr>
      <w:r>
        <w:t>第三，本申請透過雙欄姓名核對與名鎖三態機制，學生免註冊即可入場，且同一姓名無法在交卷後再次進入同一試卷，亦無法跨考試碼冒用，有利於保證考試公平性。</w:t>
      </w:r>
    </w:p>
    <w:p>
      <w:pPr>
        <w:pStyle w:val="PatentBody"/>
      </w:pPr>
      <w:r>
        <w:t>第四，本申請透過混合題部分評分模型，一道大題下多個小題獨立計分，有利於精細評估學生對各小題之掌握程度。</w:t>
      </w:r>
    </w:p>
    <w:p>
      <w:pPr>
        <w:pStyle w:val="PatentBody"/>
      </w:pPr>
      <w:r>
        <w:t>第五，本申請透過浮點容差判比較，對電工計算題等數值答案之小數誤差具有容錯能力，有利於減少嚴格字串比對導致之誤判。</w:t>
      </w:r>
    </w:p>
    <w:p>
      <w:pPr>
        <w:pStyle w:val="PatentBody"/>
      </w:pPr>
      <w:r>
        <w:t>第六，本申請透過成績即時匯出電子表格，教師可直接取得成績記錄、作答明細與題庫三類留檔資料，有利於簡化教務存檔流程。</w:t>
      </w:r>
    </w:p>
    <w:p>
      <w:pPr>
        <w:pStyle w:val="PatentSectionTitle"/>
      </w:pPr>
      <w:r>
        <w:t>附图说明</w:t>
      </w:r>
    </w:p>
    <w:p>
      <w:pPr>
        <w:pStyle w:val="PatentBody"/>
      </w:pPr>
      <w:r>
        <w:t>正式附图待申请人提供，本文件所列为规划图名，标记编号随正式附图统一调整。</w:t>
      </w:r>
    </w:p>
    <w:p>
      <w:pPr>
        <w:pStyle w:val="PatentBody"/>
      </w:pPr>
      <w:r>
        <w:t>图1为本申请线上考试系统之整体流程示意图。</w:t>
      </w:r>
    </w:p>
    <w:p>
      <w:pPr>
        <w:pStyle w:val="PatentBody"/>
      </w:pPr>
      <w:r>
        <w:t>图2为本申请考试码发起与入场核对之流程示意图。</w:t>
      </w:r>
    </w:p>
    <w:p>
      <w:pPr>
        <w:pStyle w:val="PatentBody"/>
      </w:pPr>
      <w:r>
        <w:t>图3为本申请混合题部分评分之流程示意图。</w:t>
      </w:r>
    </w:p>
    <w:p>
      <w:pPr>
        <w:pStyle w:val="PatentSectionTitle"/>
      </w:pPr>
      <w:r>
        <w:t>具体实施方式</w:t>
      </w:r>
    </w:p>
    <w:p>
      <w:pPr>
        <w:pStyle w:val="PatentBody"/>
      </w:pPr>
      <w:r>
        <w:t>下面結合附圖與實施例對本申請作進一步詳細說明。</w:t>
      </w:r>
    </w:p>
    <w:p>
      <w:pPr>
        <w:pStyle w:val="PatentBody"/>
      </w:pPr>
      <w:r>
        <w:t>如图1所示，本實施例之線上考試系統部署於電子裝置上，包括學生端與教師端。學生端可為行動裝置瀏覽器或微信小程序；教師端為管理後台。系統整體流程包括：題庫解析模組接收表格範本檔案（本實施例中為 XLSX 格式檔案），按預設欄位結構解析出題目對象；考試發起模組由教師端觸發；入場核對模組接收學生輸入；名鎖管理模組記錄姓名狀態；作答評分模組接收學生作答並計分；成績輸出模組匯總結果。</w:t>
      </w:r>
    </w:p>
    <w:p>
      <w:pPr>
        <w:pStyle w:val="PatentBody"/>
      </w:pPr>
      <w:r>
        <w:t>本實施例之表格範本採用三十四欄結構，依次為：序號欄、問題欄、填寫題標記欄、單選題標記欄、多選題標記欄、是非題標記欄、填寫答案欄、單選答案選項欄A至F、多選答案選項欄A至F、單選學生作答欄、多選學生作答欄、是非對學生作答欄、是非錯學生作答欄、分數欄（多少分題）。當某題目之題型標記欄為數字1時，該題型打開；當僅有單選題標記欄為1時為單選題；當僅有多選題標記欄為1時為多選題；當僅有填寫題標記欄為1時為計算填寫題；當僅是非對或是非錯學生作答欄有標記時為是非題；當至少兩個題型標記欄同時為1時為混合題。分數欄未填寫或填寫非正數時，該題目預設為1分。</w:t>
      </w:r>
    </w:p>
    <w:p>
      <w:pPr>
        <w:pStyle w:val="PatentBody"/>
      </w:pPr>
      <w:r>
        <w:t>如图2所示，教師端登入後，於考試發起介面選擇班次（本實施例中班次由教師自行新增或刪除，最多保留6個班次）與考卷，輸入阿拉伯數字考試碼（例如4位數字），系統生成考試記錄並綁定到期時間為自生成時起4小時。教師可於考試列表中查看進行中之考試，並可手動結束指定考試。</w:t>
      </w:r>
    </w:p>
    <w:p>
      <w:pPr>
        <w:pStyle w:val="PatentBody"/>
      </w:pPr>
      <w:r>
        <w:t>學生端於首頁輸入考試碼，從名單下拉選擇姓名，並於第二欄手動輸入同名姓名。系統比對二者一致後，再檢查該姓名之名鎖狀態：若該姓名無任何鎖定記錄，則建立未交卷態鎖定並准予入場；若該姓名為未交卷態且對應同一考試碼，則恢復作答進度；若該姓名為已交卷態，則拒絕入場並提示已完成；若該姓名為未交卷態但對應不同考試碼，則提示先完成當前考試。</w:t>
      </w:r>
    </w:p>
    <w:p>
      <w:pPr>
        <w:pStyle w:val="PatentBody"/>
      </w:pPr>
      <w:r>
        <w:t>如图3所示，作答評分模組接收學生作答後，對單選題比對學生選擇之選項索引與標準答案索引；對多選題比對排序後之索引陣列；對是非題比對正確／錯誤標記；對填寫題採字串比對或浮點容差比對。容差規則為：標準答案絕對值大於或等於1時，學生答案與標準答案之差異絕對值小於或等於0.051時視為正確；標準答案絕對值小於1時，容差為0.0051。</w:t>
      </w:r>
    </w:p>
    <w:p>
      <w:pPr>
        <w:pStyle w:val="PatentBody"/>
      </w:pPr>
      <w:r>
        <w:t>對混合題，系統將一道題拆為多個作答部分，每個部分對應一個打開之題型。該題基準分數按作答部分數量平均攤分，例如一道混合題基準分數為4分、包含4個作答部分，則每個部分為1分；每個部分獨立判分，正確則獲得該部分攤分，錯誤則不獲分；該題最終得分為各部分攤分之和。</w:t>
      </w:r>
    </w:p>
    <w:p>
      <w:pPr>
        <w:pStyle w:val="PatentBody"/>
      </w:pPr>
      <w:r>
        <w:t>學生交卷後，系統匯總該學生之得分、總分、正確率（上限為100%）、答對題數與錯題序號；對混合題之錯題，進一步標明為第幾個作答部分錯誤。成績記錄儲存於本機儲存空間，教師可於成績後台查看全部學生之成績列表，並一鍵匯出為 Excel 檔案，包含成績記錄、作答明細、題庫三個工作表。</w:t>
      </w:r>
    </w:p>
    <w:p>
      <w:pPr>
        <w:pStyle w:val="PatentBody"/>
      </w:pPr>
      <w:r>
        <w:t>本實施例之教師密碼預設為6位數字（本實施例中為20261010），教師登入成功後方可使用考試發起、班次管理、成績後台、題庫管理、修改密碼等功能。修改密碼時需二次輸入新密碼，兩次一致後彈出確認對話方塊，確認後更新儲存。</w:t>
      </w:r>
    </w:p>
    <w:sectPr>
      <w:footerReference w:type="default" r:id="rId3"/>
      <w:pgSz w:w="11906" w:h="16838"/>
      <w:pgMar w:top="1440" w:right="1440" w:bottom="1440" w:left="1440" w:header="720" w:footer="720" w:gutter="0"/>
      <w:cols w:space="720"/>
      <w:docGrid w:linePitch="360"/>
    </w:sectPr>
  </w:body>
</w:document>
</file>

<file path=word/footer1.xml><?xml version="1.0" encoding="utf-8"?>
<w:ftr xmlns:w="http://schemas.openxmlformats.org/wordprocessingml/2006/main">
  <w:p>
    <w:pPr>
      <w:jc w:val="center"/>
    </w:pPr>
    <w:r>
      <w:fldChar w:fldCharType="begin"/>
    </w:r>
    <w:r>
      <w:instrText xml:space="preserve"> PAGE </w:instrText>
    </w:r>
    <w:r>
      <w:fldChar w:fldCharType="separate"/>
    </w:r>
    <w:r>
      <w:t>1</w:t>
    </w:r>
    <w:r>
      <w:fldChar w:fldCharType="end"/>
    </w:r>
  </w:p>
</w:ftr>
</file>

<file path=word/settings.xml><?xml version="1.0" encoding="utf-8"?>
<w:settings xmlns:w="http://schemas.openxmlformats.org/wordprocessingml/2006/main">
  <w:zoom w:percent="100"/>
  <w:defaultTabStop w:val="420"/>
</w:settings>
</file>

<file path=word/styles.xml><?xml version="1.0" encoding="utf-8"?>
<w:styles xmlns:w="http://schemas.openxmlformats.org/wordprocessingml/2006/main">
  <w:docDefaults>
    <w:rPrDefault>
      <w:rPr>
        <w:rFonts w:ascii="SimSun" w:hAnsi="SimSun" w:eastAsia="宋体" w:hint="eastAsia"/>
        <w:sz w:val="24"/>
        <w:szCs w:val="24"/>
        <w:color w:val="000000"/>
      </w:rPr>
    </w:rPrDefault>
    <w:pPrDefault>
      <w:pPr>
        <w:spacing w:line="360" w:lineRule="auto"/>
      </w:pPr>
    </w:pPrDefault>
  </w:docDefaults>
  <w:style w:type="paragraph" w:default="1" w:styleId="Normal">
    <w:name w:val="Normal"/>
    <w:pPr>
      <w:spacing w:line="360" w:lineRule="auto"/>
    </w:pPr>
    <w:rPr>
      <w:rFonts w:ascii="SimSun" w:hAnsi="SimSun" w:eastAsia="宋体" w:hint="eastAsia"/>
      <w:sz w:val="24"/>
      <w:szCs w:val="24"/>
      <w:color w:val="000000"/>
    </w:rPr>
  </w:style>
  <w:style w:type="paragraph" w:styleId="PatentBody">
    <w:name w:val="Patent Body"/>
    <w:basedOn w:val="Normal"/>
    <w:pPr>
      <w:jc w:val="both"/>
      <w:spacing w:after="120" w:line="360" w:lineRule="auto"/>
      <w:ind w:firstLine="480"/>
    </w:pPr>
  </w:style>
  <w:style w:type="paragraph" w:styleId="PatentClaim">
    <w:name w:val="Patent Claim"/>
    <w:basedOn w:val="Normal"/>
    <w:pPr>
      <w:jc w:val="both"/>
      <w:spacing w:after="160" w:line="360" w:lineRule="auto"/>
      <w:ind w:left="420" w:hanging="420"/>
    </w:pPr>
  </w:style>
  <w:style w:type="paragraph" w:styleId="PatentReviewItem">
    <w:name w:val="Patent Review Item"/>
    <w:basedOn w:val="Normal"/>
    <w:pPr>
      <w:jc w:val="both"/>
      <w:spacing w:after="120" w:line="360" w:lineRule="auto"/>
      <w:ind w:left="420" w:hanging="420"/>
    </w:pPr>
  </w:style>
  <w:style w:type="paragraph" w:styleId="PatentPartTitle">
    <w:name w:val="Patent Part Title"/>
    <w:basedOn w:val="Normal"/>
    <w:pPr>
      <w:jc w:val="center"/>
      <w:keepNext/>
      <w:spacing w:after="360"/>
    </w:pPr>
    <w:rPr>
      <w:rFonts w:ascii="SimSun" w:hAnsi="SimSun" w:eastAsia="宋体" w:hint="eastAsia"/>
      <w:b/>
      <w:sz w:val="32"/>
    </w:rPr>
  </w:style>
  <w:style w:type="paragraph" w:styleId="PatentSectionTitle">
    <w:name w:val="Patent Section Title"/>
    <w:basedOn w:val="Normal"/>
    <w:pPr>
      <w:jc w:val="center"/>
      <w:keepNext/>
      <w:spacing w:before="240" w:after="180"/>
    </w:pPr>
    <w:rPr>
      <w:rFonts w:ascii="SimSun" w:hAnsi="SimSun" w:eastAsia="宋体" w:hint="eastAsia"/>
      <w:b/>
      <w:sz w:val="28"/>
    </w:rPr>
  </w:style>
  <w:style w:type="paragraph" w:styleId="PatentDrawing">
    <w:name w:val="Patent Drawing"/>
    <w:basedOn w:val="Normal"/>
    <w:pPr>
      <w:jc w:val="center"/>
      <w:spacing w:after="24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oter" Target="footer1.xml"/></Relationships>
</file>