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Input:</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I would like to seek expert advice regarding our company's upcoming transaction involving the disposal of cryptocurrency assets. Specifically, we are planning to sell a substantial amount of Ethereum (ETH) and convert it into stablecoins due to market volatility. Please highlight the tax implications of that. Do we need to formalise the sale of ETH with a formal agreement?</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Follow up question:</w:t>
      </w:r>
      <w:r w:rsidDel="00000000" w:rsidR="00000000" w:rsidRPr="00000000">
        <w:rPr>
          <w:rtl w:val="0"/>
        </w:rPr>
        <w:t xml:space="preserve"> What is the volume of the transactions?</w:t>
      </w:r>
    </w:p>
    <w:p w:rsidR="00000000" w:rsidDel="00000000" w:rsidP="00000000" w:rsidRDefault="00000000" w:rsidRPr="00000000" w14:paraId="00000004">
      <w:pPr>
        <w:spacing w:after="240" w:before="240" w:lineRule="auto"/>
        <w:rPr/>
      </w:pPr>
      <w:r w:rsidDel="00000000" w:rsidR="00000000" w:rsidRPr="00000000">
        <w:rPr>
          <w:b w:val="1"/>
          <w:rtl w:val="0"/>
        </w:rPr>
        <w:t xml:space="preserve">Follow up question:</w:t>
      </w:r>
      <w:r w:rsidDel="00000000" w:rsidR="00000000" w:rsidRPr="00000000">
        <w:rPr>
          <w:rtl w:val="0"/>
        </w:rPr>
        <w:t xml:space="preserve"> What is the date of the transactions</w:t>
      </w:r>
    </w:p>
    <w:p w:rsidR="00000000" w:rsidDel="00000000" w:rsidP="00000000" w:rsidRDefault="00000000" w:rsidRPr="00000000" w14:paraId="00000005">
      <w:pPr>
        <w:spacing w:after="240" w:before="240" w:lineRule="auto"/>
        <w:rPr/>
      </w:pPr>
      <w:r w:rsidDel="00000000" w:rsidR="00000000" w:rsidRPr="00000000">
        <w:rPr>
          <w:b w:val="1"/>
          <w:rtl w:val="0"/>
        </w:rPr>
        <w:t xml:space="preserve">Follow up question:</w:t>
      </w:r>
      <w:r w:rsidDel="00000000" w:rsidR="00000000" w:rsidRPr="00000000">
        <w:rPr>
          <w:rtl w:val="0"/>
        </w:rPr>
        <w:t xml:space="preserve"> What was the price of purchased ETH?/ What was the value of ETH expressed in stablecoin?</w:t>
      </w:r>
    </w:p>
    <w:p w:rsidR="00000000" w:rsidDel="00000000" w:rsidP="00000000" w:rsidRDefault="00000000" w:rsidRPr="00000000" w14:paraId="00000006">
      <w:pPr>
        <w:spacing w:after="240" w:before="240" w:lineRule="auto"/>
        <w:rPr/>
      </w:pPr>
      <w:r w:rsidDel="00000000" w:rsidR="00000000" w:rsidRPr="00000000">
        <w:rPr>
          <w:b w:val="1"/>
          <w:rtl w:val="0"/>
        </w:rPr>
        <w:t xml:space="preserve">Follow up question:</w:t>
      </w:r>
      <w:r w:rsidDel="00000000" w:rsidR="00000000" w:rsidRPr="00000000">
        <w:rPr>
          <w:rtl w:val="0"/>
        </w:rPr>
        <w:t xml:space="preserve"> What is the stablecoin pegged to? </w:t>
      </w:r>
    </w:p>
    <w:p w:rsidR="00000000" w:rsidDel="00000000" w:rsidP="00000000" w:rsidRDefault="00000000" w:rsidRPr="00000000" w14:paraId="00000007">
      <w:pPr>
        <w:spacing w:after="240" w:before="240" w:lineRule="auto"/>
        <w:rPr/>
      </w:pPr>
      <w:commentRangeStart w:id="0"/>
      <w:r w:rsidDel="00000000" w:rsidR="00000000" w:rsidRPr="00000000">
        <w:rPr>
          <w:b w:val="1"/>
          <w:rtl w:val="0"/>
        </w:rPr>
        <w:t xml:space="preserve">Follow up question:</w:t>
      </w:r>
      <w:r w:rsidDel="00000000" w:rsidR="00000000" w:rsidRPr="00000000">
        <w:rPr>
          <w:rtl w:val="0"/>
        </w:rPr>
        <w:t xml:space="preserve"> Has this transaction will happen between dependent or independent parties?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Follow up question:</w:t>
      </w:r>
      <w:r w:rsidDel="00000000" w:rsidR="00000000" w:rsidRPr="00000000">
        <w:rPr>
          <w:rtl w:val="0"/>
        </w:rPr>
        <w:t xml:space="preserve"> When is the transaction planned for?</w:t>
      </w:r>
    </w:p>
    <w:p w:rsidR="00000000" w:rsidDel="00000000" w:rsidP="00000000" w:rsidRDefault="00000000" w:rsidRPr="00000000" w14:paraId="00000009">
      <w:pPr>
        <w:spacing w:after="240" w:before="240" w:lineRule="auto"/>
        <w:rPr/>
      </w:pPr>
      <w:r w:rsidDel="00000000" w:rsidR="00000000" w:rsidRPr="00000000">
        <w:rPr>
          <w:b w:val="1"/>
          <w:rtl w:val="0"/>
        </w:rPr>
        <w:t xml:space="preserve">Follow up question:</w:t>
      </w:r>
      <w:r w:rsidDel="00000000" w:rsidR="00000000" w:rsidRPr="00000000">
        <w:rPr>
          <w:rtl w:val="0"/>
        </w:rPr>
        <w:t xml:space="preserve"> Is trading crypto the company’s primary activity?</w:t>
      </w:r>
    </w:p>
    <w:p w:rsidR="00000000" w:rsidDel="00000000" w:rsidP="00000000" w:rsidRDefault="00000000" w:rsidRPr="00000000" w14:paraId="0000000A">
      <w:pPr>
        <w:spacing w:after="240" w:before="240" w:lineRule="auto"/>
        <w:rPr/>
      </w:pPr>
      <w:r w:rsidDel="00000000" w:rsidR="00000000" w:rsidRPr="00000000">
        <w:rPr>
          <w:b w:val="1"/>
          <w:rtl w:val="0"/>
        </w:rPr>
        <w:t xml:space="preserve">Input:</w:t>
      </w:r>
      <w:r w:rsidDel="00000000" w:rsidR="00000000" w:rsidRPr="00000000">
        <w:rPr>
          <w:rtl w:val="0"/>
        </w:rPr>
        <w:t xml:space="preserve"> 300 ETH converted to Tether, which is pegged to USD, transaction needs to go through by 1 August 2024, independent parties. Trading crypto is the company’s primary activity.</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D">
      <w:pPr>
        <w:spacing w:after="240" w:before="240" w:lineRule="auto"/>
        <w:rPr/>
      </w:pPr>
      <w:r w:rsidDel="00000000" w:rsidR="00000000" w:rsidRPr="00000000">
        <w:rPr>
          <w:rtl w:val="0"/>
        </w:rPr>
        <w:t xml:space="preserve">Law Firm X has been engaged by the company AB to comment on the tax implications of the disposal of ETH under the UK law and is planned for 1 August 2024. The customer wants to dispose of 300 ETH by 1 August 2024.</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Factual state</w:t>
      </w:r>
    </w:p>
    <w:p w:rsidR="00000000" w:rsidDel="00000000" w:rsidP="00000000" w:rsidRDefault="00000000" w:rsidRPr="00000000" w14:paraId="0000000F">
      <w:pPr>
        <w:spacing w:after="240" w:before="240" w:lineRule="auto"/>
        <w:rPr/>
      </w:pPr>
      <w:r w:rsidDel="00000000" w:rsidR="00000000" w:rsidRPr="00000000">
        <w:rPr>
          <w:rtl w:val="0"/>
        </w:rPr>
        <w:t xml:space="preserve">Alpha Beta Ltd (“AB”)</w:t>
      </w:r>
      <w:r w:rsidDel="00000000" w:rsidR="00000000" w:rsidRPr="00000000">
        <w:rPr>
          <w:rtl w:val="0"/>
        </w:rPr>
        <w:t xml:space="preserve"> wants to dispose of 300 ETH in exchange for Tether. This memorandum provides an overview of the applicable laws and guidance which can have impact on the transactions and AB should be aware of.</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Analysis</w:t>
      </w:r>
    </w:p>
    <w:p w:rsidR="00000000" w:rsidDel="00000000" w:rsidP="00000000" w:rsidRDefault="00000000" w:rsidRPr="00000000" w14:paraId="00000011">
      <w:pPr>
        <w:spacing w:after="240" w:before="240" w:lineRule="auto"/>
        <w:rPr/>
      </w:pPr>
      <w:r w:rsidDel="00000000" w:rsidR="00000000" w:rsidRPr="00000000">
        <w:rPr>
          <w:rtl w:val="0"/>
        </w:rPr>
        <w:t xml:space="preserve">Whilst no specific tax legislation is in place regarding the taxation of cryptocurrencies, His Majesty’s Revenue and Customs (HMRC) issued Cryptoassets Manual (CM) on 30 March 2021, which provides guidance on how HMRC is going to treat a transaction by corporation or individuals in relation to cryptoassets. CM is not legally binding on taxpayers, however it indicates the position likely to be taken by the HMRC concerning the crypto assets and therefore compliance to its contents is recommended.</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As per CM, section </w:t>
      </w:r>
      <w:r w:rsidDel="00000000" w:rsidR="00000000" w:rsidRPr="00000000">
        <w:rPr>
          <w:b w:val="1"/>
          <w:rtl w:val="0"/>
        </w:rPr>
        <w:t xml:space="preserve">CRYPTO41250:</w:t>
      </w:r>
    </w:p>
    <w:p w:rsidR="00000000" w:rsidDel="00000000" w:rsidP="00000000" w:rsidRDefault="00000000" w:rsidRPr="00000000" w14:paraId="00000013">
      <w:pPr>
        <w:spacing w:after="240" w:before="240" w:lineRule="auto"/>
        <w:ind w:left="600" w:right="600" w:firstLine="0"/>
        <w:rPr>
          <w:i w:val="1"/>
        </w:rPr>
      </w:pPr>
      <w:r w:rsidDel="00000000" w:rsidR="00000000" w:rsidRPr="00000000">
        <w:rPr>
          <w:i w:val="1"/>
          <w:rtl w:val="0"/>
        </w:rPr>
        <w:t xml:space="preserve">“Companies need to calculate their gain or loss when they dispose of their tokens to find out whether they need to pay Corporation Tax. A ‘disposal’ is a broad concept and includes:</w:t>
      </w:r>
    </w:p>
    <w:p w:rsidR="00000000" w:rsidDel="00000000" w:rsidP="00000000" w:rsidRDefault="00000000" w:rsidRPr="00000000" w14:paraId="00000014">
      <w:pPr>
        <w:spacing w:after="240" w:before="240" w:lineRule="auto"/>
        <w:ind w:left="600" w:right="600" w:firstLine="0"/>
        <w:rPr>
          <w:i w:val="1"/>
        </w:rPr>
      </w:pPr>
      <w:r w:rsidDel="00000000" w:rsidR="00000000" w:rsidRPr="00000000">
        <w:rPr>
          <w:i w:val="1"/>
          <w:rtl w:val="0"/>
        </w:rPr>
        <w:t xml:space="preserve">(a) selling tokens for money</w:t>
      </w:r>
    </w:p>
    <w:p w:rsidR="00000000" w:rsidDel="00000000" w:rsidP="00000000" w:rsidRDefault="00000000" w:rsidRPr="00000000" w14:paraId="00000015">
      <w:pPr>
        <w:spacing w:after="240" w:before="240" w:lineRule="auto"/>
        <w:ind w:left="600" w:right="600" w:firstLine="0"/>
        <w:rPr>
          <w:i w:val="1"/>
        </w:rPr>
      </w:pPr>
      <w:r w:rsidDel="00000000" w:rsidR="00000000" w:rsidRPr="00000000">
        <w:rPr>
          <w:i w:val="1"/>
          <w:rtl w:val="0"/>
        </w:rPr>
        <w:t xml:space="preserve">(b) exchanging tokens for a different type of token</w:t>
      </w:r>
    </w:p>
    <w:p w:rsidR="00000000" w:rsidDel="00000000" w:rsidP="00000000" w:rsidRDefault="00000000" w:rsidRPr="00000000" w14:paraId="00000016">
      <w:pPr>
        <w:spacing w:after="240" w:before="240" w:lineRule="auto"/>
        <w:ind w:left="600" w:right="600" w:firstLine="0"/>
        <w:rPr>
          <w:i w:val="1"/>
        </w:rPr>
      </w:pPr>
      <w:r w:rsidDel="00000000" w:rsidR="00000000" w:rsidRPr="00000000">
        <w:rPr>
          <w:i w:val="1"/>
          <w:rtl w:val="0"/>
        </w:rPr>
        <w:t xml:space="preserve">(c) using tokens to pay for goods or services</w:t>
      </w:r>
    </w:p>
    <w:p w:rsidR="00000000" w:rsidDel="00000000" w:rsidP="00000000" w:rsidRDefault="00000000" w:rsidRPr="00000000" w14:paraId="00000017">
      <w:pPr>
        <w:spacing w:after="240" w:before="240" w:lineRule="auto"/>
        <w:ind w:left="600" w:right="600" w:firstLine="0"/>
        <w:rPr>
          <w:i w:val="1"/>
        </w:rPr>
      </w:pPr>
      <w:r w:rsidDel="00000000" w:rsidR="00000000" w:rsidRPr="00000000">
        <w:rPr>
          <w:i w:val="1"/>
          <w:rtl w:val="0"/>
        </w:rPr>
        <w:t xml:space="preserve">(d) giving away tokens to another person”</w:t>
      </w:r>
    </w:p>
    <w:p w:rsidR="00000000" w:rsidDel="00000000" w:rsidP="00000000" w:rsidRDefault="00000000" w:rsidRPr="00000000" w14:paraId="00000018">
      <w:pPr>
        <w:spacing w:after="240" w:before="240" w:lineRule="auto"/>
        <w:rPr/>
      </w:pPr>
      <w:r w:rsidDel="00000000" w:rsidR="00000000" w:rsidRPr="00000000">
        <w:rPr>
          <w:rtl w:val="0"/>
        </w:rPr>
        <w:t xml:space="preserve">Stablecoins are also considered tokens. As per </w:t>
      </w:r>
      <w:r w:rsidDel="00000000" w:rsidR="00000000" w:rsidRPr="00000000">
        <w:rPr>
          <w:rtl w:val="0"/>
        </w:rPr>
        <w:t xml:space="preserve">CRYPTO10100, </w:t>
      </w:r>
    </w:p>
    <w:p w:rsidR="00000000" w:rsidDel="00000000" w:rsidP="00000000" w:rsidRDefault="00000000" w:rsidRPr="00000000" w14:paraId="00000019">
      <w:pPr>
        <w:spacing w:after="240" w:before="240" w:lineRule="auto"/>
        <w:rPr>
          <w:b w:val="1"/>
          <w:color w:val="0b0c0c"/>
          <w:sz w:val="46"/>
          <w:szCs w:val="46"/>
        </w:rPr>
      </w:pPr>
      <w:r w:rsidDel="00000000" w:rsidR="00000000" w:rsidRPr="00000000">
        <w:rPr>
          <w:i w:val="1"/>
          <w:rtl w:val="0"/>
        </w:rPr>
        <w:t xml:space="preserve">“</w:t>
      </w:r>
      <w:r w:rsidDel="00000000" w:rsidR="00000000" w:rsidRPr="00000000">
        <w:rPr>
          <w:i w:val="1"/>
          <w:rtl w:val="0"/>
        </w:rPr>
        <w:t xml:space="preserve">Stablecoins are another prominent type of cryptoasset. The premise is that these tokens minimise volatility as they may be pegged to something that is considered to have a stable value such as a fiat currency (government-backed, for example US dollars) or precious metals such as gold.”).</w:t>
      </w:r>
      <w:r w:rsidDel="00000000" w:rsidR="00000000" w:rsidRPr="00000000">
        <w:rPr>
          <w:rtl w:val="0"/>
        </w:rPr>
      </w:r>
    </w:p>
    <w:p w:rsidR="00000000" w:rsidDel="00000000" w:rsidP="00000000" w:rsidRDefault="00000000" w:rsidRPr="00000000" w14:paraId="0000001A">
      <w:pPr>
        <w:spacing w:after="240" w:before="240" w:lineRule="auto"/>
        <w:rPr>
          <w:i w:val="1"/>
        </w:rPr>
      </w:pPr>
      <w:r w:rsidDel="00000000" w:rsidR="00000000" w:rsidRPr="00000000">
        <w:rPr>
          <w:rtl w:val="0"/>
        </w:rPr>
        <w:t xml:space="preserve">Taking into account the fact that Tether is a token, the</w:t>
      </w:r>
      <w:r w:rsidDel="00000000" w:rsidR="00000000" w:rsidRPr="00000000">
        <w:rPr>
          <w:rtl w:val="0"/>
        </w:rPr>
        <w:t xml:space="preserve"> aforementioned scenario constitutes point (b) of the quoted passage. </w:t>
      </w:r>
      <w:r w:rsidDel="00000000" w:rsidR="00000000" w:rsidRPr="00000000">
        <w:rPr>
          <w:rtl w:val="0"/>
        </w:rPr>
      </w:r>
    </w:p>
    <w:p w:rsidR="00000000" w:rsidDel="00000000" w:rsidP="00000000" w:rsidRDefault="00000000" w:rsidRPr="00000000" w14:paraId="0000001B">
      <w:pPr>
        <w:spacing w:after="240" w:before="240" w:lineRule="auto"/>
        <w:ind w:left="0" w:right="600" w:firstLine="0"/>
        <w:rPr/>
      </w:pPr>
      <w:r w:rsidDel="00000000" w:rsidR="00000000" w:rsidRPr="00000000">
        <w:rPr>
          <w:rtl w:val="0"/>
        </w:rPr>
        <w:t xml:space="preserve">As being the party that is disposing of the ETH, AB needs to determine if they will be recording a loss or gain on their books, which is dependent on the price that is determined as the acquisition price of the ETH (Fair Market Value expressed in Tether).</w:t>
      </w:r>
    </w:p>
    <w:p w:rsidR="00000000" w:rsidDel="00000000" w:rsidP="00000000" w:rsidRDefault="00000000" w:rsidRPr="00000000" w14:paraId="0000001C">
      <w:pPr>
        <w:spacing w:after="240" w:before="240" w:lineRule="auto"/>
        <w:rPr/>
      </w:pPr>
      <w:r w:rsidDel="00000000" w:rsidR="00000000" w:rsidRPr="00000000">
        <w:rPr>
          <w:b w:val="1"/>
          <w:rtl w:val="0"/>
        </w:rPr>
        <w:t xml:space="preserve">Determining the gain/loss</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As mentioned above, an important part to consider is also whether the party disposing of assets is whether they have made a gain or a loss and what will be recorded on disposing party’s books.</w:t>
      </w:r>
    </w:p>
    <w:p w:rsidR="00000000" w:rsidDel="00000000" w:rsidP="00000000" w:rsidRDefault="00000000" w:rsidRPr="00000000" w14:paraId="0000001E">
      <w:pPr>
        <w:spacing w:after="240" w:before="240" w:lineRule="auto"/>
        <w:rPr/>
      </w:pPr>
      <w:r w:rsidDel="00000000" w:rsidR="00000000" w:rsidRPr="00000000">
        <w:rPr>
          <w:rtl w:val="0"/>
        </w:rPr>
        <w:t xml:space="preserve">This will be determined once the transaction price is known by 1 August 2024. </w:t>
      </w:r>
    </w:p>
    <w:p w:rsidR="00000000" w:rsidDel="00000000" w:rsidP="00000000" w:rsidRDefault="00000000" w:rsidRPr="00000000" w14:paraId="0000001F">
      <w:pPr>
        <w:spacing w:after="240" w:before="240" w:lineRule="auto"/>
        <w:rPr/>
      </w:pPr>
      <w:r w:rsidDel="00000000" w:rsidR="00000000" w:rsidRPr="00000000">
        <w:rPr>
          <w:rtl w:val="0"/>
        </w:rPr>
        <w:t xml:space="preserve">As the AB’s primary activity is trading cryptocurrency, the loss shall be recognised as an operating loss.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Written contract of disposal</w:t>
      </w:r>
    </w:p>
    <w:p w:rsidR="00000000" w:rsidDel="00000000" w:rsidP="00000000" w:rsidRDefault="00000000" w:rsidRPr="00000000" w14:paraId="00000021">
      <w:pPr>
        <w:spacing w:after="240" w:before="240" w:lineRule="auto"/>
        <w:rPr/>
      </w:pPr>
      <w:r w:rsidDel="00000000" w:rsidR="00000000" w:rsidRPr="00000000">
        <w:rPr>
          <w:rtl w:val="0"/>
        </w:rPr>
        <w:t xml:space="preserve">In order to address the question whether there needs to be a written contract prepared to comply with UK law, we need to first understand what can be understood as a contract in a crypto transaction.</w:t>
      </w:r>
    </w:p>
    <w:p w:rsidR="00000000" w:rsidDel="00000000" w:rsidP="00000000" w:rsidRDefault="00000000" w:rsidRPr="00000000" w14:paraId="00000022">
      <w:pPr>
        <w:spacing w:after="240" w:before="240" w:lineRule="auto"/>
        <w:rPr/>
      </w:pPr>
      <w:r w:rsidDel="00000000" w:rsidR="00000000" w:rsidRPr="00000000">
        <w:rPr>
          <w:rtl w:val="0"/>
        </w:rPr>
        <w:t xml:space="preserve">CM provides guidance within </w:t>
      </w:r>
      <w:r w:rsidDel="00000000" w:rsidR="00000000" w:rsidRPr="00000000">
        <w:rPr>
          <w:rtl w:val="0"/>
        </w:rPr>
        <w:t xml:space="preserve">CRYPTO41260. The section says that: </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i w:val="1"/>
          <w:rtl w:val="0"/>
        </w:rPr>
        <w:t xml:space="preserve">“</w:t>
      </w:r>
      <w:r w:rsidDel="00000000" w:rsidR="00000000" w:rsidRPr="00000000">
        <w:rPr>
          <w:i w:val="1"/>
          <w:rtl w:val="0"/>
        </w:rPr>
        <w:t xml:space="preserve">Tokens cannot simply be transferred from the distributed ledger for one cryptoasset to the distributed ledger for a different cryptoasset. For example, bitcoin cannot exist on the Ethereum blockchain. An effect comparable to a ‘swap’ can be achieved using a smart contract and secure public address. The holder of the tokens uses a smart contract to transfer tokens to a public address that they don’t control. An equivalent amount of tokens of the second cryptoasset are transferred from a secure public address to a public address controlled by the person.”</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Given the fact pattern that the client wants to swap ETH for Tether, this can be done using a smart contract. </w:t>
      </w:r>
    </w:p>
    <w:p w:rsidR="00000000" w:rsidDel="00000000" w:rsidP="00000000" w:rsidRDefault="00000000" w:rsidRPr="00000000" w14:paraId="00000026">
      <w:pPr>
        <w:spacing w:after="240" w:before="240" w:lineRule="auto"/>
        <w:rPr/>
      </w:pPr>
      <w:r w:rsidDel="00000000" w:rsidR="00000000" w:rsidRPr="00000000">
        <w:rPr>
          <w:rtl w:val="0"/>
        </w:rPr>
        <w:t xml:space="preserve">This is permitted by a document called “</w:t>
      </w:r>
      <w:hyperlink r:id="rId7">
        <w:r w:rsidDel="00000000" w:rsidR="00000000" w:rsidRPr="00000000">
          <w:rPr>
            <w:color w:val="1155cc"/>
            <w:u w:val="single"/>
            <w:rtl w:val="0"/>
          </w:rPr>
          <w:t xml:space="preserve">Legal statement on cryptoassets and smart contracts</w:t>
        </w:r>
      </w:hyperlink>
      <w:r w:rsidDel="00000000" w:rsidR="00000000" w:rsidRPr="00000000">
        <w:rPr>
          <w:rtl w:val="0"/>
        </w:rPr>
        <w:t xml:space="preserve">” (“Legal Statement”) published by UK Jurisdiction Taskforce (UKJT) which allows traditional contracts to be replaced by smart contracts if it is enabled by the protocol. Although Legal Statement is not formally a part of UK Law, it is “providing a foundation for the responsible future utilisation of cryptoassets and smart contracts” (as per Foreword of the Legal Statement prepared by Sir Geoffrey Vos, Chancellor of the High Court). </w:t>
      </w:r>
    </w:p>
    <w:p w:rsidR="00000000" w:rsidDel="00000000" w:rsidP="00000000" w:rsidRDefault="00000000" w:rsidRPr="00000000" w14:paraId="00000027">
      <w:pPr>
        <w:spacing w:after="240" w:before="240" w:lineRule="auto"/>
        <w:rPr/>
      </w:pPr>
      <w:r w:rsidDel="00000000" w:rsidR="00000000" w:rsidRPr="00000000">
        <w:rPr>
          <w:rtl w:val="0"/>
        </w:rPr>
        <w:t xml:space="preserve">Sections 18 and 19 of the Legal Statement describe the weight of a smart contract and make a comparison to traditional contract.</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“18. There is a contract in English law when two or more parties have reached an agreement, intend to create a legal relationship by doing so, and have each given something of benefit. A smart contract is capable of satisfying those requirements just as well as a more traditional or natural language contract, and </w:t>
      </w:r>
      <w:r w:rsidDel="00000000" w:rsidR="00000000" w:rsidRPr="00000000">
        <w:rPr>
          <w:b w:val="1"/>
          <w:i w:val="1"/>
          <w:rtl w:val="0"/>
        </w:rPr>
        <w:t xml:space="preserve">a smart contract is therefore capable of having contractual force</w:t>
      </w:r>
      <w:r w:rsidDel="00000000" w:rsidR="00000000" w:rsidRPr="00000000">
        <w:rPr>
          <w:i w:val="1"/>
          <w:rtl w:val="0"/>
        </w:rPr>
        <w:t xml:space="preserve">. Whether the requirements are in fact met in any given case will depend on the parties’ words and conduct, just as it does with any other contract.</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19. The parties’ contractual obligations may be defined by computer code (in which case there may be little room for “interpretation” in the traditional sense) or the code may merely implement an agreement whose meaning is to be found elsewhere (in which case the code is unimportant from the perspective of defining the agreement). Either way, however, in principle a smart contract can be identified, interpreted and enforced using ordinary and well-established legal principles.”</w:t>
      </w:r>
    </w:p>
    <w:p w:rsidR="00000000" w:rsidDel="00000000" w:rsidP="00000000" w:rsidRDefault="00000000" w:rsidRPr="00000000" w14:paraId="0000002A">
      <w:pPr>
        <w:spacing w:after="240" w:before="240" w:lineRule="auto"/>
        <w:rPr/>
      </w:pPr>
      <w:commentRangeStart w:id="1"/>
      <w:r w:rsidDel="00000000" w:rsidR="00000000" w:rsidRPr="00000000">
        <w:rPr>
          <w:rtl w:val="0"/>
        </w:rPr>
        <w:t xml:space="preserve">Given the above it can be concluded that since the terms of the transaction are defined and confirmed  in the smart contract, there is no need for an additional traditional contract between the parties.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0" w:before="520" w:line="315.7896" w:lineRule="auto"/>
        <w:rPr>
          <w:b w:val="1"/>
          <w:color w:val="0b0c0c"/>
          <w:sz w:val="26"/>
          <w:szCs w:val="26"/>
        </w:rPr>
      </w:pPr>
      <w:bookmarkStart w:colFirst="0" w:colLast="0" w:name="_qfgzvaoyoxlu" w:id="0"/>
      <w:bookmarkEnd w:id="0"/>
      <w:r w:rsidDel="00000000" w:rsidR="00000000" w:rsidRPr="00000000">
        <w:rPr>
          <w:b w:val="1"/>
          <w:color w:val="000000"/>
          <w:sz w:val="22"/>
          <w:szCs w:val="22"/>
          <w:rtl w:val="0"/>
        </w:rPr>
        <w:t xml:space="preserve">One-way transfers</w:t>
      </w:r>
      <w:r w:rsidDel="00000000" w:rsidR="00000000" w:rsidRPr="00000000">
        <w:rPr>
          <w:rtl w:val="0"/>
        </w:rPr>
      </w:r>
    </w:p>
    <w:p w:rsidR="00000000" w:rsidDel="00000000" w:rsidP="00000000" w:rsidRDefault="00000000" w:rsidRPr="00000000" w14:paraId="0000002C">
      <w:pPr>
        <w:shd w:fill="ffffff" w:val="clear"/>
        <w:spacing w:after="300" w:before="300" w:line="315.7896" w:lineRule="auto"/>
        <w:rPr>
          <w:color w:val="0b0c0c"/>
        </w:rPr>
      </w:pPr>
      <w:r w:rsidDel="00000000" w:rsidR="00000000" w:rsidRPr="00000000">
        <w:rPr>
          <w:color w:val="0b0c0c"/>
          <w:rtl w:val="0"/>
        </w:rPr>
        <w:t xml:space="preserve">It is also important to note that some</w:t>
      </w:r>
      <w:r w:rsidDel="00000000" w:rsidR="00000000" w:rsidRPr="00000000">
        <w:rPr>
          <w:color w:val="0b0c0c"/>
          <w:rtl w:val="0"/>
        </w:rPr>
        <w:t xml:space="preserve"> transfers can only go in one direction, meaning that once the transfer has been made it cannot be undone or transferred back at a future date.</w:t>
      </w:r>
    </w:p>
    <w:p w:rsidR="00000000" w:rsidDel="00000000" w:rsidP="00000000" w:rsidRDefault="00000000" w:rsidRPr="00000000" w14:paraId="0000002D">
      <w:pPr>
        <w:shd w:fill="ffffff" w:val="clear"/>
        <w:spacing w:after="300" w:before="300" w:line="315.7896" w:lineRule="auto"/>
        <w:rPr>
          <w:color w:val="0b0c0c"/>
        </w:rPr>
      </w:pPr>
      <w:r w:rsidDel="00000000" w:rsidR="00000000" w:rsidRPr="00000000">
        <w:rPr>
          <w:color w:val="0b0c0c"/>
          <w:rtl w:val="0"/>
        </w:rPr>
        <w:t xml:space="preserve">CM describes in </w:t>
      </w:r>
      <w:r w:rsidDel="00000000" w:rsidR="00000000" w:rsidRPr="00000000">
        <w:rPr>
          <w:rtl w:val="0"/>
        </w:rPr>
        <w:t xml:space="preserve">CRYPTO41260 </w:t>
      </w:r>
      <w:r w:rsidDel="00000000" w:rsidR="00000000" w:rsidRPr="00000000">
        <w:rPr>
          <w:color w:val="0b0c0c"/>
          <w:rtl w:val="0"/>
        </w:rPr>
        <w:t xml:space="preserve">an example of such situation in case of ETH transactions: </w:t>
      </w:r>
    </w:p>
    <w:p w:rsidR="00000000" w:rsidDel="00000000" w:rsidP="00000000" w:rsidRDefault="00000000" w:rsidRPr="00000000" w14:paraId="0000002E">
      <w:pPr>
        <w:shd w:fill="ffffff" w:val="clear"/>
        <w:spacing w:after="300" w:before="300" w:line="315.7896" w:lineRule="auto"/>
        <w:rPr>
          <w:i w:val="1"/>
        </w:rPr>
      </w:pPr>
      <w:r w:rsidDel="00000000" w:rsidR="00000000" w:rsidRPr="00000000">
        <w:rPr>
          <w:i w:val="1"/>
          <w:rtl w:val="0"/>
        </w:rPr>
        <w:t xml:space="preserve">“An example of this can be seen with the Ethereum blockchain. Currently ether are on the Ethereum ‘mainnet’ (short for main network, the main public Ethereum blockchain). Holders of ether can choose to transfer their tokens from the mainnet to a different blockchain called the ‘Beacon Chain’. The Beacon Chain blockchain is where Ethereum’s ‘Proof of Stake’ will be implemented (for more information on Proof of Stake see CRYPTO10300, </w:t>
      </w:r>
      <w:hyperlink r:id="rId8">
        <w:r w:rsidDel="00000000" w:rsidR="00000000" w:rsidRPr="00000000">
          <w:rPr>
            <w:i w:val="1"/>
            <w:rtl w:val="0"/>
          </w:rPr>
          <w:t xml:space="preserve">/manual/cryptoassets-manual/crypto10300</w:t>
        </w:r>
      </w:hyperlink>
      <w:r w:rsidDel="00000000" w:rsidR="00000000" w:rsidRPr="00000000">
        <w:rPr>
          <w:i w:val="1"/>
          <w:rtl w:val="0"/>
        </w:rPr>
        <w:t xml:space="preserve">). It will be impossible to transfer ether from the Beacon Chain to the mainnet, making transfers a one-way process only.”</w:t>
      </w:r>
    </w:p>
    <w:p w:rsidR="00000000" w:rsidDel="00000000" w:rsidP="00000000" w:rsidRDefault="00000000" w:rsidRPr="00000000" w14:paraId="0000002F">
      <w:pPr>
        <w:shd w:fill="ffffff" w:val="clear"/>
        <w:spacing w:after="300" w:before="300" w:line="315.7896" w:lineRule="auto"/>
        <w:rPr/>
      </w:pPr>
      <w:r w:rsidDel="00000000" w:rsidR="00000000" w:rsidRPr="00000000">
        <w:rPr>
          <w:rtl w:val="0"/>
        </w:rPr>
        <w:t xml:space="preserve">Given that the client is considering a disposal of ETH, it is something worth remembering that given the technical capabilities of the network, the transaction cannot be reversed.</w:t>
      </w:r>
    </w:p>
    <w:p w:rsidR="00000000" w:rsidDel="00000000" w:rsidP="00000000" w:rsidRDefault="00000000" w:rsidRPr="00000000" w14:paraId="00000030">
      <w:pPr>
        <w:shd w:fill="ffffff" w:val="clear"/>
        <w:spacing w:after="300" w:before="300" w:line="315.7896" w:lineRule="auto"/>
        <w:rPr>
          <w:i w:val="1"/>
        </w:rPr>
      </w:pPr>
      <w:r w:rsidDel="00000000" w:rsidR="00000000" w:rsidRPr="00000000">
        <w:rPr>
          <w:rtl w:val="0"/>
        </w:rPr>
      </w:r>
    </w:p>
    <w:p w:rsidR="00000000" w:rsidDel="00000000" w:rsidP="00000000" w:rsidRDefault="00000000" w:rsidRPr="00000000" w14:paraId="00000031">
      <w:pPr>
        <w:shd w:fill="ffffff" w:val="clear"/>
        <w:spacing w:after="300" w:before="300" w:line="315.7896" w:lineRule="auto"/>
        <w:rPr>
          <w:i w:val="1"/>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zanna Szubartowska" w:id="1" w:date="2024-06-29T21:31:01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the case, that is my understanding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total reaction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 Boemer reacted with 👍 at 2024-06-29 23:46 pm</w:t>
      </w:r>
    </w:p>
  </w:comment>
  <w:comment w:author="Zuzanna Szubartowska" w:id="0" w:date="2024-06-29T20:18:49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@boemer00@gmail.com my natural instinct here as an advisor would be whether their priority is to complete the transaction by the desired deadline (i.e. so it happens in a specific quarter) or whether the priority is that it is under certain exchange rate (then they would make an order when the exchange rate hits a certain threshold, but time is not really valid). I am not sure how to pass this as an input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total reaction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 Boemer reacted with 👍 at 2024-06-29 23:46 pm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boemer00@gmail.com_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lockchain4europe.eu/wp-content/uploads/2021/05/6.6056_JO_Cryptocurrencies_Statement_FINAL_WEB_111119-1.pdf" TargetMode="External"/><Relationship Id="rId8" Type="http://schemas.openxmlformats.org/officeDocument/2006/relationships/hyperlink" Target="https://www.gov.uk/hmrc-internal-manuals/cryptoassets-manual/crypto10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