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030a0"/>
        </w:rPr>
      </w:pPr>
      <w:r w:rsidDel="00000000" w:rsidR="00000000" w:rsidRPr="00000000">
        <w:rPr>
          <w:rtl w:val="0"/>
        </w:rPr>
        <w:t xml:space="preserve">AC11</w:t>
      </w:r>
      <w:r w:rsidDel="00000000" w:rsidR="00000000" w:rsidRPr="00000000">
        <w:rPr>
          <w:color w:val="7030a0"/>
          <w:rtl w:val="0"/>
        </w:rPr>
        <w:t xml:space="preserve">.02 Comprendre l’architecture et les fondements des systèmes numériques, les principes du codage de l’information, des communications et de l’Internet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030a0"/>
        </w:rPr>
      </w:pPr>
      <w:r w:rsidDel="00000000" w:rsidR="00000000" w:rsidRPr="00000000">
        <w:rPr>
          <w:color w:val="7030a0"/>
        </w:rPr>
        <w:drawing>
          <wp:inline distB="114300" distT="114300" distL="114300" distR="114300">
            <wp:extent cx="57312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