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df" ContentType="application/pdf"/>
  <Override PartName="/word/media/rId28.pdf" ContentType="application/pdf"/>
  <Override PartName="/word/media/rId33.pdf" ContentType="application/pdf"/>
  <Override PartName="/word/media/rId32.pdf" ContentType="application/pdf"/>
  <Override PartName="/word/media/rId22.png" ContentType="image/png"/>
  <Override PartName="/word/media/rId37.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Tipping</w:t>
      </w:r>
      <w:r>
        <w:t xml:space="preserve"> </w:t>
      </w:r>
      <w:r>
        <w:t xml:space="preserve">points</w:t>
      </w:r>
      <w:r>
        <w:t xml:space="preserve"> </w:t>
      </w:r>
      <w:r>
        <w:t xml:space="preserve">in</w:t>
      </w:r>
      <w:r>
        <w:t xml:space="preserve"> </w:t>
      </w:r>
      <w:r>
        <w:t xml:space="preserve">diversified</w:t>
      </w:r>
      <w:r>
        <w:t xml:space="preserve"> </w:t>
      </w:r>
      <w:r>
        <w:t xml:space="preserve">farming</w:t>
      </w:r>
      <w:r>
        <w:t xml:space="preserve"> </w:t>
      </w:r>
      <w:r>
        <w:t xml:space="preserve">systems</w:t>
      </w:r>
    </w:p>
    <w:p>
      <w:pPr>
        <w:pStyle w:val="Date"/>
      </w:pPr>
      <w:r>
        <w:t xml:space="preserve">2022-01-25</w:t>
      </w:r>
    </w:p>
    <w:p>
      <w:pPr>
        <w:pStyle w:val="Abstract"/>
      </w:pPr>
      <w:r>
        <w:t xml:space="preserve">The</w:t>
      </w:r>
      <w:r>
        <w:t xml:space="preserve"> </w:t>
      </w:r>
      <w:r>
        <w:t xml:space="preserve">emergence</w:t>
      </w:r>
      <w:r>
        <w:t xml:space="preserve"> </w:t>
      </w:r>
      <w:r>
        <w:t xml:space="preserve">and</w:t>
      </w:r>
      <w:r>
        <w:t xml:space="preserve"> </w:t>
      </w:r>
      <w:r>
        <w:t xml:space="preserve">impact</w:t>
      </w:r>
      <w:r>
        <w:t xml:space="preserve"> </w:t>
      </w:r>
      <w:r>
        <w:t xml:space="preserve">of</w:t>
      </w:r>
      <w:r>
        <w:t xml:space="preserve"> </w:t>
      </w:r>
      <w:r>
        <w:t xml:space="preserve">tipping</w:t>
      </w:r>
      <w:r>
        <w:t xml:space="preserve"> </w:t>
      </w:r>
      <w:r>
        <w:t xml:space="preserve">points</w:t>
      </w:r>
      <w:r>
        <w:t xml:space="preserve"> </w:t>
      </w:r>
      <w:r>
        <w:t xml:space="preserve">have</w:t>
      </w:r>
      <w:r>
        <w:t xml:space="preserve"> </w:t>
      </w:r>
      <w:r>
        <w:t xml:space="preserve">garnered</w:t>
      </w:r>
      <w:r>
        <w:t xml:space="preserve"> </w:t>
      </w:r>
      <w:r>
        <w:t xml:space="preserve">significant</w:t>
      </w:r>
      <w:r>
        <w:t xml:space="preserve"> </w:t>
      </w:r>
      <w:r>
        <w:t xml:space="preserve">interest</w:t>
      </w:r>
      <w:r>
        <w:t xml:space="preserve"> </w:t>
      </w:r>
      <w:r>
        <w:t xml:space="preserve">in</w:t>
      </w:r>
      <w:r>
        <w:t xml:space="preserve"> </w:t>
      </w:r>
      <w:r>
        <w:t xml:space="preserve">both</w:t>
      </w:r>
      <w:r>
        <w:t xml:space="preserve"> </w:t>
      </w:r>
      <w:r>
        <w:t xml:space="preserve">the</w:t>
      </w:r>
      <w:r>
        <w:t xml:space="preserve"> </w:t>
      </w:r>
      <w:r>
        <w:t xml:space="preserve">social</w:t>
      </w:r>
      <w:r>
        <w:t xml:space="preserve"> </w:t>
      </w:r>
      <w:r>
        <w:t xml:space="preserve">and</w:t>
      </w:r>
      <w:r>
        <w:t xml:space="preserve"> </w:t>
      </w:r>
      <w:r>
        <w:t xml:space="preserve">natural</w:t>
      </w:r>
      <w:r>
        <w:t xml:space="preserve"> </w:t>
      </w:r>
      <w:r>
        <w:t xml:space="preserve">sciences.</w:t>
      </w:r>
      <w:r>
        <w:t xml:space="preserve"> </w:t>
      </w:r>
      <w:r>
        <w:t xml:space="preserve">Despite</w:t>
      </w:r>
      <w:r>
        <w:t xml:space="preserve"> </w:t>
      </w:r>
      <w:r>
        <w:t xml:space="preserve">widespread</w:t>
      </w:r>
      <w:r>
        <w:t xml:space="preserve"> </w:t>
      </w:r>
      <w:r>
        <w:t xml:space="preserve">recognition</w:t>
      </w:r>
      <w:r>
        <w:t xml:space="preserve"> </w:t>
      </w:r>
      <w:r>
        <w:t xml:space="preserve">of</w:t>
      </w:r>
      <w:r>
        <w:t xml:space="preserve"> </w:t>
      </w:r>
      <w:r>
        <w:t xml:space="preserve">the</w:t>
      </w:r>
      <w:r>
        <w:t xml:space="preserve"> </w:t>
      </w:r>
      <w:r>
        <w:t xml:space="preserve">importance</w:t>
      </w:r>
      <w:r>
        <w:t xml:space="preserve"> </w:t>
      </w:r>
      <w:r>
        <w:t xml:space="preserve">of</w:t>
      </w:r>
      <w:r>
        <w:t xml:space="preserve"> </w:t>
      </w:r>
      <w:r>
        <w:t xml:space="preserve">feedbacks</w:t>
      </w:r>
      <w:r>
        <w:t xml:space="preserve"> </w:t>
      </w:r>
      <w:r>
        <w:t xml:space="preserve">between</w:t>
      </w:r>
      <w:r>
        <w:t xml:space="preserve"> </w:t>
      </w:r>
      <w:r>
        <w:t xml:space="preserve">human</w:t>
      </w:r>
      <w:r>
        <w:t xml:space="preserve"> </w:t>
      </w:r>
      <w:r>
        <w:t xml:space="preserve">and</w:t>
      </w:r>
      <w:r>
        <w:t xml:space="preserve"> </w:t>
      </w:r>
      <w:r>
        <w:t xml:space="preserve">environmental</w:t>
      </w:r>
      <w:r>
        <w:t xml:space="preserve"> </w:t>
      </w:r>
      <w:r>
        <w:t xml:space="preserve">systems,</w:t>
      </w:r>
      <w:r>
        <w:t xml:space="preserve"> </w:t>
      </w:r>
      <w:r>
        <w:t xml:space="preserve">it</w:t>
      </w:r>
      <w:r>
        <w:t xml:space="preserve"> </w:t>
      </w:r>
      <w:r>
        <w:t xml:space="preserve">is</w:t>
      </w:r>
      <w:r>
        <w:t xml:space="preserve"> </w:t>
      </w:r>
      <w:r>
        <w:t xml:space="preserve">often</w:t>
      </w:r>
      <w:r>
        <w:t xml:space="preserve"> </w:t>
      </w:r>
      <w:r>
        <w:t xml:space="preserve">assumed</w:t>
      </w:r>
      <w:r>
        <w:t xml:space="preserve"> </w:t>
      </w:r>
      <w:r>
        <w:t xml:space="preserve">that</w:t>
      </w:r>
      <w:r>
        <w:t xml:space="preserve"> </w:t>
      </w:r>
      <w:r>
        <w:t xml:space="preserve">tipping</w:t>
      </w:r>
      <w:r>
        <w:t xml:space="preserve"> </w:t>
      </w:r>
      <w:r>
        <w:t xml:space="preserve">points</w:t>
      </w:r>
      <w:r>
        <w:t xml:space="preserve"> </w:t>
      </w:r>
      <w:r>
        <w:t xml:space="preserve">in</w:t>
      </w:r>
      <w:r>
        <w:t xml:space="preserve"> </w:t>
      </w:r>
      <w:r>
        <w:t xml:space="preserve">coupled</w:t>
      </w:r>
      <w:r>
        <w:t xml:space="preserve"> </w:t>
      </w:r>
      <w:r>
        <w:t xml:space="preserve">social-ecological</w:t>
      </w:r>
      <w:r>
        <w:t xml:space="preserve"> </w:t>
      </w:r>
      <w:r>
        <w:t xml:space="preserve">systems</w:t>
      </w:r>
      <w:r>
        <w:t xml:space="preserve"> </w:t>
      </w:r>
      <w:r>
        <w:t xml:space="preserve">result</w:t>
      </w:r>
      <w:r>
        <w:t xml:space="preserve"> </w:t>
      </w:r>
      <w:r>
        <w:t xml:space="preserve">from</w:t>
      </w:r>
      <w:r>
        <w:t xml:space="preserve"> </w:t>
      </w:r>
      <w:r>
        <w:t xml:space="preserve">dynamics</w:t>
      </w:r>
      <w:r>
        <w:t xml:space="preserve"> </w:t>
      </w:r>
      <w:r>
        <w:t xml:space="preserve">in</w:t>
      </w:r>
      <w:r>
        <w:t xml:space="preserve"> </w:t>
      </w:r>
      <w:r>
        <w:t xml:space="preserve">either</w:t>
      </w:r>
      <w:r>
        <w:t xml:space="preserve"> </w:t>
      </w:r>
      <w:r>
        <w:t xml:space="preserve">the</w:t>
      </w:r>
      <w:r>
        <w:t xml:space="preserve"> </w:t>
      </w:r>
      <w:r>
        <w:t xml:space="preserve">underlying</w:t>
      </w:r>
      <w:r>
        <w:t xml:space="preserve"> </w:t>
      </w:r>
      <w:r>
        <w:t xml:space="preserve">human</w:t>
      </w:r>
      <w:r>
        <w:t xml:space="preserve"> </w:t>
      </w:r>
      <w:r>
        <w:t xml:space="preserve">or</w:t>
      </w:r>
      <w:r>
        <w:t xml:space="preserve"> </w:t>
      </w:r>
      <w:r>
        <w:t xml:space="preserve">environmental</w:t>
      </w:r>
      <w:r>
        <w:t xml:space="preserve"> </w:t>
      </w:r>
      <w:r>
        <w:t xml:space="preserve">processes</w:t>
      </w:r>
      <w:r>
        <w:t xml:space="preserve"> </w:t>
      </w:r>
      <w:r>
        <w:t xml:space="preserve">rather</w:t>
      </w:r>
      <w:r>
        <w:t xml:space="preserve"> </w:t>
      </w:r>
      <w:r>
        <w:t xml:space="preserve">than</w:t>
      </w:r>
      <w:r>
        <w:t xml:space="preserve"> </w:t>
      </w:r>
      <w:r>
        <w:t xml:space="preserve">their</w:t>
      </w:r>
      <w:r>
        <w:t xml:space="preserve"> </w:t>
      </w:r>
      <w:r>
        <w:t xml:space="preserve">temporal</w:t>
      </w:r>
      <w:r>
        <w:t xml:space="preserve"> </w:t>
      </w:r>
      <w:r>
        <w:t xml:space="preserve">interactions.</w:t>
      </w:r>
      <w:r>
        <w:t xml:space="preserve"> </w:t>
      </w:r>
      <w:r>
        <w:t xml:space="preserve">Using</w:t>
      </w:r>
      <w:r>
        <w:t xml:space="preserve"> </w:t>
      </w:r>
      <w:r>
        <w:t xml:space="preserve">the</w:t>
      </w:r>
      <w:r>
        <w:t xml:space="preserve"> </w:t>
      </w:r>
      <w:r>
        <w:t xml:space="preserve">adoption</w:t>
      </w:r>
      <w:r>
        <w:t xml:space="preserve"> </w:t>
      </w:r>
      <w:r>
        <w:t xml:space="preserve">of</w:t>
      </w:r>
      <w:r>
        <w:t xml:space="preserve"> </w:t>
      </w:r>
      <w:r>
        <w:t xml:space="preserve">diversified</w:t>
      </w:r>
      <w:r>
        <w:t xml:space="preserve"> </w:t>
      </w:r>
      <w:r>
        <w:t xml:space="preserve">farming</w:t>
      </w:r>
      <w:r>
        <w:t xml:space="preserve"> </w:t>
      </w:r>
      <w:r>
        <w:t xml:space="preserve">practices</w:t>
      </w:r>
      <w:r>
        <w:t xml:space="preserve"> </w:t>
      </w:r>
      <w:r>
        <w:t xml:space="preserve">(which</w:t>
      </w:r>
      <w:r>
        <w:t xml:space="preserve"> </w:t>
      </w:r>
      <w:r>
        <w:t xml:space="preserve">promote</w:t>
      </w:r>
      <w:r>
        <w:t xml:space="preserve"> </w:t>
      </w:r>
      <w:r>
        <w:t xml:space="preserve">biodiversity</w:t>
      </w:r>
      <w:r>
        <w:t xml:space="preserve"> </w:t>
      </w:r>
      <w:r>
        <w:t xml:space="preserve">and</w:t>
      </w:r>
      <w:r>
        <w:t xml:space="preserve"> </w:t>
      </w:r>
      <w:r>
        <w:t xml:space="preserve">corresponding</w:t>
      </w:r>
      <w:r>
        <w:t xml:space="preserve"> </w:t>
      </w:r>
      <w:r>
        <w:t xml:space="preserve">ecosystem</w:t>
      </w:r>
      <w:r>
        <w:t xml:space="preserve"> </w:t>
      </w:r>
      <w:r>
        <w:t xml:space="preserve">services)</w:t>
      </w:r>
      <w:r>
        <w:t xml:space="preserve"> </w:t>
      </w:r>
      <w:r>
        <w:t xml:space="preserve">as</w:t>
      </w:r>
      <w:r>
        <w:t xml:space="preserve"> </w:t>
      </w:r>
      <w:r>
        <w:t xml:space="preserve">a</w:t>
      </w:r>
      <w:r>
        <w:t xml:space="preserve"> </w:t>
      </w:r>
      <w:r>
        <w:t xml:space="preserve">case</w:t>
      </w:r>
      <w:r>
        <w:t xml:space="preserve"> </w:t>
      </w:r>
      <w:r>
        <w:t xml:space="preserve">study,</w:t>
      </w:r>
      <w:r>
        <w:t xml:space="preserve"> </w:t>
      </w:r>
      <w:r>
        <w:t xml:space="preserve">we</w:t>
      </w:r>
      <w:r>
        <w:t xml:space="preserve"> </w:t>
      </w:r>
      <w:r>
        <w:t xml:space="preserve">show</w:t>
      </w:r>
      <w:r>
        <w:t xml:space="preserve"> </w:t>
      </w:r>
      <w:r>
        <w:t xml:space="preserve">how</w:t>
      </w:r>
      <w:r>
        <w:t xml:space="preserve"> </w:t>
      </w:r>
      <w:r>
        <w:t xml:space="preserve">multiple</w:t>
      </w:r>
      <w:r>
        <w:t xml:space="preserve"> </w:t>
      </w:r>
      <w:r>
        <w:t xml:space="preserve">stable</w:t>
      </w:r>
      <w:r>
        <w:t xml:space="preserve"> </w:t>
      </w:r>
      <w:r>
        <w:t xml:space="preserve">management</w:t>
      </w:r>
      <w:r>
        <w:t xml:space="preserve"> </w:t>
      </w:r>
      <w:r>
        <w:t xml:space="preserve">paradigms</w:t>
      </w:r>
      <w:r>
        <w:t xml:space="preserve"> </w:t>
      </w:r>
      <w:r>
        <w:t xml:space="preserve">can</w:t>
      </w:r>
      <w:r>
        <w:t xml:space="preserve"> </w:t>
      </w:r>
      <w:r>
        <w:t xml:space="preserve">emerge</w:t>
      </w:r>
      <w:r>
        <w:t xml:space="preserve"> </w:t>
      </w:r>
      <w:r>
        <w:t xml:space="preserve">purely</w:t>
      </w:r>
      <w:r>
        <w:t xml:space="preserve"> </w:t>
      </w:r>
      <w:r>
        <w:t xml:space="preserve">from</w:t>
      </w:r>
      <w:r>
        <w:t xml:space="preserve"> </w:t>
      </w:r>
      <w:r>
        <w:t xml:space="preserve">the</w:t>
      </w:r>
      <w:r>
        <w:t xml:space="preserve"> </w:t>
      </w:r>
      <w:r>
        <w:t xml:space="preserve">temporal</w:t>
      </w:r>
      <w:r>
        <w:t xml:space="preserve"> </w:t>
      </w:r>
      <w:r>
        <w:t xml:space="preserve">feedbacks</w:t>
      </w:r>
      <w:r>
        <w:t xml:space="preserve"> </w:t>
      </w:r>
      <w:r>
        <w:t xml:space="preserve">between</w:t>
      </w:r>
      <w:r>
        <w:t xml:space="preserve"> </w:t>
      </w:r>
      <w:r>
        <w:t xml:space="preserve">human</w:t>
      </w:r>
      <w:r>
        <w:t xml:space="preserve"> </w:t>
      </w:r>
      <w:r>
        <w:t xml:space="preserve">decisions</w:t>
      </w:r>
      <w:r>
        <w:t xml:space="preserve"> </w:t>
      </w:r>
      <w:r>
        <w:t xml:space="preserve">and</w:t>
      </w:r>
      <w:r>
        <w:t xml:space="preserve"> </w:t>
      </w:r>
      <w:r>
        <w:t xml:space="preserve">ecological</w:t>
      </w:r>
      <w:r>
        <w:t xml:space="preserve"> </w:t>
      </w:r>
      <w:r>
        <w:t xml:space="preserve">responses.</w:t>
      </w:r>
      <w:r>
        <w:t xml:space="preserve"> </w:t>
      </w:r>
      <w:r>
        <w:t xml:space="preserve">Our</w:t>
      </w:r>
      <w:r>
        <w:t xml:space="preserve"> </w:t>
      </w:r>
      <w:r>
        <w:t xml:space="preserve">approach</w:t>
      </w:r>
      <w:r>
        <w:t xml:space="preserve"> </w:t>
      </w:r>
      <w:r>
        <w:t xml:space="preserve">to</w:t>
      </w:r>
      <w:r>
        <w:t xml:space="preserve"> </w:t>
      </w:r>
      <w:r>
        <w:t xml:space="preserve">coupling</w:t>
      </w:r>
      <w:r>
        <w:t xml:space="preserve"> </w:t>
      </w:r>
      <w:r>
        <w:t xml:space="preserve">ecological</w:t>
      </w:r>
      <w:r>
        <w:t xml:space="preserve"> </w:t>
      </w:r>
      <w:r>
        <w:t xml:space="preserve">and</w:t>
      </w:r>
      <w:r>
        <w:t xml:space="preserve"> </w:t>
      </w:r>
      <w:r>
        <w:t xml:space="preserve">human</w:t>
      </w:r>
      <w:r>
        <w:t xml:space="preserve"> </w:t>
      </w:r>
      <w:r>
        <w:t xml:space="preserve">dynamics</w:t>
      </w:r>
      <w:r>
        <w:t xml:space="preserve"> </w:t>
      </w:r>
      <w:r>
        <w:t xml:space="preserve">captures</w:t>
      </w:r>
      <w:r>
        <w:t xml:space="preserve"> </w:t>
      </w:r>
      <w:r>
        <w:t xml:space="preserve">two</w:t>
      </w:r>
      <w:r>
        <w:t xml:space="preserve"> </w:t>
      </w:r>
      <w:r>
        <w:t xml:space="preserve">often</w:t>
      </w:r>
      <w:r>
        <w:t xml:space="preserve"> </w:t>
      </w:r>
      <w:r>
        <w:t xml:space="preserve">overlooked</w:t>
      </w:r>
      <w:r>
        <w:t xml:space="preserve"> </w:t>
      </w:r>
      <w:r>
        <w:t xml:space="preserve">characterizations</w:t>
      </w:r>
      <w:r>
        <w:t xml:space="preserve"> </w:t>
      </w:r>
      <w:r>
        <w:t xml:space="preserve">about</w:t>
      </w:r>
      <w:r>
        <w:t xml:space="preserve"> </w:t>
      </w:r>
      <w:r>
        <w:t xml:space="preserve">their</w:t>
      </w:r>
      <w:r>
        <w:t xml:space="preserve"> </w:t>
      </w:r>
      <w:r>
        <w:t xml:space="preserve">interactions.</w:t>
      </w:r>
      <w:r>
        <w:t xml:space="preserve"> </w:t>
      </w:r>
      <w:r>
        <w:t xml:space="preserve">First,</w:t>
      </w:r>
      <w:r>
        <w:t xml:space="preserve"> </w:t>
      </w:r>
      <w:r>
        <w:t xml:space="preserve">farmers’</w:t>
      </w:r>
      <w:r>
        <w:t xml:space="preserve"> </w:t>
      </w:r>
      <w:r>
        <w:t xml:space="preserve">actions</w:t>
      </w:r>
      <w:r>
        <w:t xml:space="preserve"> </w:t>
      </w:r>
      <w:r>
        <w:t xml:space="preserve">reflect</w:t>
      </w:r>
      <w:r>
        <w:t xml:space="preserve"> </w:t>
      </w:r>
      <w:r>
        <w:t xml:space="preserve">an</w:t>
      </w:r>
      <w:r>
        <w:t xml:space="preserve"> </w:t>
      </w:r>
      <w:r>
        <w:t xml:space="preserve">ability</w:t>
      </w:r>
      <w:r>
        <w:t xml:space="preserve"> </w:t>
      </w:r>
      <w:r>
        <w:t xml:space="preserve">to</w:t>
      </w:r>
      <w:r>
        <w:t xml:space="preserve"> </w:t>
      </w:r>
      <w:r>
        <w:t xml:space="preserve">plan</w:t>
      </w:r>
      <w:r>
        <w:t xml:space="preserve"> </w:t>
      </w:r>
      <w:r>
        <w:t xml:space="preserve">ahead</w:t>
      </w:r>
      <w:r>
        <w:t xml:space="preserve"> </w:t>
      </w:r>
      <w:r>
        <w:t xml:space="preserve">and</w:t>
      </w:r>
      <w:r>
        <w:t xml:space="preserve"> </w:t>
      </w:r>
      <w:r>
        <w:t xml:space="preserve">not</w:t>
      </w:r>
      <w:r>
        <w:t xml:space="preserve"> </w:t>
      </w:r>
      <w:r>
        <w:t xml:space="preserve">just</w:t>
      </w:r>
      <w:r>
        <w:t xml:space="preserve"> </w:t>
      </w:r>
      <w:r>
        <w:t xml:space="preserve">react</w:t>
      </w:r>
      <w:r>
        <w:t xml:space="preserve"> </w:t>
      </w:r>
      <w:r>
        <w:t xml:space="preserve">to</w:t>
      </w:r>
      <w:r>
        <w:t xml:space="preserve"> </w:t>
      </w:r>
      <w:r>
        <w:t xml:space="preserve">current</w:t>
      </w:r>
      <w:r>
        <w:t xml:space="preserve"> </w:t>
      </w:r>
      <w:r>
        <w:t xml:space="preserve">circumstances.</w:t>
      </w:r>
      <w:r>
        <w:t xml:space="preserve"> </w:t>
      </w:r>
      <w:r>
        <w:t xml:space="preserve">Second,</w:t>
      </w:r>
      <w:r>
        <w:t xml:space="preserve"> </w:t>
      </w:r>
      <w:r>
        <w:t xml:space="preserve">many</w:t>
      </w:r>
      <w:r>
        <w:t xml:space="preserve"> </w:t>
      </w:r>
      <w:r>
        <w:t xml:space="preserve">diversified</w:t>
      </w:r>
      <w:r>
        <w:t xml:space="preserve"> </w:t>
      </w:r>
      <w:r>
        <w:t xml:space="preserve">practices</w:t>
      </w:r>
      <w:r>
        <w:t xml:space="preserve"> </w:t>
      </w:r>
      <w:r>
        <w:t xml:space="preserve">provide</w:t>
      </w:r>
      <w:r>
        <w:t xml:space="preserve"> </w:t>
      </w:r>
      <w:r>
        <w:t xml:space="preserve">ecological</w:t>
      </w:r>
      <w:r>
        <w:t xml:space="preserve"> </w:t>
      </w:r>
      <w:r>
        <w:t xml:space="preserve">benefits</w:t>
      </w:r>
      <w:r>
        <w:t xml:space="preserve"> </w:t>
      </w:r>
      <w:r>
        <w:t xml:space="preserve">that</w:t>
      </w:r>
      <w:r>
        <w:t xml:space="preserve"> </w:t>
      </w:r>
      <w:r>
        <w:t xml:space="preserve">only</w:t>
      </w:r>
      <w:r>
        <w:t xml:space="preserve"> </w:t>
      </w:r>
      <w:r>
        <w:t xml:space="preserve">accumulate</w:t>
      </w:r>
      <w:r>
        <w:t xml:space="preserve"> </w:t>
      </w:r>
      <w:r>
        <w:t xml:space="preserve">gradually</w:t>
      </w:r>
      <w:r>
        <w:t xml:space="preserve"> </w:t>
      </w:r>
      <w:r>
        <w:t xml:space="preserve">or</w:t>
      </w:r>
      <w:r>
        <w:t xml:space="preserve"> </w:t>
      </w:r>
      <w:r>
        <w:t xml:space="preserve">after</w:t>
      </w:r>
      <w:r>
        <w:t xml:space="preserve"> </w:t>
      </w:r>
      <w:r>
        <w:t xml:space="preserve">some</w:t>
      </w:r>
      <w:r>
        <w:t xml:space="preserve"> </w:t>
      </w:r>
      <w:r>
        <w:t xml:space="preserve">delay.</w:t>
      </w:r>
      <w:r>
        <w:t xml:space="preserve"> </w:t>
      </w:r>
      <w:r>
        <w:t xml:space="preserve">Previous</w:t>
      </w:r>
      <w:r>
        <w:t xml:space="preserve"> </w:t>
      </w:r>
      <w:r>
        <w:t xml:space="preserve">research</w:t>
      </w:r>
      <w:r>
        <w:t xml:space="preserve"> </w:t>
      </w:r>
      <w:r>
        <w:t xml:space="preserve">tends</w:t>
      </w:r>
      <w:r>
        <w:t xml:space="preserve"> </w:t>
      </w:r>
      <w:r>
        <w:t xml:space="preserve">to</w:t>
      </w:r>
      <w:r>
        <w:t xml:space="preserve"> </w:t>
      </w:r>
      <w:r>
        <w:t xml:space="preserve">ignore</w:t>
      </w:r>
      <w:r>
        <w:t xml:space="preserve"> </w:t>
      </w:r>
      <w:r>
        <w:t xml:space="preserve">either</w:t>
      </w:r>
      <w:r>
        <w:t xml:space="preserve"> </w:t>
      </w:r>
      <w:r>
        <w:t xml:space="preserve">the</w:t>
      </w:r>
      <w:r>
        <w:t xml:space="preserve"> </w:t>
      </w:r>
      <w:r>
        <w:t xml:space="preserve">dynamics</w:t>
      </w:r>
      <w:r>
        <w:t xml:space="preserve"> </w:t>
      </w:r>
      <w:r>
        <w:t xml:space="preserve">of</w:t>
      </w:r>
      <w:r>
        <w:t xml:space="preserve"> </w:t>
      </w:r>
      <w:r>
        <w:t xml:space="preserve">planning</w:t>
      </w:r>
      <w:r>
        <w:t xml:space="preserve"> </w:t>
      </w:r>
      <w:r>
        <w:t xml:space="preserve">ahead</w:t>
      </w:r>
      <w:r>
        <w:t xml:space="preserve"> </w:t>
      </w:r>
      <w:r>
        <w:t xml:space="preserve">(e.g.,</w:t>
      </w:r>
      <w:r>
        <w:t xml:space="preserve"> </w:t>
      </w:r>
      <w:r>
        <w:t xml:space="preserve">most</w:t>
      </w:r>
      <w:r>
        <w:t xml:space="preserve"> </w:t>
      </w:r>
      <w:r>
        <w:t xml:space="preserve">agent-based</w:t>
      </w:r>
      <w:r>
        <w:t xml:space="preserve"> </w:t>
      </w:r>
      <w:r>
        <w:t xml:space="preserve">models)</w:t>
      </w:r>
      <w:r>
        <w:t xml:space="preserve"> </w:t>
      </w:r>
      <w:r>
        <w:t xml:space="preserve">or</w:t>
      </w:r>
      <w:r>
        <w:t xml:space="preserve"> </w:t>
      </w:r>
      <w:r>
        <w:t xml:space="preserve">the</w:t>
      </w:r>
      <w:r>
        <w:t xml:space="preserve"> </w:t>
      </w:r>
      <w:r>
        <w:t xml:space="preserve">slow</w:t>
      </w:r>
      <w:r>
        <w:t xml:space="preserve"> </w:t>
      </w:r>
      <w:r>
        <w:t xml:space="preserve">timescale</w:t>
      </w:r>
      <w:r>
        <w:t xml:space="preserve"> </w:t>
      </w:r>
      <w:r>
        <w:t xml:space="preserve">of</w:t>
      </w:r>
      <w:r>
        <w:t xml:space="preserve"> </w:t>
      </w:r>
      <w:r>
        <w:t xml:space="preserve">ecological</w:t>
      </w:r>
      <w:r>
        <w:t xml:space="preserve"> </w:t>
      </w:r>
      <w:r>
        <w:t xml:space="preserve">benefits</w:t>
      </w:r>
      <w:r>
        <w:t xml:space="preserve"> </w:t>
      </w:r>
      <w:r>
        <w:t xml:space="preserve">(e.g.,</w:t>
      </w:r>
      <w:r>
        <w:t xml:space="preserve"> </w:t>
      </w:r>
      <w:r>
        <w:t xml:space="preserve">macro-economic</w:t>
      </w:r>
      <w:r>
        <w:t xml:space="preserve"> </w:t>
      </w:r>
      <w:r>
        <w:t xml:space="preserve">models).</w:t>
      </w:r>
      <w:r>
        <w:t xml:space="preserve"> </w:t>
      </w:r>
      <w:r>
        <w:t xml:space="preserve">Together,</w:t>
      </w:r>
      <w:r>
        <w:t xml:space="preserve"> </w:t>
      </w:r>
      <w:r>
        <w:t xml:space="preserve">these</w:t>
      </w:r>
      <w:r>
        <w:t xml:space="preserve"> </w:t>
      </w:r>
      <w:r>
        <w:t xml:space="preserve">two</w:t>
      </w:r>
      <w:r>
        <w:t xml:space="preserve"> </w:t>
      </w:r>
      <w:r>
        <w:t xml:space="preserve">features</w:t>
      </w:r>
      <w:r>
        <w:t xml:space="preserve"> </w:t>
      </w:r>
      <w:r>
        <w:t xml:space="preserve">create</w:t>
      </w:r>
      <w:r>
        <w:t xml:space="preserve"> </w:t>
      </w:r>
      <w:r>
        <w:t xml:space="preserve">two</w:t>
      </w:r>
      <w:r>
        <w:t xml:space="preserve"> </w:t>
      </w:r>
      <w:r>
        <w:t xml:space="preserve">stable</w:t>
      </w:r>
      <w:r>
        <w:t xml:space="preserve"> </w:t>
      </w:r>
      <w:r>
        <w:t xml:space="preserve">social-ecological</w:t>
      </w:r>
      <w:r>
        <w:t xml:space="preserve"> </w:t>
      </w:r>
      <w:r>
        <w:t xml:space="preserve">states,</w:t>
      </w:r>
      <w:r>
        <w:t xml:space="preserve"> </w:t>
      </w:r>
      <w:r>
        <w:t xml:space="preserve">one</w:t>
      </w:r>
      <w:r>
        <w:t xml:space="preserve"> </w:t>
      </w:r>
      <w:r>
        <w:t xml:space="preserve">dominated</w:t>
      </w:r>
      <w:r>
        <w:t xml:space="preserve"> </w:t>
      </w:r>
      <w:r>
        <w:t xml:space="preserve">by</w:t>
      </w:r>
      <w:r>
        <w:t xml:space="preserve"> </w:t>
      </w:r>
      <w:r>
        <w:t xml:space="preserve">conventional,</w:t>
      </w:r>
      <w:r>
        <w:t xml:space="preserve"> </w:t>
      </w:r>
      <w:r>
        <w:t xml:space="preserve">homogeneous</w:t>
      </w:r>
      <w:r>
        <w:t xml:space="preserve"> </w:t>
      </w:r>
      <w:r>
        <w:t xml:space="preserve">practices,</w:t>
      </w:r>
      <w:r>
        <w:t xml:space="preserve"> </w:t>
      </w:r>
      <w:r>
        <w:t xml:space="preserve">the</w:t>
      </w:r>
      <w:r>
        <w:t xml:space="preserve"> </w:t>
      </w:r>
      <w:r>
        <w:t xml:space="preserve">other</w:t>
      </w:r>
      <w:r>
        <w:t xml:space="preserve"> </w:t>
      </w:r>
      <w:r>
        <w:t xml:space="preserve">by</w:t>
      </w:r>
      <w:r>
        <w:t xml:space="preserve"> </w:t>
      </w:r>
      <w:r>
        <w:t xml:space="preserve">diversified</w:t>
      </w:r>
      <w:r>
        <w:t xml:space="preserve"> </w:t>
      </w:r>
      <w:r>
        <w:t xml:space="preserve">practices.</w:t>
      </w:r>
      <w:r>
        <w:t xml:space="preserve"> </w:t>
      </w:r>
      <w:r>
        <w:t xml:space="preserve">We</w:t>
      </w:r>
      <w:r>
        <w:t xml:space="preserve"> </w:t>
      </w:r>
      <w:r>
        <w:t xml:space="preserve">show</w:t>
      </w:r>
      <w:r>
        <w:t xml:space="preserve"> </w:t>
      </w:r>
      <w:r>
        <w:t xml:space="preserve">how</w:t>
      </w:r>
      <w:r>
        <w:t xml:space="preserve"> </w:t>
      </w:r>
      <w:r>
        <w:t xml:space="preserve">characterizing</w:t>
      </w:r>
      <w:r>
        <w:t xml:space="preserve"> </w:t>
      </w:r>
      <w:r>
        <w:t xml:space="preserve">this</w:t>
      </w:r>
      <w:r>
        <w:t xml:space="preserve"> </w:t>
      </w:r>
      <w:r>
        <w:t xml:space="preserve">temporal</w:t>
      </w:r>
      <w:r>
        <w:t xml:space="preserve"> </w:t>
      </w:r>
      <w:r>
        <w:t xml:space="preserve">mechanism</w:t>
      </w:r>
      <w:r>
        <w:t xml:space="preserve"> </w:t>
      </w:r>
      <w:r>
        <w:t xml:space="preserve">of</w:t>
      </w:r>
      <w:r>
        <w:t xml:space="preserve"> </w:t>
      </w:r>
      <w:r>
        <w:t xml:space="preserve">tipping</w:t>
      </w:r>
      <w:r>
        <w:t xml:space="preserve"> </w:t>
      </w:r>
      <w:r>
        <w:t xml:space="preserve">points</w:t>
      </w:r>
      <w:r>
        <w:t xml:space="preserve"> </w:t>
      </w:r>
      <w:r>
        <w:t xml:space="preserve">allows</w:t>
      </w:r>
      <w:r>
        <w:t xml:space="preserve"> </w:t>
      </w:r>
      <w:r>
        <w:t xml:space="preserve">for</w:t>
      </w:r>
      <w:r>
        <w:t xml:space="preserve"> </w:t>
      </w:r>
      <w:r>
        <w:t xml:space="preserve">the</w:t>
      </w:r>
      <w:r>
        <w:t xml:space="preserve"> </w:t>
      </w:r>
      <w:r>
        <w:t xml:space="preserve">exploration</w:t>
      </w:r>
      <w:r>
        <w:t xml:space="preserve"> </w:t>
      </w:r>
      <w:r>
        <w:t xml:space="preserve">of</w:t>
      </w:r>
      <w:r>
        <w:t xml:space="preserve"> </w:t>
      </w:r>
      <w:r>
        <w:t xml:space="preserve">barriers</w:t>
      </w:r>
      <w:r>
        <w:t xml:space="preserve"> </w:t>
      </w:r>
      <w:r>
        <w:t xml:space="preserve">for</w:t>
      </w:r>
      <w:r>
        <w:t xml:space="preserve"> </w:t>
      </w:r>
      <w:r>
        <w:t xml:space="preserve">farm</w:t>
      </w:r>
      <w:r>
        <w:t xml:space="preserve"> </w:t>
      </w:r>
      <w:r>
        <w:t xml:space="preserve">transitions</w:t>
      </w:r>
      <w:r>
        <w:t xml:space="preserve"> </w:t>
      </w:r>
      <w:r>
        <w:t xml:space="preserve">toward</w:t>
      </w:r>
      <w:r>
        <w:t xml:space="preserve"> </w:t>
      </w:r>
      <w:r>
        <w:t xml:space="preserve">highly</w:t>
      </w:r>
      <w:r>
        <w:t xml:space="preserve"> </w:t>
      </w:r>
      <w:r>
        <w:t xml:space="preserve">biodiverse</w:t>
      </w:r>
      <w:r>
        <w:t xml:space="preserve"> </w:t>
      </w:r>
      <w:r>
        <w:t xml:space="preserve">states</w:t>
      </w:r>
      <w:r>
        <w:t xml:space="preserve"> </w:t>
      </w:r>
      <w:r>
        <w:t xml:space="preserve">and</w:t>
      </w:r>
      <w:r>
        <w:t xml:space="preserve"> </w:t>
      </w:r>
      <w:r>
        <w:t xml:space="preserve">is</w:t>
      </w:r>
      <w:r>
        <w:t xml:space="preserve"> </w:t>
      </w:r>
      <w:r>
        <w:t xml:space="preserve">critical</w:t>
      </w:r>
      <w:r>
        <w:t xml:space="preserve"> </w:t>
      </w:r>
      <w:r>
        <w:t xml:space="preserve">to</w:t>
      </w:r>
      <w:r>
        <w:t xml:space="preserve"> </w:t>
      </w:r>
      <w:r>
        <w:t xml:space="preserve">designing</w:t>
      </w:r>
      <w:r>
        <w:t xml:space="preserve"> </w:t>
      </w:r>
      <w:r>
        <w:t xml:space="preserve">effective</w:t>
      </w:r>
      <w:r>
        <w:t xml:space="preserve"> </w:t>
      </w:r>
      <w:r>
        <w:t xml:space="preserve">interventions</w:t>
      </w:r>
      <w:r>
        <w:t xml:space="preserve"> </w:t>
      </w:r>
      <w:r>
        <w:t xml:space="preserve">that</w:t>
      </w:r>
      <w:r>
        <w:t xml:space="preserve"> </w:t>
      </w:r>
      <w:r>
        <w:t xml:space="preserve">can</w:t>
      </w:r>
      <w:r>
        <w:t xml:space="preserve"> </w:t>
      </w:r>
      <w:r>
        <w:t xml:space="preserve">promote</w:t>
      </w:r>
      <w:r>
        <w:t xml:space="preserve"> </w:t>
      </w:r>
      <w:r>
        <w:t xml:space="preserve">farmers’</w:t>
      </w:r>
      <w:r>
        <w:t xml:space="preserve"> </w:t>
      </w:r>
      <w:r>
        <w:t xml:space="preserve">transitions</w:t>
      </w:r>
      <w:r>
        <w:t xml:space="preserve"> </w:t>
      </w:r>
      <w:r>
        <w:t xml:space="preserve">towards</w:t>
      </w:r>
      <w:r>
        <w:t xml:space="preserve"> </w:t>
      </w:r>
      <w:r>
        <w:t xml:space="preserve">sustainable</w:t>
      </w:r>
      <w:r>
        <w:t xml:space="preserve"> </w:t>
      </w:r>
      <w:r>
        <w:t xml:space="preserve">agriculture.</w:t>
      </w:r>
      <w:r>
        <w:t xml:space="preserve"> </w:t>
      </w:r>
      <w:r>
        <w:t xml:space="preserve">Moreover,</w:t>
      </w:r>
      <w:r>
        <w:t xml:space="preserve"> </w:t>
      </w:r>
      <w:r>
        <w:t xml:space="preserve">our</w:t>
      </w:r>
      <w:r>
        <w:t xml:space="preserve"> </w:t>
      </w:r>
      <w:r>
        <w:t xml:space="preserve">flexible</w:t>
      </w:r>
      <w:r>
        <w:t xml:space="preserve"> </w:t>
      </w:r>
      <w:r>
        <w:t xml:space="preserve">modeling</w:t>
      </w:r>
      <w:r>
        <w:t xml:space="preserve"> </w:t>
      </w:r>
      <w:r>
        <w:t xml:space="preserve">framework</w:t>
      </w:r>
      <w:r>
        <w:t xml:space="preserve"> </w:t>
      </w:r>
      <w:r>
        <w:t xml:space="preserve">could</w:t>
      </w:r>
      <w:r>
        <w:t xml:space="preserve"> </w:t>
      </w:r>
      <w:r>
        <w:t xml:space="preserve">be</w:t>
      </w:r>
      <w:r>
        <w:t xml:space="preserve"> </w:t>
      </w:r>
      <w:r>
        <w:t xml:space="preserve">applied</w:t>
      </w:r>
      <w:r>
        <w:t xml:space="preserve"> </w:t>
      </w:r>
      <w:r>
        <w:t xml:space="preserve">to</w:t>
      </w:r>
      <w:r>
        <w:t xml:space="preserve"> </w:t>
      </w:r>
      <w:r>
        <w:t xml:space="preserve">other</w:t>
      </w:r>
      <w:r>
        <w:t xml:space="preserve"> </w:t>
      </w:r>
      <w:r>
        <w:t xml:space="preserve">cases</w:t>
      </w:r>
      <w:r>
        <w:t xml:space="preserve"> </w:t>
      </w:r>
      <w:r>
        <w:t xml:space="preserve">to</w:t>
      </w:r>
      <w:r>
        <w:t xml:space="preserve"> </w:t>
      </w:r>
      <w:r>
        <w:t xml:space="preserve">provide</w:t>
      </w:r>
      <w:r>
        <w:t xml:space="preserve"> </w:t>
      </w:r>
      <w:r>
        <w:t xml:space="preserve">insight</w:t>
      </w:r>
      <w:r>
        <w:t xml:space="preserve"> </w:t>
      </w:r>
      <w:r>
        <w:t xml:space="preserve">into</w:t>
      </w:r>
      <w:r>
        <w:t xml:space="preserve"> </w:t>
      </w:r>
      <w:r>
        <w:t xml:space="preserve">numerous</w:t>
      </w:r>
      <w:r>
        <w:t xml:space="preserve"> </w:t>
      </w:r>
      <w:r>
        <w:t xml:space="preserve">questions</w:t>
      </w:r>
      <w:r>
        <w:t xml:space="preserve"> </w:t>
      </w:r>
      <w:r>
        <w:t xml:space="preserve">in</w:t>
      </w:r>
      <w:r>
        <w:t xml:space="preserve"> </w:t>
      </w:r>
      <w:r>
        <w:t xml:space="preserve">social-ecological</w:t>
      </w:r>
      <w:r>
        <w:t xml:space="preserve"> </w:t>
      </w:r>
      <w:r>
        <w:t xml:space="preserve">systems</w:t>
      </w:r>
      <w:r>
        <w:t xml:space="preserve"> </w:t>
      </w:r>
      <w:r>
        <w:t xml:space="preserve">research</w:t>
      </w:r>
      <w:r>
        <w:t xml:space="preserve"> </w:t>
      </w:r>
      <w:r>
        <w:t xml:space="preserve">and</w:t>
      </w:r>
      <w:r>
        <w:t xml:space="preserve"> </w:t>
      </w:r>
      <w:r>
        <w:t xml:space="preserve">environmental</w:t>
      </w:r>
      <w:r>
        <w:t xml:space="preserve"> </w:t>
      </w:r>
      <w:r>
        <w:t xml:space="preserve">policy.</w:t>
      </w:r>
    </w:p>
    <w:bookmarkStart w:id="20" w:name="science-for-society"/>
    <w:p>
      <w:pPr>
        <w:pStyle w:val="Heading1"/>
      </w:pPr>
      <w:r>
        <w:t xml:space="preserve">Science for Society</w:t>
      </w:r>
    </w:p>
    <w:p>
      <w:pPr>
        <w:pStyle w:val="FirstParagraph"/>
      </w:pPr>
      <w:r>
        <w:t xml:space="preserve">Understanding the mechanisms of tipping points in social-ecological systems is critical to designing effective policy interventions in numerous environmental contexts. Using adoption of agricultural diversification practices as a case study, we show how tipping points in social-ecological systems can emerge purely from the temporal feedbacks between human decisions and ecological responses. Further, we explore why these finding matters for designing incentive programs to promote farmers’ transitions towards sustainable agriculture. We present a flexible modeling framework that can be built on to address numerous questions in social-ecological systems and environmental policy.</w:t>
      </w:r>
    </w:p>
    <w:bookmarkEnd w:id="20"/>
    <w:bookmarkStart w:id="21" w:name="introduction"/>
    <w:p>
      <w:pPr>
        <w:pStyle w:val="Heading1"/>
      </w:pPr>
      <w:r>
        <w:t xml:space="preserve">Introduction</w:t>
      </w:r>
    </w:p>
    <w:p>
      <w:pPr>
        <w:pStyle w:val="FirstParagraph"/>
      </w:pPr>
      <w:r>
        <w:t xml:space="preserve">Both ecosystems and social systems can change states abruptly as the result of crossing critical thresholds. These critical thresholds (</w:t>
      </w:r>
      <w:r>
        <w:t xml:space="preserve">“</w:t>
      </w:r>
      <w:r>
        <w:t xml:space="preserve">tipping points</w:t>
      </w:r>
      <w:r>
        <w:t xml:space="preserve">”</w:t>
      </w:r>
      <w:r>
        <w:t xml:space="preserve">, or states of a system where small perturbations can trigger large responses) have garnered extensive academic and public attention.</w:t>
      </w:r>
      <w:r>
        <w:rPr>
          <w:vertAlign w:val="superscript"/>
        </w:rPr>
        <w:t xml:space="preserve">1,2</w:t>
      </w:r>
      <w:r>
        <w:t xml:space="preserve"> </w:t>
      </w:r>
      <w:r>
        <w:t xml:space="preserve">However, mechanisms of tipping points in social-ecological systems (SES) remain largely explained by complex assumptions about either the ecological or social system dynamics,</w:t>
      </w:r>
      <w:r>
        <w:rPr>
          <w:vertAlign w:val="superscript"/>
        </w:rPr>
        <w:t xml:space="preserve">3–6</w:t>
      </w:r>
      <w:r>
        <w:t xml:space="preserve"> rather than the ways in which these systems interact.</w:t>
      </w:r>
    </w:p>
    <w:p>
      <w:pPr>
        <w:pStyle w:val="BodyText"/>
      </w:pPr>
      <w:r>
        <w:t xml:space="preserve">In social-ecological systems, human actions impact ecological processes, and the resultant ecological changes create feedbacks that alter future management actions.</w:t>
      </w:r>
      <w:r>
        <w:rPr>
          <w:vertAlign w:val="superscript"/>
        </w:rPr>
        <w:t xml:space="preserve">7–9</w:t>
      </w:r>
      <w:r>
        <w:t xml:space="preserve"> </w:t>
      </w:r>
      <w:r>
        <w:t xml:space="preserve">These systems become challenging to model when the temporal dynamics of ecological processes and their feedbacks to human systems (i.e., benefits from ecosystems services) do not align with the temporal scale of human decision-making.</w:t>
      </w:r>
      <w:r>
        <w:rPr>
          <w:vertAlign w:val="superscript"/>
        </w:rPr>
        <w:t xml:space="preserve">10</w:t>
      </w:r>
      <w:r>
        <w:t xml:space="preserve"> </w:t>
      </w:r>
      <w:r>
        <w:t xml:space="preserve">Techniques previously used to investigate both dynamic ecological processes and decision-making in SES have mostly overlooked the temporal complexity of decision-making.</w:t>
      </w:r>
      <w:r>
        <w:rPr>
          <w:vertAlign w:val="superscript"/>
        </w:rPr>
        <w:t xml:space="preserve">11</w:t>
      </w:r>
      <w:r>
        <w:t xml:space="preserve"> </w:t>
      </w:r>
      <w:r>
        <w:t xml:space="preserve">For instance, agent-based models are commonly used to explore complex emergent phenomena in SES.</w:t>
      </w:r>
      <w:r>
        <w:t xml:space="preserve"> </w:t>
      </w:r>
      <w:r>
        <w:t xml:space="preserve">However, these models often use single time-step, or user-defined, decision rules rather than allowing for emergent decision strategies that maximize expected rewards over longer time horizons.</w:t>
      </w:r>
      <w:r>
        <w:rPr>
          <w:vertAlign w:val="superscript"/>
        </w:rPr>
        <w:t xml:space="preserve">11</w:t>
      </w:r>
      <w:r>
        <w:t xml:space="preserve"> </w:t>
      </w:r>
      <w:r>
        <w:t xml:space="preserve">Similarly, economic models, which typically explicitly consider the time horizons of decisions, often overlook ecological lags.</w:t>
      </w:r>
      <w:r>
        <w:rPr>
          <w:vertAlign w:val="superscript"/>
        </w:rPr>
        <w:t xml:space="preserve">12</w:t>
      </w:r>
      <w:r>
        <w:t xml:space="preserve"> </w:t>
      </w:r>
      <w:r>
        <w:t xml:space="preserve">While temporal attributes are central drivers of emergent dynamics in SES, social scientists have regularly pointed to their importance for decision making processes as well (e.g., land tenure affects decision-making by creating long-term incentives for management).</w:t>
      </w:r>
      <w:r>
        <w:rPr>
          <w:vertAlign w:val="superscript"/>
        </w:rPr>
        <w:t xml:space="preserve">13–16</w:t>
      </w:r>
      <w:r>
        <w:t xml:space="preserve"> </w:t>
      </w:r>
      <w:r>
        <w:t xml:space="preserve">New modeling approaches that can integrate temporal attributes for both ecological change and human decision-making are needed.</w:t>
      </w:r>
    </w:p>
    <w:p>
      <w:pPr>
        <w:pStyle w:val="BodyText"/>
      </w:pPr>
      <w:r>
        <w:t xml:space="preserve">Agriculture is a particularly interesting case for exploring time lags in social-ecological systems because many ecological responses to management actions in these systems (such as planting hedgerows or building up organic matter in soils) happen slowly, often taking years to return ecological and/or financial benefits, which can exceed the time frame of investment planning.</w:t>
      </w:r>
      <w:r>
        <w:t xml:space="preserve"> </w:t>
      </w:r>
      <w:r>
        <w:t xml:space="preserve">Further, the duration of land tenure varies considerably among farmers, which creates variation in, and constraints on, horizons over which decisions strategies are optimized.</w:t>
      </w:r>
      <w:r>
        <w:rPr>
          <w:vertAlign w:val="superscript"/>
        </w:rPr>
        <w:t xml:space="preserve">16</w:t>
      </w:r>
      <w:r>
        <w:t xml:space="preserve"> Farmers on owned land may be able to plan for payoffs that occur over the course of multiple decades or generations. Tenant farmers who lease their farmland, by contrast, may be constrained to the decisions that pay off during the length of lease agreements. In the US, leases are most often short-term single-year contracts but can extend up to 10 years.</w:t>
      </w:r>
      <w:r>
        <w:rPr>
          <w:vertAlign w:val="superscript"/>
        </w:rPr>
        <w:t xml:space="preserve">17</w:t>
      </w:r>
    </w:p>
    <w:p>
      <w:pPr>
        <w:pStyle w:val="BodyText"/>
      </w:pPr>
      <w:r>
        <w:t xml:space="preserve">While agriculture is regularly cited as a key driver of anthropogenic ecological change,</w:t>
      </w:r>
      <w:r>
        <w:rPr>
          <w:vertAlign w:val="superscript"/>
        </w:rPr>
        <w:t xml:space="preserve">18–20</w:t>
      </w:r>
      <w:r>
        <w:t xml:space="preserve"> different types of agriculture have radically different effects on ecosystems.</w:t>
      </w:r>
      <w:r>
        <w:t xml:space="preserve"> </w:t>
      </w:r>
      <w:r>
        <w:t xml:space="preserve">Some forms of agriculture rely on promoting ecological processes that regenerate ecosystem services for their productivity and are less input intensive, while others rely primarily on external inputs, such as chemical fertilizers and pesticides that often degrade the surrounding water, soil, and air quality.</w:t>
      </w:r>
      <w:r>
        <w:rPr>
          <w:vertAlign w:val="superscript"/>
        </w:rPr>
        <w:t xml:space="preserve">21</w:t>
      </w:r>
      <w:r>
        <w:t xml:space="preserve"> While adoption of diversified farm management practices encompasses a continuum of actions and outcomes, suites of practices are often used together in a package, coalescing around distinct stable states or</w:t>
      </w:r>
      <w:r>
        <w:t xml:space="preserve"> </w:t>
      </w:r>
      <w:r>
        <w:t xml:space="preserve">“</w:t>
      </w:r>
      <w:r>
        <w:t xml:space="preserve">syndromes</w:t>
      </w:r>
      <w:r>
        <w:t xml:space="preserve">”</w:t>
      </w:r>
      <w:r>
        <w:t xml:space="preserve">.</w:t>
      </w:r>
      <w:r>
        <w:rPr>
          <w:vertAlign w:val="superscript"/>
        </w:rPr>
        <w:t xml:space="preserve">22–24</w:t>
      </w:r>
      <w:r>
        <w:t xml:space="preserve"> </w:t>
      </w:r>
      <w:r>
        <w:t xml:space="preserve">The mechanisms used to explain and explore these patterns in agricultural systems mathematically have relied on the assumption that both ecological (or production) and decision (or economic) dynamics are non-monotonic (a function that both increases and decreases).</w:t>
      </w:r>
      <w:r>
        <w:rPr>
          <w:vertAlign w:val="superscript"/>
        </w:rPr>
        <w:t xml:space="preserve">24,25</w:t>
      </w:r>
      <w:r>
        <w:t xml:space="preserve"> </w:t>
      </w:r>
      <w:r>
        <w:t xml:space="preserve">In coupled dynamic equations, if either of these systems is approximated as monotonic (a function that only increases or only decreases), the larger social-ecological system is characterized by a single stable point (or no stable point), making multiple syndromes of production impossible to explain with dynamic equations.</w:t>
      </w:r>
      <w:r>
        <w:rPr>
          <w:vertAlign w:val="superscript"/>
        </w:rPr>
        <w:t xml:space="preserve">24,25</w:t>
      </w:r>
      <w:r>
        <w:t xml:space="preserve"> </w:t>
      </w:r>
      <w:r>
        <w:t xml:space="preserve">In other words, the existence of distinct stable states in agriculture – defined by high levels of biodiversity and associated ecosystem services on one hand and low-levels of biodiversity and comparatively high synthetic inputs on the other – cannot be explained in conventional models without assuming complex structural dynamics.</w:t>
      </w:r>
      <w:r>
        <w:t xml:space="preserve"> </w:t>
      </w:r>
      <w:r>
        <w:t xml:space="preserve">While non-monotonic assumptions are often reasonable, equilibrium explanations overlook the temporal component of both the ecological and decision processes central to agricultural SES.</w:t>
      </w:r>
    </w:p>
    <w:p>
      <w:pPr>
        <w:pStyle w:val="BodyText"/>
      </w:pPr>
      <w:r>
        <w:t xml:space="preserve">Markov Decision Processes (MDP) provide a convenient mathematical framework for modeling decision making</w:t>
      </w:r>
      <w:r>
        <w:rPr>
          <w:vertAlign w:val="superscript"/>
        </w:rPr>
        <w:t xml:space="preserve">26</w:t>
      </w:r>
      <w:r>
        <w:t xml:space="preserve"> </w:t>
      </w:r>
      <w:r>
        <w:t xml:space="preserve">in SES because they allow for: (1) formulation of situations in which environments (in this case, agroecosystems) change slowly and stochastically and (2) land management decisions are forward looking and based on predictions about how those decisions will impact a farmer’s productivity and vitality in the future.</w:t>
      </w:r>
      <w:r>
        <w:t xml:space="preserve"> </w:t>
      </w:r>
      <w:r>
        <w:t xml:space="preserve">While MDPs have been widely used in a variety of environmental control problems,</w:t>
      </w:r>
      <w:r>
        <w:rPr>
          <w:vertAlign w:val="superscript"/>
        </w:rPr>
        <w:t xml:space="preserve">27</w:t>
      </w:r>
      <w:r>
        <w:t xml:space="preserve"> they are rarely applied to modeling and exploring the dynamics of social-ecological systems. Additionally, like other modeling approaches, these methods are scarcely informed by, or ground truthed with, social science data. Leveraging social science data, such as interviews or surveys, can help inform critical features of social-ecological models.</w:t>
      </w:r>
    </w:p>
    <w:p>
      <w:pPr>
        <w:pStyle w:val="BodyText"/>
      </w:pPr>
      <w:r>
        <w:t xml:space="preserve">This paper presents a stylized Markov Decision Process model of the adoption of agricultural diversification practices to explore the ecosystem service patterns that result specifically from interactions between forward looking decision-making and a slowly-changing environment. Using this model, we explore a mechanism leading to the two prevailing environmental states (i.e. relying primarily on ecosystem services versus external chemical inputs) that is the result not of complex structural assumptions within either the human or ecological system, but rather the rates at which the two systems interact. While our model necessarily simplifies both decision-making and environmental processes, it provides a useful framework to explore emergent properties in social-ecological systems. We use farmer interview data to inform important structural attributes of our model, and to contextualize our findings. Finally, we show that our findings have important implications, both for agricultural policy implementation and social-ecological systems theory.</w:t>
      </w:r>
    </w:p>
    <w:bookmarkEnd w:id="21"/>
    <w:bookmarkStart w:id="27" w:name="methods"/>
    <w:p>
      <w:pPr>
        <w:pStyle w:val="Heading1"/>
      </w:pPr>
      <w:r>
        <w:t xml:space="preserve">Methods</w:t>
      </w:r>
    </w:p>
    <w:p>
      <w:pPr>
        <w:pStyle w:val="FirstParagraph"/>
      </w:pPr>
      <w:r>
        <w:t xml:space="preserve">We explore the transition to and from diversified farming systems (low and high ecosystem service provisioning states) using a Markov Decision Process (MDP) in which a farmer makes a series of decisions about whether or not to employ agricultural diversification practices over time (Figure 1).</w:t>
      </w:r>
      <w:r>
        <w:t xml:space="preserve"> </w:t>
      </w:r>
      <w:r>
        <w:t xml:space="preserve">In the context of diversified farming systems, diversification practices include hedgerows, crop rotation, intercrops, the use of compost, growing multiple crop types, reduced tillage, and cover crops.</w:t>
      </w:r>
      <w:r>
        <w:t xml:space="preserve"> </w:t>
      </w:r>
      <w:r>
        <w:t xml:space="preserve">These practices have often been shown to promote ecosystem services that benefit farmers, including soil fertility and water-holding capacity, pest and disease control, pollination and productivity, thus providing an economically-viable alternative to chemically-intensive methods of crop production.</w:t>
      </w:r>
      <w:r>
        <w:rPr>
          <w:vertAlign w:val="superscript"/>
        </w:rPr>
        <w:t xml:space="preserve">28–31</w:t>
      </w:r>
      <w:r>
        <w:t xml:space="preserve"> This type of diversification is distinct from the concept of operational diversification (i.e., increasing the range of revenue streams produced on a given farm, such as tourism or value-added products).</w:t>
      </w:r>
      <w:r>
        <w:t xml:space="preserve"> </w:t>
      </w:r>
      <w:r>
        <w:t xml:space="preserve">The model was developed through an iterative, collaborative process with an interdisciplinary team comprising plant and soil scientists, agricultural economists, ecologists, agricultural sociologists, modelers, policy analysts, and farmers with the goal of capturing patterns stemming from the coupled human and natural dynamics of the modeled system.</w:t>
      </w:r>
    </w:p>
    <w:bookmarkStart w:id="23" w:name="conceptual-model-description"/>
    <w:p>
      <w:pPr>
        <w:pStyle w:val="Heading2"/>
      </w:pPr>
      <w:r>
        <w:t xml:space="preserve">Conceptual model description</w:t>
      </w:r>
    </w:p>
    <w:p>
      <w:pPr>
        <w:pStyle w:val="FirstParagraph"/>
      </w:pPr>
      <w:r>
        <w:t xml:space="preserve">Modeling the adoption of diversification practices and the resultant ecosystem services as a Markov Decision Process requires that we first define a set of available</w:t>
      </w:r>
      <w:r>
        <w:t xml:space="preserve"> </w:t>
      </w:r>
      <w:r>
        <w:t xml:space="preserve">“</w:t>
      </w:r>
      <w:r>
        <w:t xml:space="preserve">actions</w:t>
      </w:r>
      <w:r>
        <w:t xml:space="preserve">”</w:t>
      </w:r>
      <w:r>
        <w:t xml:space="preserve"> </w:t>
      </w:r>
      <w:r>
        <w:t xml:space="preserve">(or decisions) and a set of possible system states. In our model, at each time step, the farmer takes an</w:t>
      </w:r>
      <w:r>
        <w:t xml:space="preserve"> </w:t>
      </w:r>
      <w:r>
        <w:t xml:space="preserve">“</w:t>
      </w:r>
      <w:r>
        <w:t xml:space="preserve">action</w:t>
      </w:r>
      <w:r>
        <w:t xml:space="preserve">”</w:t>
      </w:r>
      <w:r>
        <w:t xml:space="preserve"> </w:t>
      </w:r>
      <w:r>
        <w:t xml:space="preserve">of 0% to 100% investment in adopting or maintaining diversification practices.</w:t>
      </w:r>
      <w:r>
        <w:t xml:space="preserve"> </w:t>
      </w:r>
      <w:r>
        <w:t xml:space="preserve">The</w:t>
      </w:r>
      <w:r>
        <w:t xml:space="preserve"> </w:t>
      </w:r>
      <w:r>
        <w:t xml:space="preserve">“</w:t>
      </w:r>
      <w:r>
        <w:t xml:space="preserve">system state</w:t>
      </w:r>
      <w:r>
        <w:t xml:space="preserve">”</w:t>
      </w:r>
      <w:r>
        <w:t xml:space="preserve"> </w:t>
      </w:r>
      <w:r>
        <w:t xml:space="preserve">corresponds to the level of benefit derived from the ecosystem services that result from those adoption decisions. While higher ecological states are beneficial, investments in diversification practices also come with higher associated costs (Figure 1 A1).</w:t>
      </w:r>
      <w:r>
        <w:t xml:space="preserve"> </w:t>
      </w:r>
      <w:r>
        <w:t xml:space="preserve">Costs and benefits may be financial, social, ideological, and/or aesthetic, and we approximate that relationship as linear (Figure 1 A2).</w:t>
      </w:r>
      <w:r>
        <w:t xml:space="preserve"> </w:t>
      </w:r>
      <w:r>
        <w:t xml:space="preserve">A greater percent investment in diversification practices corresponds to a greater probability of transitioning to a higher (more beneficial) ecological state within the next decision cycle (Figure 1 A3). Our model makes minimal assumptions about the relationships between actions and costs (Figure 1 A1), states and benefits (Figure 1 A2), and actions and state changes (Figure A3). While additional assumptions could be integrated into this MDP framework (e.g., nonlinear functions for Figure 1 A1-A3), we focus our study on the impact of the interactions between ecological rates and time horizons of decisions by minimizing assumptions around the functional forms of these subsystems.</w:t>
      </w:r>
    </w:p>
    <w:p>
      <w:pPr>
        <w:pStyle w:val="BodyText"/>
      </w:pPr>
      <w:r>
        <w:t xml:space="preserve">The rate at which that ecological response occurs depends on parameter</w:t>
      </w:r>
      <w:r>
        <w:t xml:space="preserve"> </w:t>
      </w:r>
      <w:r>
        <w:rPr>
          <w:iCs/>
          <w:i/>
        </w:rPr>
        <w:t xml:space="preserve">r</w:t>
      </w:r>
      <w:r>
        <w:t xml:space="preserve">, but importantly is not instantaneous (Figure 1 A4). By defining parameter values for cost, benefit, transition stochasticity, ecological change rate, and future discounting (Supporting information), a Markov Decision Process allows the optimal action strategy for the farmer (agent) to emerge based on expected rewards (benefits minus costs) over either a finite (to represent short-tenure leased farms) or infinite (to represent longer-term leases and land ownership) time horizon (Figure 1 A5). We use a ten-year time horizon to represent shorter term decision-making, essentially the longest frame of reference that tenant farmers tend to work within and a conservative way of looking at the impact of lease length for tenant farmers.</w:t>
      </w:r>
      <w:r>
        <w:rPr>
          <w:vertAlign w:val="superscript"/>
        </w:rPr>
        <w:t xml:space="preserve">17</w:t>
      </w:r>
      <w:r>
        <w:t xml:space="preserve"> This frame of reference is suggested not only in the agrarian sociology literature but in the farmer interviews we conducted.</w:t>
      </w:r>
      <w:r>
        <w:t xml:space="preserve"> </w:t>
      </w:r>
      <w:r>
        <w:t xml:space="preserve">Discounted infinite decision horizons are meant to represent landowners and other farmers with the capacity to account for the economic viability of an action over the long run.</w:t>
      </w:r>
    </w:p>
    <w:p>
      <w:pPr>
        <w:pStyle w:val="CaptionedFigure"/>
      </w:pPr>
      <w:r>
        <w:drawing>
          <wp:inline>
            <wp:extent cx="5334000" cy="2694637"/>
            <wp:effectExtent b="0" l="0" r="0" t="0"/>
            <wp:docPr descr="Conceptual diagram and model assumptions. The farmer’s choice of how much to invest (time and money) into the adoption of diversification practices is shown in blue, and the resulting ecosystem services state in green, with a more diversified ecosystem state at the top, and a more simplified ecosystem state at bottom. Each time step, the farmer chooses the optimal action for their current ecosystem service state based on the perceived utility function, u, and state transition probability function, p. For a given ecosystem service state and action at time t, p describes how the ecosystem responds stochastically to result in an updated state at t + 1. The updated ecosystem service state then feeds back to influence the farmer’s future choices, leading to tradeoffs arising from the coupling of ecological processes with consecutive diversification practice adoption decisions over time. Main model assumptions (A1-A5) are outlined along with a brief rationale for each approximation." title="" id="1" name="Picture"/>
            <a:graphic>
              <a:graphicData uri="http://schemas.openxmlformats.org/drawingml/2006/picture">
                <pic:pic>
                  <pic:nvPicPr>
                    <pic:cNvPr descr="external-figs/assumptions.png" id="0" name="Picture"/>
                    <pic:cNvPicPr>
                      <a:picLocks noChangeArrowheads="1" noChangeAspect="1"/>
                    </pic:cNvPicPr>
                  </pic:nvPicPr>
                  <pic:blipFill>
                    <a:blip r:embed="rId22"/>
                    <a:stretch>
                      <a:fillRect/>
                    </a:stretch>
                  </pic:blipFill>
                  <pic:spPr bwMode="auto">
                    <a:xfrm>
                      <a:off x="0" y="0"/>
                      <a:ext cx="5334000" cy="2694637"/>
                    </a:xfrm>
                    <a:prstGeom prst="rect">
                      <a:avLst/>
                    </a:prstGeom>
                    <a:noFill/>
                    <a:ln w="9525">
                      <a:noFill/>
                      <a:headEnd/>
                      <a:tailEnd/>
                    </a:ln>
                  </pic:spPr>
                </pic:pic>
              </a:graphicData>
            </a:graphic>
          </wp:inline>
        </w:drawing>
      </w:r>
    </w:p>
    <w:p>
      <w:pPr>
        <w:pStyle w:val="ImageCaption"/>
      </w:pPr>
      <w:r>
        <w:t xml:space="preserve">Conceptual diagram and model assumptions. The farmer’s choice of how much to invest (time and money) into the adoption of diversification practices is shown in blue, and the resulting ecosystem services state in green, with a more diversified ecosystem state at the top, and a more simplified ecosystem state at bottom. Each time step, the farmer chooses the optimal action for their current ecosystem service state based on the perceived utility function, u, and state transition probability function, p. For a given ecosystem service state and action at time t, p describes how the ecosystem responds stochastically to result in an updated state at t + 1. The updated ecosystem service state then feeds back to influence the farmer’s future choices, leading to tradeoffs arising from the coupling of ecological processes with consecutive diversification practice adoption decisions over time. Main model assumptions (A1-A5) are outlined along with a brief rationale for each approximation.</w:t>
      </w:r>
    </w:p>
    <w:bookmarkEnd w:id="23"/>
    <w:bookmarkStart w:id="25" w:name="interview-data"/>
    <w:p>
      <w:pPr>
        <w:pStyle w:val="Heading2"/>
      </w:pPr>
      <w:r>
        <w:t xml:space="preserve">Interview data</w:t>
      </w:r>
    </w:p>
    <w:p>
      <w:pPr>
        <w:pStyle w:val="FirstParagraph"/>
      </w:pPr>
      <w:r>
        <w:t xml:space="preserve">Our modeling work is inspired by patterns and system characteristics (e.g. the concept of forward-looking decision-making) that emerged from the extensive empirical fieldwork with farmers that our research team has conducted on commercial farms in California since 2013.</w:t>
      </w:r>
      <w:r>
        <w:rPr>
          <w:vertAlign w:val="superscript"/>
        </w:rPr>
        <w:t xml:space="preserve">32–34</w:t>
      </w:r>
      <w:r>
        <w:t xml:space="preserve"> </w:t>
      </w:r>
      <w:r>
        <w:t xml:space="preserve">As part of the larger project that our modeling work contributes to, between February 2018 - August 2020, the agricultural sociologists in our team interviewed 25 lettuce growers and 17 almond growers from California using a snowball sampling method.</w:t>
      </w:r>
      <w:r>
        <w:t xml:space="preserve"> </w:t>
      </w:r>
      <w:r>
        <w:t xml:space="preserve">We developed an interview guide with questions that focused on the barriers and motivations for using diversification practices such as cover cropping, planting hedgerows, and diverse crop rotations.</w:t>
      </w:r>
      <w:r>
        <w:t xml:space="preserve"> </w:t>
      </w:r>
      <w:r>
        <w:t xml:space="preserve">We focused on almonds and leafy greens/lettuce because these are among the most economically valuable and regionally prevalent crops in California, represent different farming systems and environmental conditions, and their increased diversification could have major impacts (for almonds, a very large acreage could benefit; for leafy greens, their requirements for fertilizer and pesticide applications could be reduced greatly).</w:t>
      </w:r>
      <w:r>
        <w:t xml:space="preserve"> </w:t>
      </w:r>
      <w:r>
        <w:t xml:space="preserve">We selected interviewees to represent a range of growers (small to large scale; organic to conventional; early adopters of diversification practices to late adopters; family run to corporate management; and direct-to-consumer marketing to wholesale).</w:t>
      </w:r>
      <w:r>
        <w:t xml:space="preserve"> </w:t>
      </w:r>
      <w:r>
        <w:t xml:space="preserve">Interviews were conducted in person or over the phone when in-person interviews were not possible due to farmer schedules or the need to social distance during COVID-19 restrictions.</w:t>
      </w:r>
      <w:r>
        <w:t xml:space="preserve"> </w:t>
      </w:r>
      <w:r>
        <w:t xml:space="preserve">Most interviews were audio-recorded and transcribed. If recording was not possible, careful notes were taken to create a transcript.</w:t>
      </w:r>
    </w:p>
    <w:p>
      <w:pPr>
        <w:pStyle w:val="BodyText"/>
      </w:pPr>
      <w:r>
        <w:t xml:space="preserve">We performed deductive coding for central themes and keywords of the transcripts to inform structural attributes of our model. Specifically, our interview coding informed the relationships among costs, benefits and actions in diversified farming systems, the integration of time horizons into decision strategies, and the gradual rate of ecological change in response to management actions (Figure 2). Additionally, interviews provided quotes to contextualize model findings.</w:t>
      </w:r>
    </w:p>
    <w:p>
      <w:pPr>
        <w:pStyle w:val="CaptionedFigure"/>
      </w:pPr>
      <w:r>
        <w:drawing>
          <wp:inline>
            <wp:extent cx="5334000" cy="3125656"/>
            <wp:effectExtent b="0" l="0" r="0" t="0"/>
            <wp:docPr descr="Key quotes from farmers suggest that the temporal horizons of decision making and the rate at which farmers receive ecosystem benefits as a result of those decisions are important factors in the adoption of diversification practices" title="" id="1" name="Picture"/>
            <a:graphic>
              <a:graphicData uri="http://schemas.openxmlformats.org/drawingml/2006/picture">
                <pic:pic>
                  <pic:nvPicPr>
                    <pic:cNvPr descr="external-figs/quotes.png" id="0" name="Picture"/>
                    <pic:cNvPicPr>
                      <a:picLocks noChangeArrowheads="1" noChangeAspect="1"/>
                    </pic:cNvPicPr>
                  </pic:nvPicPr>
                  <pic:blipFill>
                    <a:blip r:embed="rId24"/>
                    <a:stretch>
                      <a:fillRect/>
                    </a:stretch>
                  </pic:blipFill>
                  <pic:spPr bwMode="auto">
                    <a:xfrm>
                      <a:off x="0" y="0"/>
                      <a:ext cx="5334000" cy="3125656"/>
                    </a:xfrm>
                    <a:prstGeom prst="rect">
                      <a:avLst/>
                    </a:prstGeom>
                    <a:noFill/>
                    <a:ln w="9525">
                      <a:noFill/>
                      <a:headEnd/>
                      <a:tailEnd/>
                    </a:ln>
                  </pic:spPr>
                </pic:pic>
              </a:graphicData>
            </a:graphic>
          </wp:inline>
        </w:drawing>
      </w:r>
    </w:p>
    <w:p>
      <w:pPr>
        <w:pStyle w:val="ImageCaption"/>
      </w:pPr>
      <w:r>
        <w:t xml:space="preserve">Key quotes from farmers suggest that the temporal horizons of decision making and the rate at which farmers receive ecosystem benefits as a result of those decisions are important factors in the adoption of diversification practices</w:t>
      </w:r>
    </w:p>
    <w:bookmarkEnd w:id="25"/>
    <w:bookmarkStart w:id="26" w:name="mathematical-description"/>
    <w:p>
      <w:pPr>
        <w:pStyle w:val="Heading2"/>
      </w:pPr>
      <w:r>
        <w:t xml:space="preserve">Mathematical description</w:t>
      </w:r>
    </w:p>
    <w:p>
      <w:pPr>
        <w:pStyle w:val="FirstParagraph"/>
      </w:pPr>
      <w:r>
        <w:t xml:space="preserve">The Markov Decision Process is composed of two coupled models: a model of the biological/ecological processes,</w:t>
      </w:r>
      <w:r>
        <w:t xml:space="preserve"> </w:t>
      </w:r>
      <m:oMath>
        <m:sSub>
          <m:e>
            <m:r>
              <m:t>s</m:t>
            </m:r>
          </m:e>
          <m:sub>
            <m:r>
              <m:t>t</m:t>
            </m:r>
            <m:r>
              <m:rPr>
                <m:sty m:val="p"/>
              </m:rPr>
              <m:t>+</m:t>
            </m:r>
            <m:r>
              <m:t>1</m:t>
            </m:r>
          </m:sub>
        </m:sSub>
        <m:r>
          <m:rPr>
            <m:sty m:val="p"/>
          </m:rPr>
          <m:t>=</m:t>
        </m:r>
        <m:r>
          <m:t>f</m:t>
        </m:r>
        <m:d>
          <m:dPr>
            <m:begChr m:val="("/>
            <m:endChr m:val=")"/>
            <m:sepChr m:val=""/>
            <m:grow/>
          </m:dPr>
          <m:e>
            <m:sSub>
              <m:e>
                <m:r>
                  <m:t>s</m:t>
                </m:r>
              </m:e>
              <m:sub>
                <m:r>
                  <m:t>t</m:t>
                </m:r>
              </m:sub>
            </m:sSub>
            <m:r>
              <m:rPr>
                <m:sty m:val="p"/>
              </m:rPr>
              <m:t>,</m:t>
            </m:r>
            <m:sSub>
              <m:e>
                <m:r>
                  <m:t>a</m:t>
                </m:r>
              </m:e>
              <m:sub>
                <m:r>
                  <m:t>t</m:t>
                </m:r>
              </m:sub>
            </m:sSub>
          </m:e>
        </m:d>
      </m:oMath>
      <w:r>
        <w:t xml:space="preserve">, and a model of how the farmer views those processes, expressed as the utility function of the biological state and the cost of the farming actions/decisions</w:t>
      </w:r>
      <w:r>
        <w:t xml:space="preserve"> </w:t>
      </w:r>
      <m:oMath>
        <m:r>
          <m:t>u</m:t>
        </m:r>
        <m:d>
          <m:dPr>
            <m:begChr m:val="("/>
            <m:endChr m:val=")"/>
            <m:sepChr m:val=""/>
            <m:grow/>
          </m:dPr>
          <m:e>
            <m:sSub>
              <m:e>
                <m:r>
                  <m:t>s</m:t>
                </m:r>
              </m:e>
              <m:sub>
                <m:r>
                  <m:t>t</m:t>
                </m:r>
              </m:sub>
            </m:sSub>
            <m:r>
              <m:rPr>
                <m:sty m:val="p"/>
              </m:rPr>
              <m:t>,</m:t>
            </m:r>
            <m:sSub>
              <m:e>
                <m:r>
                  <m:t>a</m:t>
                </m:r>
              </m:e>
              <m:sub>
                <m:r>
                  <m:t>t</m:t>
                </m:r>
              </m:sub>
            </m:sSub>
          </m:e>
        </m:d>
      </m:oMath>
      <w:r>
        <w:t xml:space="preserve">. Both models incorporate temporal dynamics. The biological model has a notion of time which says that actions don’t immediately change the biological environment, but instead change it over time at rate</w:t>
      </w:r>
      <w:r>
        <w:t xml:space="preserve"> </w:t>
      </w:r>
      <m:oMath>
        <m:r>
          <m:t>r</m:t>
        </m:r>
      </m:oMath>
      <w:r>
        <w:t xml:space="preserve">. Meanwhile, the farmer pays the cost of action</w:t>
      </w:r>
      <w:r>
        <w:t xml:space="preserve"> </w:t>
      </w:r>
      <m:oMath>
        <m:sSub>
          <m:e>
            <m:r>
              <m:t>a</m:t>
            </m:r>
          </m:e>
          <m:sub>
            <m:r>
              <m:t>t</m:t>
            </m:r>
          </m:sub>
        </m:sSub>
      </m:oMath>
      <w:r>
        <w:t xml:space="preserve"> </w:t>
      </w:r>
      <w:r>
        <w:t xml:space="preserve">as soon as that action is taken. However, unlike common alternative frameworks, such as most agent-based (</w:t>
      </w:r>
      <w:r>
        <w:t xml:space="preserve">‘</w:t>
      </w:r>
      <w:r>
        <w:t xml:space="preserve">individual-based-simulation</w:t>
      </w:r>
      <w:r>
        <w:t xml:space="preserve">’</w:t>
      </w:r>
      <w:r>
        <w:t xml:space="preserve">) models, the farmer does not choose the sequence of actions one at a time. Instead, the farmer plans ahead over the future, by considering actions which may be costly now but pay off in years to come given the utility of a strategy (i.e. a sequence of actions, the discounted sum of the utility of all the individual actions in the strategy). This decision model can be formulated as</w:t>
      </w:r>
    </w:p>
    <w:p>
      <w:pPr>
        <w:pStyle w:val="BodyText"/>
      </w:pPr>
      <m:oMathPara>
        <m:oMathParaPr>
          <m:jc m:val="center"/>
        </m:oMathParaPr>
        <m:oMath>
          <m:limLow>
            <m:e>
              <m:r>
                <m:rPr>
                  <m:nor/>
                  <m:sty m:val="p"/>
                </m:rPr>
                <m:t>max</m:t>
              </m:r>
            </m:e>
            <m:lim>
              <m:r>
                <m:rPr>
                  <m:sty m:val="p"/>
                </m:rPr>
                <m:t>{</m:t>
              </m:r>
              <m:sSub>
                <m:e>
                  <m:r>
                    <m:t>a</m:t>
                  </m:r>
                </m:e>
                <m:sub>
                  <m:r>
                    <m:t>t</m:t>
                  </m:r>
                </m:sub>
              </m:sSub>
              <m:r>
                <m:rPr>
                  <m:sty m:val="p"/>
                </m:rPr>
                <m:t>∈</m:t>
              </m:r>
              <m:r>
                <m:t>A</m:t>
              </m:r>
              <m:r>
                <m:rPr>
                  <m:sty m:val="p"/>
                </m:rPr>
                <m:t>}</m:t>
              </m:r>
            </m:lim>
          </m:limLow>
          <m:r>
            <m:rPr>
              <m:sty m:val="p"/>
              <m:scr m:val="double-struck"/>
            </m:rPr>
            <m:t>E</m:t>
          </m:r>
          <m:d>
            <m:dPr>
              <m:begChr m:val="["/>
              <m:endChr m:val="]"/>
              <m:sepChr m:val=""/>
              <m:grow/>
            </m:dPr>
            <m:e>
              <m:nary>
                <m:naryPr>
                  <m:chr m:val="∑"/>
                  <m:limLoc m:val="undOvr"/>
                  <m:subHide m:val="0"/>
                  <m:supHide m:val="0"/>
                </m:naryPr>
                <m:sub>
                  <m:r>
                    <m:t>t</m:t>
                  </m:r>
                </m:sub>
                <m:sup>
                  <m:r>
                    <m:t>T</m:t>
                  </m:r>
                </m:sup>
                <m:e>
                  <m:r>
                    <m:t>u</m:t>
                  </m:r>
                </m:e>
              </m:nary>
              <m:d>
                <m:dPr>
                  <m:begChr m:val="("/>
                  <m:endChr m:val=")"/>
                  <m:sepChr m:val=""/>
                  <m:grow/>
                </m:dPr>
                <m:e>
                  <m:sSub>
                    <m:e>
                      <m:r>
                        <m:t>s</m:t>
                      </m:r>
                    </m:e>
                    <m:sub>
                      <m:r>
                        <m:t>t</m:t>
                      </m:r>
                    </m:sub>
                  </m:sSub>
                  <m:r>
                    <m:rPr>
                      <m:sty m:val="p"/>
                    </m:rPr>
                    <m:t>,</m:t>
                  </m:r>
                  <m:sSub>
                    <m:e>
                      <m:r>
                        <m:t>a</m:t>
                      </m:r>
                    </m:e>
                    <m:sub>
                      <m:r>
                        <m:t>t</m:t>
                      </m:r>
                    </m:sub>
                  </m:sSub>
                </m:e>
              </m:d>
              <m:sSup>
                <m:e>
                  <m:r>
                    <m:t>γ</m:t>
                  </m:r>
                </m:e>
                <m:sup>
                  <m:r>
                    <m:t>t</m:t>
                  </m:r>
                </m:sup>
              </m:sSup>
            </m:e>
          </m:d>
        </m:oMath>
      </m:oMathPara>
    </w:p>
    <w:p>
      <w:pPr>
        <w:pStyle w:val="FirstParagraph"/>
      </w:pPr>
      <w:r>
        <w:t xml:space="preserve">where</w:t>
      </w:r>
      <w:r>
        <w:t xml:space="preserve"> </w:t>
      </w:r>
      <m:oMath>
        <m:r>
          <m:rPr>
            <m:sty m:val="p"/>
          </m:rPr>
          <m:t>{</m:t>
        </m:r>
        <m:sSub>
          <m:e>
            <m:r>
              <m:t>a</m:t>
            </m:r>
          </m:e>
          <m:sub>
            <m:r>
              <m:t>t</m:t>
            </m:r>
          </m:sub>
        </m:sSub>
        <m:r>
          <m:rPr>
            <m:sty m:val="p"/>
          </m:rPr>
          <m:t>}</m:t>
        </m:r>
      </m:oMath>
      <w:r>
        <w:t xml:space="preserve"> </w:t>
      </w:r>
      <w:r>
        <w:t xml:space="preserve">is chosen from the set of available actions,</w:t>
      </w:r>
      <w:r>
        <w:t xml:space="preserve"> </w:t>
      </w:r>
      <m:oMath>
        <m:r>
          <m:rPr>
            <m:sty m:val="p"/>
            <m:scr m:val="double-struck"/>
          </m:rPr>
          <m:t>E</m:t>
        </m:r>
      </m:oMath>
      <w:r>
        <w:t xml:space="preserve"> </w:t>
      </w:r>
      <w:r>
        <w:t xml:space="preserve">the expected utility operator,</w:t>
      </w:r>
      <w:r>
        <w:t xml:space="preserve"> </w:t>
      </w:r>
      <m:oMath>
        <m:r>
          <m:t>u</m:t>
        </m:r>
        <m:d>
          <m:dPr>
            <m:begChr m:val="("/>
            <m:endChr m:val=")"/>
            <m:sepChr m:val=""/>
            <m:grow/>
          </m:dPr>
          <m:e>
            <m:sSub>
              <m:e>
                <m:r>
                  <m:t>s</m:t>
                </m:r>
              </m:e>
              <m:sub>
                <m:r>
                  <m:t>t</m:t>
                </m:r>
              </m:sub>
            </m:sSub>
            <m:r>
              <m:rPr>
                <m:sty m:val="p"/>
              </m:rPr>
              <m:t>,</m:t>
            </m:r>
            <m:sSub>
              <m:e>
                <m:r>
                  <m:t>a</m:t>
                </m:r>
              </m:e>
              <m:sub>
                <m:r>
                  <m:t>t</m:t>
                </m:r>
              </m:sub>
            </m:sSub>
          </m:e>
        </m:d>
      </m:oMath>
      <w:r>
        <w:t xml:space="preserve"> </w:t>
      </w:r>
      <w:r>
        <w:t xml:space="preserve">the utility which the farmer associates with being in state</w:t>
      </w:r>
      <w:r>
        <w:t xml:space="preserve"> </w:t>
      </w:r>
      <m:oMath>
        <m:sSub>
          <m:e>
            <m:r>
              <m:t>s</m:t>
            </m:r>
          </m:e>
          <m:sub>
            <m:r>
              <m:t>t</m:t>
            </m:r>
          </m:sub>
        </m:sSub>
      </m:oMath>
      <w:r>
        <w:t xml:space="preserve"> </w:t>
      </w:r>
      <w:r>
        <w:t xml:space="preserve">and taking action</w:t>
      </w:r>
      <w:r>
        <w:t xml:space="preserve"> </w:t>
      </w:r>
      <m:oMath>
        <m:sSub>
          <m:e>
            <m:r>
              <m:t>a</m:t>
            </m:r>
          </m:e>
          <m:sub>
            <m:r>
              <m:t>t</m:t>
            </m:r>
          </m:sub>
        </m:sSub>
      </m:oMath>
      <w:r>
        <w:t xml:space="preserve"> </w:t>
      </w:r>
      <w:r>
        <w:t xml:space="preserve">at time</w:t>
      </w:r>
      <w:r>
        <w:t xml:space="preserve"> </w:t>
      </w:r>
      <m:oMath>
        <m:r>
          <m:t>t</m:t>
        </m:r>
      </m:oMath>
      <w:r>
        <w:t xml:space="preserve">,</w:t>
      </w:r>
      <w:r>
        <w:t xml:space="preserve"> </w:t>
      </w:r>
      <m:oMath>
        <m:r>
          <m:t>γ</m:t>
        </m:r>
      </m:oMath>
      <w:r>
        <w:t xml:space="preserve"> </w:t>
      </w:r>
      <w:r>
        <w:t xml:space="preserve">the myopic discount factor, and</w:t>
      </w:r>
      <w:r>
        <w:t xml:space="preserve"> </w:t>
      </w:r>
      <m:oMath>
        <m:r>
          <m:t>T</m:t>
        </m:r>
      </m:oMath>
      <w:r>
        <w:t xml:space="preserve"> </w:t>
      </w:r>
      <w:r>
        <w:t xml:space="preserve">the time horizon of the decision, which in this case represents the land tenure of the farm. In our study we set</w:t>
      </w:r>
      <w:r>
        <w:t xml:space="preserve"> </w:t>
      </w:r>
      <m:oMath>
        <m:r>
          <m:t>T</m:t>
        </m:r>
        <m:r>
          <m:rPr>
            <m:sty m:val="p"/>
          </m:rPr>
          <m:t>=</m:t>
        </m:r>
        <m:r>
          <m:t>10</m:t>
        </m:r>
      </m:oMath>
      <w:r>
        <w:t xml:space="preserve"> </w:t>
      </w:r>
      <w:r>
        <w:t xml:space="preserve">to represent tenant farms and</w:t>
      </w:r>
      <w:r>
        <w:t xml:space="preserve"> </w:t>
      </w:r>
      <m:oMath>
        <m:r>
          <m:t>T</m:t>
        </m:r>
        <m:r>
          <m:rPr>
            <m:sty m:val="p"/>
          </m:rPr>
          <m:t>→</m:t>
        </m:r>
        <m:r>
          <m:rPr>
            <m:sty m:val="p"/>
          </m:rPr>
          <m:t>∞</m:t>
        </m:r>
      </m:oMath>
      <w:r>
        <w:t xml:space="preserve"> </w:t>
      </w:r>
      <w:r>
        <w:t xml:space="preserve">to represent a farmer who owns the land or has a long lease. The farmer takes action</w:t>
      </w:r>
      <w:r>
        <w:t xml:space="preserve"> </w:t>
      </w:r>
      <m:oMath>
        <m:sSub>
          <m:e>
            <m:r>
              <m:t>a</m:t>
            </m:r>
          </m:e>
          <m:sub>
            <m:r>
              <m:t>t</m:t>
            </m:r>
          </m:sub>
        </m:sSub>
      </m:oMath>
      <w:r>
        <w:t xml:space="preserve"> </w:t>
      </w:r>
      <w:r>
        <w:t xml:space="preserve">to get the highest expected return over either an infinite decision horizon or a given finite decision horizon (methods to solve for the action policy are outlined in Marescot et al., 2013).</w:t>
      </w:r>
      <w:r>
        <w:rPr>
          <w:vertAlign w:val="superscript"/>
        </w:rPr>
        <w:t xml:space="preserve">@ 27</w:t>
      </w:r>
    </w:p>
    <w:p>
      <w:pPr>
        <w:pStyle w:val="BodyText"/>
      </w:pPr>
      <w:r>
        <w:t xml:space="preserve">We assume a simple model of the farmer’s perceived utility</w:t>
      </w:r>
      <w:r>
        <w:t xml:space="preserve"> </w:t>
      </w:r>
      <m:oMath>
        <m:r>
          <m:t>u</m:t>
        </m:r>
        <m:d>
          <m:dPr>
            <m:begChr m:val="("/>
            <m:endChr m:val=")"/>
            <m:sepChr m:val=""/>
            <m:grow/>
          </m:dPr>
          <m:e>
            <m:sSub>
              <m:e>
                <m:r>
                  <m:t>s</m:t>
                </m:r>
              </m:e>
              <m:sub>
                <m:r>
                  <m:t>t</m:t>
                </m:r>
              </m:sub>
            </m:sSub>
            <m:r>
              <m:rPr>
                <m:sty m:val="p"/>
              </m:rPr>
              <m:t>,</m:t>
            </m:r>
            <m:sSub>
              <m:e>
                <m:r>
                  <m:t>a</m:t>
                </m:r>
              </m:e>
              <m:sub>
                <m:r>
                  <m:t>t</m:t>
                </m:r>
              </m:sub>
            </m:sSub>
          </m:e>
        </m:d>
      </m:oMath>
      <w:r>
        <w:t xml:space="preserve"> </w:t>
      </w:r>
      <w:r>
        <w:t xml:space="preserve">as a function of the difference between the cost</w:t>
      </w:r>
      <w:r>
        <w:t xml:space="preserve"> </w:t>
      </w:r>
      <m:oMath>
        <m:sSub>
          <m:e>
            <m:r>
              <m:t>c</m:t>
            </m:r>
          </m:e>
          <m:sub>
            <m:r>
              <m:t>a</m:t>
            </m:r>
          </m:sub>
        </m:sSub>
      </m:oMath>
      <w:r>
        <w:t xml:space="preserve"> </w:t>
      </w:r>
      <w:r>
        <w:t xml:space="preserve">associated with diversification practice action</w:t>
      </w:r>
      <w:r>
        <w:t xml:space="preserve"> </w:t>
      </w:r>
      <m:oMath>
        <m:sSub>
          <m:e>
            <m:r>
              <m:t>a</m:t>
            </m:r>
          </m:e>
          <m:sub>
            <m:r>
              <m:t>t</m:t>
            </m:r>
          </m:sub>
        </m:sSub>
      </m:oMath>
      <w:r>
        <w:t xml:space="preserve">, versus expected benefits</w:t>
      </w:r>
      <w:r>
        <w:t xml:space="preserve"> </w:t>
      </w:r>
      <m:oMath>
        <m:sSub>
          <m:e>
            <m:r>
              <m:t>b</m:t>
            </m:r>
          </m:e>
          <m:sub>
            <m:r>
              <m:t>s</m:t>
            </m:r>
          </m:sub>
        </m:sSub>
      </m:oMath>
      <w:r>
        <w:t xml:space="preserve"> </w:t>
      </w:r>
      <w:r>
        <w:t xml:space="preserve">derived from ecosystem state</w:t>
      </w:r>
      <w:r>
        <w:t xml:space="preserve"> </w:t>
      </w:r>
      <m:oMath>
        <m:sSub>
          <m:e>
            <m:r>
              <m:t>s</m:t>
            </m:r>
          </m:e>
          <m:sub>
            <m:r>
              <m:t>t</m:t>
            </m:r>
          </m:sub>
        </m:sSub>
      </m:oMath>
      <w:r>
        <w:t xml:space="preserve">, at time</w:t>
      </w:r>
      <w:r>
        <w:t xml:space="preserve"> </w:t>
      </w:r>
      <m:oMath>
        <m:r>
          <m:t>t</m:t>
        </m:r>
      </m:oMath>
      <w:r>
        <w:t xml:space="preserve">, such that</w:t>
      </w:r>
    </w:p>
    <w:p>
      <w:pPr>
        <w:pStyle w:val="BodyText"/>
      </w:pPr>
      <m:oMathPara>
        <m:oMathParaPr>
          <m:jc m:val="center"/>
        </m:oMathParaPr>
        <m:oMath>
          <m:r>
            <m:t>u</m:t>
          </m:r>
          <m:d>
            <m:dPr>
              <m:begChr m:val="("/>
              <m:endChr m:val=")"/>
              <m:sepChr m:val=""/>
              <m:grow/>
            </m:dPr>
            <m:e>
              <m:sSub>
                <m:e>
                  <m:r>
                    <m:t>s</m:t>
                  </m:r>
                </m:e>
                <m:sub>
                  <m:r>
                    <m:t>t</m:t>
                  </m:r>
                </m:sub>
              </m:sSub>
              <m:r>
                <m:rPr>
                  <m:sty m:val="p"/>
                </m:rPr>
                <m:t>,</m:t>
              </m:r>
              <m:sSub>
                <m:e>
                  <m:r>
                    <m:t>a</m:t>
                  </m:r>
                </m:e>
                <m:sub>
                  <m:r>
                    <m:t>t</m:t>
                  </m:r>
                </m:sub>
              </m:sSub>
            </m:e>
          </m:d>
          <m:r>
            <m:rPr>
              <m:sty m:val="p"/>
            </m:rPr>
            <m:t>=</m:t>
          </m:r>
          <m:sSub>
            <m:e>
              <m:r>
                <m:t>b</m:t>
              </m:r>
            </m:e>
            <m:sub>
              <m:r>
                <m:t>s</m:t>
              </m:r>
            </m:sub>
          </m:sSub>
          <m:sSub>
            <m:e>
              <m:r>
                <m:t>s</m:t>
              </m:r>
            </m:e>
            <m:sub>
              <m:r>
                <m:t>t</m:t>
              </m:r>
            </m:sub>
          </m:sSub>
          <m:r>
            <m:rPr>
              <m:sty m:val="p"/>
            </m:rPr>
            <m:t>−</m:t>
          </m:r>
          <m:sSub>
            <m:e>
              <m:r>
                <m:t>c</m:t>
              </m:r>
            </m:e>
            <m:sub>
              <m:r>
                <m:t>a</m:t>
              </m:r>
            </m:sub>
          </m:sSub>
          <m:sSub>
            <m:e>
              <m:r>
                <m:t>a</m:t>
              </m:r>
            </m:e>
            <m:sub>
              <m:r>
                <m:t>t</m:t>
              </m:r>
            </m:sub>
          </m:sSub>
        </m:oMath>
      </m:oMathPara>
    </w:p>
    <w:p>
      <w:pPr>
        <w:pStyle w:val="FirstParagraph"/>
      </w:pPr>
      <w:r>
        <w:t xml:space="preserve">where farmers’ initial ecosystem states were distributed normally around a mean of</w:t>
      </w:r>
      <w:r>
        <w:t xml:space="preserve"> </w:t>
      </w:r>
      <m:oMath>
        <m:sSub>
          <m:e>
            <m:r>
              <m:t>s</m:t>
            </m:r>
          </m:e>
          <m:sub>
            <m:r>
              <m:t>0</m:t>
            </m:r>
          </m:sub>
        </m:sSub>
        <m:r>
          <m:rPr>
            <m:sty m:val="p"/>
          </m:rPr>
          <m:t>=</m:t>
        </m:r>
        <m:r>
          <m:t>0.5</m:t>
        </m:r>
      </m:oMath>
      <w:r>
        <w:t xml:space="preserve">. The ecosystem state is also dynamic, evolving according to the transition probability function</w:t>
      </w:r>
      <w:r>
        <w:t xml:space="preserve"> </w:t>
      </w:r>
      <m:oMath>
        <m:r>
          <m:t>p</m:t>
        </m:r>
        <m:d>
          <m:dPr>
            <m:begChr m:val="("/>
            <m:endChr m:val=")"/>
            <m:sepChr m:val=""/>
            <m:grow/>
          </m:dPr>
          <m:e>
            <m:sSub>
              <m:e>
                <m:r>
                  <m:t>s</m:t>
                </m:r>
              </m:e>
              <m:sub>
                <m:r>
                  <m:t>t</m:t>
                </m:r>
              </m:sub>
            </m:sSub>
            <m:r>
              <m:rPr>
                <m:sty m:val="p"/>
              </m:rPr>
              <m:t>,</m:t>
            </m:r>
            <m:sSub>
              <m:e>
                <m:r>
                  <m:t>a</m:t>
                </m:r>
              </m:e>
              <m:sub>
                <m:r>
                  <m:t>t</m:t>
                </m:r>
              </m:sub>
            </m:sSub>
          </m:e>
        </m:d>
      </m:oMath>
      <w:r>
        <w:t xml:space="preserve">, such that</w:t>
      </w:r>
    </w:p>
    <w:p>
      <w:pPr>
        <w:pStyle w:val="BodyText"/>
      </w:pPr>
      <m:oMathPara>
        <m:oMathParaPr>
          <m:jc m:val="center"/>
        </m:oMathParaPr>
        <m:oMath>
          <m:sSub>
            <m:e>
              <m:r>
                <m:t>s</m:t>
              </m:r>
            </m:e>
            <m:sub>
              <m:r>
                <m:t>t</m:t>
              </m:r>
              <m:r>
                <m:rPr>
                  <m:sty m:val="p"/>
                </m:rPr>
                <m:t>+</m:t>
              </m:r>
              <m:r>
                <m:t>1</m:t>
              </m:r>
            </m:sub>
          </m:sSub>
          <m:r>
            <m:rPr>
              <m:sty m:val="p"/>
            </m:rPr>
            <m:t>=</m:t>
          </m:r>
          <m:r>
            <m:t>p</m:t>
          </m:r>
          <m:d>
            <m:dPr>
              <m:begChr m:val="("/>
              <m:endChr m:val=")"/>
              <m:sepChr m:val=""/>
              <m:grow/>
            </m:dPr>
            <m:e>
              <m:sSub>
                <m:e>
                  <m:r>
                    <m:t>s</m:t>
                  </m:r>
                </m:e>
                <m:sub>
                  <m:r>
                    <m:t>t</m:t>
                  </m:r>
                </m:sub>
              </m:sSub>
              <m:r>
                <m:rPr>
                  <m:sty m:val="p"/>
                </m:rPr>
                <m:t>,</m:t>
              </m:r>
              <m:sSub>
                <m:e>
                  <m:r>
                    <m:t>a</m:t>
                  </m:r>
                </m:e>
                <m:sub>
                  <m:r>
                    <m:t>t</m:t>
                  </m:r>
                </m:sub>
              </m:sSub>
            </m:e>
          </m:d>
          <m:box>
            <m:boxPr>
              <m:opEmu m:val="1"/>
            </m:boxPr>
            <m:e>
              <m:r>
                <m:rPr>
                  <m:sty m:val="p"/>
                </m:rPr>
                <m:t>:=</m:t>
              </m:r>
            </m:e>
          </m:box>
          <m:sSub>
            <m:e>
              <m:r>
                <m:t>s</m:t>
              </m:r>
            </m:e>
            <m:sub>
              <m:r>
                <m:t>t</m:t>
              </m:r>
            </m:sub>
          </m:sSub>
          <m:r>
            <m:rPr>
              <m:sty m:val="p"/>
            </m:rPr>
            <m:t>+</m:t>
          </m:r>
          <m:r>
            <m:t>r</m:t>
          </m:r>
          <m:d>
            <m:dPr>
              <m:begChr m:val="("/>
              <m:endChr m:val=")"/>
              <m:sepChr m:val=""/>
              <m:grow/>
            </m:dPr>
            <m:e>
              <m:sSub>
                <m:e>
                  <m:r>
                    <m:t>a</m:t>
                  </m:r>
                </m:e>
                <m:sub>
                  <m:r>
                    <m:t>t</m:t>
                  </m:r>
                </m:sub>
              </m:sSub>
              <m:r>
                <m:rPr>
                  <m:sty m:val="p"/>
                </m:rPr>
                <m:t>−</m:t>
              </m:r>
              <m:sSub>
                <m:e>
                  <m:r>
                    <m:t>s</m:t>
                  </m:r>
                </m:e>
                <m:sub>
                  <m:r>
                    <m:t>t</m:t>
                  </m:r>
                </m:sub>
              </m:sSub>
            </m:e>
          </m:d>
          <m:r>
            <m:rPr>
              <m:sty m:val="p"/>
            </m:rPr>
            <m:t>+</m:t>
          </m:r>
          <m:r>
            <m:t>ϵ</m:t>
          </m:r>
        </m:oMath>
      </m:oMathPara>
    </w:p>
    <w:p>
      <w:pPr>
        <w:pStyle w:val="FirstParagraph"/>
      </w:pPr>
      <w:r>
        <w:t xml:space="preserve">where</w:t>
      </w:r>
      <w:r>
        <w:t xml:space="preserve"> </w:t>
      </w:r>
      <m:oMath>
        <m:r>
          <m:t>ϵ</m:t>
        </m:r>
        <m:r>
          <m:rPr>
            <m:sty m:val="p"/>
          </m:rPr>
          <m:t>∼</m:t>
        </m:r>
        <m:r>
          <m:t>N</m:t>
        </m:r>
        <m:d>
          <m:dPr>
            <m:begChr m:val="("/>
            <m:endChr m:val=")"/>
            <m:sepChr m:val=""/>
            <m:grow/>
          </m:dPr>
          <m:e>
            <m:r>
              <m:t>0</m:t>
            </m:r>
            <m:r>
              <m:rPr>
                <m:sty m:val="p"/>
              </m:rPr>
              <m:t>,</m:t>
            </m:r>
            <m:r>
              <m:t>σ</m:t>
            </m:r>
          </m:e>
        </m:d>
      </m:oMath>
      <w:r>
        <w:t xml:space="preserve">. This provides a minimal state transition model in which the parameter</w:t>
      </w:r>
      <w:r>
        <w:t xml:space="preserve"> </w:t>
      </w:r>
      <m:oMath>
        <m:r>
          <m:t>r</m:t>
        </m:r>
      </m:oMath>
      <w:r>
        <w:t xml:space="preserve"> </w:t>
      </w:r>
      <w:r>
        <w:t xml:space="preserve">sets the natural timescale at which the ecosystem can respond to changes in land management decisions, and</w:t>
      </w:r>
      <w:r>
        <w:t xml:space="preserve"> </w:t>
      </w:r>
      <m:oMath>
        <m:r>
          <m:t>σ</m:t>
        </m:r>
      </m:oMath>
      <w:r>
        <w:t xml:space="preserve"> </w:t>
      </w:r>
      <w:r>
        <w:t xml:space="preserve">defines the width of the state transition probability distribution, capturing the noise inherent to ecological system change.</w:t>
      </w:r>
    </w:p>
    <w:p>
      <w:pPr>
        <w:pStyle w:val="BodyText"/>
      </w:pPr>
      <w:r>
        <w:t xml:space="preserve">While we have assumed very basic transition and utility functions for this stylized model, in general more complicated nonlinear functions for both the ecosystem state transition and perceived utility could be substituted into this framework.</w:t>
      </w:r>
    </w:p>
    <w:bookmarkEnd w:id="26"/>
    <w:bookmarkEnd w:id="27"/>
    <w:bookmarkStart w:id="36" w:name="results"/>
    <w:p>
      <w:pPr>
        <w:pStyle w:val="Heading1"/>
      </w:pPr>
      <w:r>
        <w:t xml:space="preserve">Results</w:t>
      </w:r>
    </w:p>
    <w:bookmarkStart w:id="29" w:name="bistability-in-ecosystem-services"/>
    <w:p>
      <w:pPr>
        <w:pStyle w:val="Heading2"/>
      </w:pPr>
      <w:r>
        <w:t xml:space="preserve">Bistability in ecosystem services</w:t>
      </w:r>
    </w:p>
    <w:p>
      <w:pPr>
        <w:pStyle w:val="FirstParagraph"/>
      </w:pPr>
      <w:r>
        <w:t xml:space="preserve">Using the described model, we observe the behavior of farmers’ sequential choices and the resultant environmental outcomes through time.</w:t>
      </w:r>
      <w:r>
        <w:t xml:space="preserve"> </w:t>
      </w:r>
      <w:r>
        <w:t xml:space="preserve">The decision strategy,</w:t>
      </w:r>
      <w:r>
        <w:t xml:space="preserve"> </w:t>
      </w:r>
      <m:oMath>
        <m:sSup>
          <m:e>
            <m:r>
              <m:t>π</m:t>
            </m:r>
          </m:e>
          <m:sup>
            <m:r>
              <m:rPr>
                <m:sty m:val="p"/>
              </m:rPr>
              <m:t>*</m:t>
            </m:r>
          </m:sup>
        </m:sSup>
      </m:oMath>
      <w:r>
        <w:t xml:space="preserve">, describes the emergent optimal course of action for a given ecosystem service state (the stationary optimal state-dependent decision strategy). Figure 3A shows this optimal strategy when the farmer plans over a discounted infinite time horizon. Notably, it shows that at some ecosystem service state, the optimal decision strategy displays a tipping point in which it becomes advantageous to adopt diversification practices (Figure 3A).</w:t>
      </w:r>
    </w:p>
    <w:p>
      <w:pPr>
        <w:pStyle w:val="BodyText"/>
      </w:pPr>
      <w:r>
        <w:t xml:space="preserve">We find that following the optimal decision strategy from Figure 3A, farms have largely settled into two stable ecosystem service states, with some farms transitioning to more simplified (lower levels of ecosystem services) farming systems, and others to more diversified (higher levels of ecosystem services) systems (Figures 3B and 3C).</w:t>
      </w:r>
    </w:p>
    <w:p>
      <w:pPr>
        <w:pStyle w:val="CaptionedFigure"/>
      </w:pPr>
      <w:r>
        <w:drawing>
          <wp:inline>
            <wp:extent cx="5334000" cy="2667000"/>
            <wp:effectExtent b="0" l="0" r="0" t="0"/>
            <wp:docPr descr="Initial ecosystem states (dark blue) are distributed normally (mean = 0.5; S.D. = 0.2; truncated at [0,1]). (A) Optimal decision strategy \pi for discounted infinite decision horizon. (B) Ecosystem state of each agent following decision strategy from (A) over 20 decision cycles (500 simulations). (C) Initial ecosystem state density (dark blue) and final bimodal ecosystem state density at t = 20 (light blue). Density represents the probability density of a given ecosystem service state." title="" id="1" name="Picture"/>
            <a:graphic>
              <a:graphicData uri="http://schemas.openxmlformats.org/drawingml/2006/picture">
                <pic:pic>
                  <pic:nvPicPr>
                    <pic:cNvPr descr="dfs-mdp-manuscript_files/figure-docx/res_bimodal-1.pdf" id="0" name="Picture"/>
                    <pic:cNvPicPr>
                      <a:picLocks noChangeArrowheads="1" noChangeAspect="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Initial ecosystem states (dark blue) are distributed normally (mean = 0.5; S.D. = 0.2; truncated at [0,1]). (A) Optimal decision strategy</w:t>
      </w:r>
      <w:r>
        <w:t xml:space="preserve"> </w:t>
      </w:r>
      <m:oMath>
        <m:r>
          <m:t>π</m:t>
        </m:r>
      </m:oMath>
      <w:r>
        <w:t xml:space="preserve"> </w:t>
      </w:r>
      <w:r>
        <w:t xml:space="preserve">for discounted infinite decision horizon. (B) Ecosystem state of each agent following decision strategy from (A) over 20 decision cycles (500 simulations). (C) Initial ecosystem state density (dark blue) and final bimodal ecosystem state density at</w:t>
      </w:r>
      <w:r>
        <w:t xml:space="preserve"> </w:t>
      </w:r>
      <m:oMath>
        <m:r>
          <m:t>t</m:t>
        </m:r>
        <m:r>
          <m:rPr>
            <m:sty m:val="p"/>
          </m:rPr>
          <m:t>=</m:t>
        </m:r>
        <m:r>
          <m:t>20</m:t>
        </m:r>
      </m:oMath>
      <w:r>
        <w:t xml:space="preserve"> </w:t>
      </w:r>
      <w:r>
        <w:t xml:space="preserve">(light blue). Density represents the probability density of a given ecosystem service state.</w:t>
      </w:r>
    </w:p>
    <w:bookmarkEnd w:id="29"/>
    <w:bookmarkStart w:id="31" w:name="Xfcfb0d40c9f0ce7139b204a185f341405f08bb6"/>
    <w:p>
      <w:pPr>
        <w:pStyle w:val="Heading2"/>
      </w:pPr>
      <w:r>
        <w:t xml:space="preserve">Importance of temporal dynamics in coupled systems</w:t>
      </w:r>
    </w:p>
    <w:p>
      <w:pPr>
        <w:pStyle w:val="FirstParagraph"/>
      </w:pPr>
      <w:r>
        <w:t xml:space="preserve">Our baseline model shows how a simple coupling of human choices and ecological responses can result in bistable landscapes of high and low diversification practice adoption and, as a result, high and low levels of ecosystem services (Figure 3).</w:t>
      </w:r>
      <w:r>
        <w:t xml:space="preserve"> </w:t>
      </w:r>
      <w:r>
        <w:t xml:space="preserve">By varying the time horizon of the decision process, the rate of ecological response, and the cost/benefit ratio, we find that this tipping point in decision strategy disappears when the speed of response of either the ecological system or decision-making process overwhelms the coupling (we use this as a proxy for decoupling) (Figure 4A).</w:t>
      </w:r>
    </w:p>
    <w:p>
      <w:pPr>
        <w:pStyle w:val="BodyText"/>
      </w:pPr>
      <w:r>
        <w:t xml:space="preserve">With temporal human/environment interactions, there exists a region of cost-benefit ratio within which various bimodal ecosystem state distributions exist, as in Figure 4A and Figure 3).</w:t>
      </w:r>
      <w:r>
        <w:t xml:space="preserve"> </w:t>
      </w:r>
      <w:r>
        <w:t xml:space="preserve">Intuitively, at low enough cost-benefit ratios, bimodality disappears because farmers are expected to always invest (Figure 4A bottom panel). Similarly, at high enough cost-benefit rations, biomodality disappears because farmers are expected to always divest (Figure 4A bottom panel). However, within a range of cost-benefit ratios, decision strategies are expected to drive bimodal ecosystem patterns (Figure 4A bottom panel between red dotted lines).</w:t>
      </w:r>
      <w:r>
        <w:t xml:space="preserve"> </w:t>
      </w:r>
      <w:r>
        <w:t xml:space="preserve">Shortening the time horizon of decisions (Fig 4b) or increasing the rate of ecological processes (Fig 4C) necessarily changes the ratio of benefits to costs required to make investing in practices worthwhile.</w:t>
      </w:r>
      <w:r>
        <w:t xml:space="preserve"> </w:t>
      </w:r>
      <w:r>
        <w:t xml:space="preserve">However, when decisions become temporally myopic (in this case, with a time horizon of 2 decision cycles), the potential for bistability in adoption trajectories disappears (Fig 4B bottom panel). Unlike Figure 3A, there does not exist a region of cost-benefit space for this case in which bistable patterns of ecosystem states exist (Figure 4B bottom panel).</w:t>
      </w:r>
      <w:r>
        <w:t xml:space="preserve"> </w:t>
      </w:r>
      <w:r>
        <w:t xml:space="preserve">Similarly, when ecological processes become fast enough that the ecosystem responds almost immediately to farmer actions (</w:t>
      </w:r>
      <m:oMath>
        <m:r>
          <m:t>r</m:t>
        </m:r>
        <m:r>
          <m:rPr>
            <m:sty m:val="p"/>
          </m:rPr>
          <m:t>=</m:t>
        </m:r>
        <m:r>
          <m:t>0.95</m:t>
        </m:r>
      </m:oMath>
      <w:r>
        <w:t xml:space="preserve">), alternate stable states fail to emerge, regardless of cost-benefit ratios (Figure 4C bottom panel).</w:t>
      </w:r>
      <w:r>
        <w:t xml:space="preserve"> </w:t>
      </w:r>
      <w:r>
        <w:t xml:space="preserve">Only when both a gradually changing environment and a forward-looking decision-maker (i.e. a farmer who takes into account potential benefits over the long term) are coupled, do tipping point phenomena emerge in the decision strategy, leading to two predominant ecosystem service states (Figure 4A, Figure 3).</w:t>
      </w:r>
      <w:r>
        <w:t xml:space="preserve"> </w:t>
      </w:r>
      <w:r>
        <w:t xml:space="preserve">This bimodal pattern matches farmers’ experiences based on quotes from our interview data (Figure 2), as well as other real world agricultural systems.</w:t>
      </w:r>
      <w:r>
        <w:rPr>
          <w:vertAlign w:val="superscript"/>
        </w:rPr>
        <w:t xml:space="preserve">12</w:t>
      </w:r>
    </w:p>
    <w:p>
      <w:pPr>
        <w:pStyle w:val="CaptionedFigure"/>
      </w:pPr>
      <w:r>
        <w:drawing>
          <wp:inline>
            <wp:extent cx="5334000" cy="2929141"/>
            <wp:effectExtent b="0" l="0" r="0" t="0"/>
            <wp:docPr descr="For three scenarios (coupled human/natural system, overly-myopic decision maker, and overly-fast ecological change), cost/benefit ratio was varied incrementally over 40 values, indicated by color shade, across a c:b range of width 0.15, encompassing the transition between a ‘never invest’ to an ‘always invest’ policy. For each c:b, 500 replicate simulations were conducted as in Fig 3. Upper plots show distribution of final ecosystem service state for each c:b. Lower plots show density curve peak(s). Where overlap is observed in the lower graphs indicates the c:b ratios associated with bistability. (A) By coupling a forward-looking decision-maker (e.g., a farmer who takes into account potential benefits over the long term) and a slowly-adapting environment, complex dynamics like alternate stable states can emerge (seen in cost benefit ratios between the red dotted lines). Bistable states do not exist at all cost-benefit ratios in this case (i.e., at a high enough cost to benefit ratio no adoption will occur, leading to a single low adoption state). Further, with (B) a short-term decision strategy (solving the MDP over a 2-year time horizon), or (C) a fast ecological change rate (r = 0.95), no bimodality is observed. In the cases of (B) and (C), the shift from no adoption to all-in adoption exists at some cost benefit ratio, removing the possibility of bistability in (A)" title="" id="1" name="Picture"/>
            <a:graphic>
              <a:graphicData uri="http://schemas.openxmlformats.org/drawingml/2006/picture">
                <pic:pic>
                  <pic:nvPicPr>
                    <pic:cNvPr descr="dfs-mdp-manuscript_files/figure-docx/res_b_sweep-1.pdf" id="0" name="Picture"/>
                    <pic:cNvPicPr>
                      <a:picLocks noChangeArrowheads="1" noChangeAspect="1"/>
                    </pic:cNvPicPr>
                  </pic:nvPicPr>
                  <pic:blipFill>
                    <a:blip r:embed="rId30"/>
                    <a:stretch>
                      <a:fillRect/>
                    </a:stretch>
                  </pic:blipFill>
                  <pic:spPr bwMode="auto">
                    <a:xfrm>
                      <a:off x="0" y="0"/>
                      <a:ext cx="5334000" cy="2929141"/>
                    </a:xfrm>
                    <a:prstGeom prst="rect">
                      <a:avLst/>
                    </a:prstGeom>
                    <a:noFill/>
                    <a:ln w="9525">
                      <a:noFill/>
                      <a:headEnd/>
                      <a:tailEnd/>
                    </a:ln>
                  </pic:spPr>
                </pic:pic>
              </a:graphicData>
            </a:graphic>
          </wp:inline>
        </w:drawing>
      </w:r>
    </w:p>
    <w:p>
      <w:pPr>
        <w:pStyle w:val="ImageCaption"/>
      </w:pPr>
      <w:r>
        <w:t xml:space="preserve">For three scenarios (coupled human/natural system, overly-myopic decision maker, and overly-fast ecological change), cost/benefit ratio was varied incrementally over 40 values, indicated by color shade, across a</w:t>
      </w:r>
      <w:r>
        <w:t xml:space="preserve"> </w:t>
      </w:r>
      <m:oMath>
        <m:r>
          <m:t>c</m:t>
        </m:r>
        <m:r>
          <m:rPr>
            <m:sty m:val="p"/>
          </m:rPr>
          <m:t>:</m:t>
        </m:r>
        <m:r>
          <m:t>b</m:t>
        </m:r>
      </m:oMath>
      <w:r>
        <w:t xml:space="preserve"> </w:t>
      </w:r>
      <w:r>
        <w:t xml:space="preserve">range of width 0.15, encompassing the transition between a</w:t>
      </w:r>
      <w:r>
        <w:t xml:space="preserve"> </w:t>
      </w:r>
      <w:r>
        <w:t xml:space="preserve">‘</w:t>
      </w:r>
      <w:r>
        <w:t xml:space="preserve">never invest</w:t>
      </w:r>
      <w:r>
        <w:t xml:space="preserve">’</w:t>
      </w:r>
      <w:r>
        <w:t xml:space="preserve"> </w:t>
      </w:r>
      <w:r>
        <w:t xml:space="preserve">to an</w:t>
      </w:r>
      <w:r>
        <w:t xml:space="preserve"> </w:t>
      </w:r>
      <w:r>
        <w:t xml:space="preserve">‘</w:t>
      </w:r>
      <w:r>
        <w:t xml:space="preserve">always invest</w:t>
      </w:r>
      <w:r>
        <w:t xml:space="preserve">’</w:t>
      </w:r>
      <w:r>
        <w:t xml:space="preserve"> </w:t>
      </w:r>
      <w:r>
        <w:t xml:space="preserve">policy. For each</w:t>
      </w:r>
      <w:r>
        <w:t xml:space="preserve"> </w:t>
      </w:r>
      <m:oMath>
        <m:r>
          <m:t>c</m:t>
        </m:r>
        <m:r>
          <m:rPr>
            <m:sty m:val="p"/>
          </m:rPr>
          <m:t>:</m:t>
        </m:r>
        <m:r>
          <m:t>b</m:t>
        </m:r>
      </m:oMath>
      <w:r>
        <w:t xml:space="preserve">, 500 replicate simulations were conducted as in Fig 3. Upper plots show distribution of final ecosystem service state for each</w:t>
      </w:r>
      <w:r>
        <w:t xml:space="preserve"> </w:t>
      </w:r>
      <m:oMath>
        <m:r>
          <m:t>c</m:t>
        </m:r>
        <m:r>
          <m:rPr>
            <m:sty m:val="p"/>
          </m:rPr>
          <m:t>:</m:t>
        </m:r>
        <m:r>
          <m:t>b</m:t>
        </m:r>
      </m:oMath>
      <w:r>
        <w:t xml:space="preserve">. Lower plots show density curve peak(s). Where overlap is observed in the lower graphs indicates the c:b ratios associated with bistability. (A) By coupling a forward-looking decision-maker (e.g., a farmer who takes into account potential benefits over the long term) and a slowly-adapting environment, complex dynamics like alternate stable states can emerge (seen in cost benefit ratios between the red dotted lines). Bistable states do not exist at all cost-benefit ratios in this case (i.e., at a high enough cost to benefit ratio no adoption will occur, leading to a single low adoption state). Further, with (B) a short-term decision strategy (solving the MDP over a 2-year time horizon), or (C) a fast ecological change rate (</w:t>
      </w:r>
      <m:oMath>
        <m:r>
          <m:t>r</m:t>
        </m:r>
        <m:r>
          <m:rPr>
            <m:sty m:val="p"/>
          </m:rPr>
          <m:t>=</m:t>
        </m:r>
        <m:r>
          <m:t>0.95</m:t>
        </m:r>
      </m:oMath>
      <w:r>
        <w:t xml:space="preserve">), no bimodality is observed. In the cases of (B) and (C), the shift from no adoption to all-in adoption exists at some cost benefit ratio, removing the possibility of bistability in (A)</w:t>
      </w:r>
    </w:p>
    <w:bookmarkEnd w:id="31"/>
    <w:bookmarkStart w:id="34" w:name="X2d2d6fb425559701acaff966dd6dfc82c3398b2"/>
    <w:p>
      <w:pPr>
        <w:pStyle w:val="Heading2"/>
      </w:pPr>
      <w:r>
        <w:t xml:space="preserve">Influence of land tenure policy on ecosystem service states</w:t>
      </w:r>
    </w:p>
    <w:p>
      <w:pPr>
        <w:pStyle w:val="FirstParagraph"/>
      </w:pPr>
      <w:r>
        <w:t xml:space="preserve">Given that temporal factors emerged as central themes from our interview data on diversified farming adoption patterns (Figure 2), and that such factors are more broadly relevant to understanding decision making patterns on rented land,</w:t>
      </w:r>
      <w:r>
        <w:rPr>
          <w:vertAlign w:val="superscript"/>
        </w:rPr>
        <w:t xml:space="preserve">16</w:t>
      </w:r>
      <w:r>
        <w:t xml:space="preserve"> we investigated the impact of land tenure policy on farmer decision making.</w:t>
      </w:r>
    </w:p>
    <w:p>
      <w:pPr>
        <w:pStyle w:val="BodyText"/>
      </w:pPr>
      <w:r>
        <w:t xml:space="preserve">We solved the MDP from Figure 3 on a constrained time horizon (10-decision cycles, in comparison to an infinite time horizon in Fig 3), representing the shorter horizon on which tenant farmers might make decisions.</w:t>
      </w:r>
    </w:p>
    <w:p>
      <w:pPr>
        <w:pStyle w:val="BodyText"/>
      </w:pPr>
      <w:r>
        <w:t xml:space="preserve">Comparing the final state distribution of the long-tenure (baseline) versus the short-tenure model shows that, as a farmer’s expected land tenure duration decreases, it becomes optimal to reduce diversification adoption across a wider range of ecosystem states.</w:t>
      </w:r>
      <w:r>
        <w:t xml:space="preserve"> </w:t>
      </w:r>
      <w:r>
        <w:t xml:space="preserve">This results in ecosystem state degradation even among farm sites with an initially high ecosystem service value, with 94% of farms ending up in the simplified state after 20 decision cycles (which might represent two separate 10 year leases).</w:t>
      </w:r>
      <w:r>
        <w:t xml:space="preserve"> </w:t>
      </w:r>
      <w:r>
        <w:t xml:space="preserve">However, the duration of land tenure may not be the sole factor defining decision horizons. Numerous economic and cultural factors – for example, whether farmers are highly motivated to seek sustainability as a goal in itself rather than solely for individual economic reasons – might also impact the time frame over which a farmer is willing to wait for ecological benefit.</w:t>
      </w:r>
    </w:p>
    <w:p>
      <w:pPr>
        <w:pStyle w:val="CaptionedFigure"/>
      </w:pPr>
      <w:r>
        <w:drawing>
          <wp:inline>
            <wp:extent cx="5334000" cy="2667000"/>
            <wp:effectExtent b="0" l="0" r="0" t="0"/>
            <wp:docPr descr="(A) The simulation is identical to that in Fig 3B, and represents long, stable land tenure. (B) The model from (A) is solved under a finite, 10-decision time horizon (rather than an infinite time horizon) to represent short-tenure. (C) Comparison between final state distribution of short- vs. long-tenure model runs." title="" id="1" name="Picture"/>
            <a:graphic>
              <a:graphicData uri="http://schemas.openxmlformats.org/drawingml/2006/picture">
                <pic:pic>
                  <pic:nvPicPr>
                    <pic:cNvPr descr="dfs-mdp-manuscript_files/figure-docx/res_tenure-1.pdf"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 The simulation is identical to that in Fig 3B, and represents long, stable land tenure. (B) The model from (A) is solved under a finite, 10-decision time horizon (rather than an infinite time horizon) to represent short-tenure. (C) Comparison between final state distribution of short- vs. long-tenure model runs.</w:t>
      </w:r>
    </w:p>
    <w:p>
      <w:pPr>
        <w:pStyle w:val="CaptionedFigure"/>
      </w:pPr>
      <w:r>
        <w:drawing>
          <wp:inline>
            <wp:extent cx="5334000" cy="2667000"/>
            <wp:effectExtent b="0" l="0" r="0" t="0"/>
            <wp:docPr descr="Starting from the same initial states as Fig 3, ecosystem service state time series are shown for (A) a large, abrupt incentive (100% of adoption expenses are covered for two years) vs. (B) a smaller, more sustained incentive (i.e. adoption cost is 80% of baseline for 10 years). Before discounting, both packages have the same total cost to the funder (the equivalent of 2 years’ worth of full adoption cost offsets). With discounting, (C) scenario is cheaper. After the incentive period, farmers (agents) adjust their decision rules to that of the base case (i.e. no incentive) until t = 20. (D) Shows that the sustained incentive ultimately drove more DP adoption." title="" id="1" name="Picture"/>
            <a:graphic>
              <a:graphicData uri="http://schemas.openxmlformats.org/drawingml/2006/picture">
                <pic:pic>
                  <pic:nvPicPr>
                    <pic:cNvPr descr="dfs-mdp-manuscript_files/figure-docx/res_incentive-1.pdf"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Starting from the same initial states as Fig 3, ecosystem service state time series are shown for (A) a large, abrupt incentive (100% of adoption expenses are covered for two years) vs. (B) a smaller, more sustained incentive (i.e. adoption cost is 80% of baseline for 10 years). Before discounting, both packages have the same total cost to the funder (the equivalent of 2 years’ worth of full adoption cost offsets). With discounting, (C) scenario is cheaper. After the incentive period, farmers (agents) adjust their decision rules to that of the base case (i.e. no incentive) until</w:t>
      </w:r>
      <w:r>
        <w:t xml:space="preserve"> </w:t>
      </w:r>
      <m:oMath>
        <m:r>
          <m:t>t</m:t>
        </m:r>
        <m:r>
          <m:rPr>
            <m:sty m:val="p"/>
          </m:rPr>
          <m:t>=</m:t>
        </m:r>
        <m:r>
          <m:t>20</m:t>
        </m:r>
      </m:oMath>
      <w:r>
        <w:t xml:space="preserve">. (D) Shows that the sustained incentive ultimately drove more DP adoption.</w:t>
      </w:r>
    </w:p>
    <w:bookmarkEnd w:id="34"/>
    <w:bookmarkStart w:id="35" w:name="Xc004df3a8c762cb02fe1308c516844ab7f4a71e"/>
    <w:p>
      <w:pPr>
        <w:pStyle w:val="Heading2"/>
      </w:pPr>
      <w:r>
        <w:t xml:space="preserve">Temporal dynamics and incentive structures</w:t>
      </w:r>
    </w:p>
    <w:p>
      <w:pPr>
        <w:pStyle w:val="FirstParagraph"/>
      </w:pPr>
      <w:r>
        <w:t xml:space="preserve">Our coupled social-ecological system model also allows for exploration of how incentives that shift cost-benefit structures influence management practices.</w:t>
      </w:r>
      <w:r>
        <w:t xml:space="preserve"> </w:t>
      </w:r>
      <w:r>
        <w:t xml:space="preserve">Based on feedback from the farmers we interviewed (Figure 2), we explore the impact of incentive duration on the efficacy of policies to promote adoption of diversification practices by comparing two different publicly funded incentive scheme designs: a short-term (two-time step) incentive which fully covers the cost of adoption, versus a longer-term (ten-time step) incentive that only partially offsets the adoption cost.</w:t>
      </w:r>
      <w:r>
        <w:t xml:space="preserve"> </w:t>
      </w:r>
      <w:r>
        <w:t xml:space="preserve">Both schemes offer the same total amount of financial support. Within the model, farmers adapt their optimal decision strategies for the given cost-benefit ratio during the incentive period, and at its conclusion they revert to the baseline strategy (i.e. without payments).</w:t>
      </w:r>
    </w:p>
    <w:p>
      <w:pPr>
        <w:pStyle w:val="BodyText"/>
      </w:pPr>
      <w:r>
        <w:t xml:space="preserve">We find longer, more sustained incentive programs to be more effective at pushing the farmer over the critical threshold toward diversified farming (Figure 6).</w:t>
      </w:r>
      <w:r>
        <w:t xml:space="preserve"> </w:t>
      </w:r>
      <w:r>
        <w:t xml:space="preserve">Once a farmer has crossed the viable ecosystem service state threshold (or optimal decision strategy tipping point), it becomes less likely that they will return to simplified systems, even after incentives are removed.</w:t>
      </w:r>
      <w:r>
        <w:t xml:space="preserve"> </w:t>
      </w:r>
      <w:r>
        <w:t xml:space="preserve">Because it takes a series of investment actions for the ecosystem service state to cross this threshold, longer-term incentives ultimately result in more adoption of diversification practices.</w:t>
      </w:r>
      <w:r>
        <w:t xml:space="preserve"> </w:t>
      </w:r>
      <w:r>
        <w:t xml:space="preserve">Additionally, because the agent is forward-looking, they are able to assess the entire expected reward of a long term incentive.</w:t>
      </w:r>
    </w:p>
    <w:bookmarkEnd w:id="35"/>
    <w:bookmarkEnd w:id="36"/>
    <w:bookmarkStart w:id="38" w:name="discussion"/>
    <w:p>
      <w:pPr>
        <w:pStyle w:val="Heading1"/>
      </w:pPr>
      <w:r>
        <w:t xml:space="preserve">Discussion</w:t>
      </w:r>
    </w:p>
    <w:p>
      <w:pPr>
        <w:pStyle w:val="FirstParagraph"/>
      </w:pPr>
      <w:r>
        <w:t xml:space="preserve">Our analysis suggests a mechanism for tipping points in social-ecological systems that does not rely on complex assumptions about the structure of the social or ecological systems alone.</w:t>
      </w:r>
      <w:r>
        <w:t xml:space="preserve"> </w:t>
      </w:r>
      <w:r>
        <w:t xml:space="preserve">Instead, these tipping points emerge from the temporal interactions between forward-looking decisions (i.e., a farmer who considers potential benefits over the long term) and slowly emerging ecological outcomes.</w:t>
      </w:r>
      <w:r>
        <w:t xml:space="preserve"> </w:t>
      </w:r>
      <w:r>
        <w:t xml:space="preserve">While alternate stable states within social-ecological systems, including farming systems, have been previously explored and observed,</w:t>
      </w:r>
      <w:r>
        <w:rPr>
          <w:vertAlign w:val="superscript"/>
        </w:rPr>
        <w:t xml:space="preserve">12,35,36</w:t>
      </w:r>
      <w:r>
        <w:t xml:space="preserve"> our results shed light specifically on temporal feedbacks that might contribute to this pattern (Figure 4).</w:t>
      </w:r>
      <w:r>
        <w:t xml:space="preserve"> </w:t>
      </w:r>
      <w:r>
        <w:t xml:space="preserve">We also show how path dependence can result in self-perpetuating low ecosystem states and low adoption of diversification practices (Figure 3) and why this provides novel insights not only for social-ecological research (Figure 4), but also for agricultural policy (Figure 5 and Figure 6).</w:t>
      </w:r>
    </w:p>
    <w:p>
      <w:pPr>
        <w:pStyle w:val="BodyText"/>
      </w:pPr>
      <w:r>
        <w:t xml:space="preserve">In contrast to equilibrium models,</w:t>
      </w:r>
      <w:r>
        <w:rPr>
          <w:vertAlign w:val="superscript"/>
        </w:rPr>
        <w:t xml:space="preserve">12</w:t>
      </w:r>
      <w:r>
        <w:t xml:space="preserve"> our model assumes (Figure 1) that ecological and environmental processes take time to respond to the adoption of a diversified practice.</w:t>
      </w:r>
      <w:r>
        <w:t xml:space="preserve"> </w:t>
      </w:r>
      <w:r>
        <w:t xml:space="preserve">For example, soil organic matter and its benefits (such as improved water retention and storage of essential nutrients) take years to build after starting practices like cover cropping and compost additions.</w:t>
      </w:r>
      <w:r>
        <w:rPr>
          <w:vertAlign w:val="superscript"/>
        </w:rPr>
        <w:t xml:space="preserve">37</w:t>
      </w:r>
      <w:r>
        <w:t xml:space="preserve"> Our interviews with farmers support this reality.</w:t>
      </w:r>
      <w:r>
        <w:br/>
      </w:r>
      <w:r>
        <w:t xml:space="preserve">One farmer explains:</w:t>
      </w:r>
    </w:p>
    <w:p>
      <w:pPr>
        <w:pStyle w:val="BlockText"/>
      </w:pPr>
      <w:r>
        <w:t xml:space="preserve">“</w:t>
      </w:r>
      <w:r>
        <w:t xml:space="preserve">I’ll use five years, which seems like a long time, but I mean, that’s only potentially 5 or 10 crop cycles depending how heavy you crop…There’s probably some very good soils that can be turned around relatively quickly if everything works right. Somebody might see some pretty dramatic benefits in a year or two, depending how bold they wanted to do things. But I think the changes in soil in my mind, they’re not immediate. You don’t make grand changes right away. So I mean, if you get started doing some reduced tillage using more cover crops, if you have a good source of compost and start incorporating those practices, I would hope that you would see something in five years.</w:t>
      </w:r>
      <w:r>
        <w:t xml:space="preserve">”</w:t>
      </w:r>
    </w:p>
    <w:p>
      <w:pPr>
        <w:pStyle w:val="FirstParagraph"/>
      </w:pPr>
      <w:r>
        <w:t xml:space="preserve">We show how time delays in ecosystem responses to management decisions, as exemplified above, can explain patterns of multiple stable ecosystem service states (Table 1 P1). While existing explanations of multiple stable states in SES provided by equilibrium models</w:t>
      </w:r>
      <w:r>
        <w:rPr>
          <w:vertAlign w:val="superscript"/>
        </w:rPr>
        <w:t xml:space="preserve">12</w:t>
      </w:r>
      <w:r>
        <w:t xml:space="preserve"> </w:t>
      </w:r>
      <w:r>
        <w:t xml:space="preserve">are not necessarily wrong, temporal explanations for this pattern reflect key system attributes described by farmers (Figure 2) and allow for the exploration of intervention strategies that are temporally constrained (e.g. land tenure, incentives, etc.). While not addressed in this analysis, the interaction of nonmonotonic (or generally more complex) subsystem dynamics and the temporal interactions of those subsystems will be an important path for future research.</w:t>
      </w:r>
    </w:p>
    <w:p>
      <w:pPr>
        <w:pStyle w:val="CaptionedFigure"/>
      </w:pPr>
      <w:r>
        <w:drawing>
          <wp:inline>
            <wp:extent cx="5334000" cy="1892709"/>
            <wp:effectExtent b="0" l="0" r="0" t="0"/>
            <wp:docPr descr="(Table 1) Table of the main model predictions, evidence in support of the pattern, value added of the temporal mechanism and minimal assumptions." title="" id="1" name="Picture"/>
            <a:graphic>
              <a:graphicData uri="http://schemas.openxmlformats.org/drawingml/2006/picture">
                <pic:pic>
                  <pic:nvPicPr>
                    <pic:cNvPr descr="external-figs/predictions.png" id="0" name="Picture"/>
                    <pic:cNvPicPr>
                      <a:picLocks noChangeArrowheads="1" noChangeAspect="1"/>
                    </pic:cNvPicPr>
                  </pic:nvPicPr>
                  <pic:blipFill>
                    <a:blip r:embed="rId37"/>
                    <a:stretch>
                      <a:fillRect/>
                    </a:stretch>
                  </pic:blipFill>
                  <pic:spPr bwMode="auto">
                    <a:xfrm>
                      <a:off x="0" y="0"/>
                      <a:ext cx="5334000" cy="1892709"/>
                    </a:xfrm>
                    <a:prstGeom prst="rect">
                      <a:avLst/>
                    </a:prstGeom>
                    <a:noFill/>
                    <a:ln w="9525">
                      <a:noFill/>
                      <a:headEnd/>
                      <a:tailEnd/>
                    </a:ln>
                  </pic:spPr>
                </pic:pic>
              </a:graphicData>
            </a:graphic>
          </wp:inline>
        </w:drawing>
      </w:r>
    </w:p>
    <w:p>
      <w:pPr>
        <w:pStyle w:val="ImageCaption"/>
      </w:pPr>
      <w:r>
        <w:t xml:space="preserve">(Table 1) Table of the main model predictions, evidence in support of the pattern, value added of the temporal mechanism and minimal assumptions.</w:t>
      </w:r>
    </w:p>
    <w:p>
      <w:pPr>
        <w:pStyle w:val="BodyText"/>
      </w:pPr>
      <w:r>
        <w:t xml:space="preserve">Our results also have important implications for understanding farmer decision-making and agricultural policy design.</w:t>
      </w:r>
      <w:r>
        <w:t xml:space="preserve"> </w:t>
      </w:r>
      <w:r>
        <w:t xml:space="preserve">Our model explains why the land tenure status of a farmer can significantly influence their willingness and ability to adopt diversification practices (Figure 5; Table 1 P2).</w:t>
      </w:r>
      <w:r>
        <w:t xml:space="preserve"> </w:t>
      </w:r>
      <w:r>
        <w:t xml:space="preserve">This finding accords with a large body of sociological research documenting how security and length of land tenure affect the adoption of sustainable agricultural practices,</w:t>
      </w:r>
      <w:r>
        <w:rPr>
          <w:vertAlign w:val="superscript"/>
        </w:rPr>
        <w:t xml:space="preserve">13–16</w:t>
      </w:r>
      <w:r>
        <w:t xml:space="preserve"> suggesting that our model captures emergent socio-ecological dynamics of farming systems.</w:t>
      </w:r>
      <w:r>
        <w:t xml:space="preserve"> </w:t>
      </w:r>
      <w:r>
        <w:t xml:space="preserve">As another farmer explains,</w:t>
      </w:r>
      <w:r>
        <w:t xml:space="preserve"> </w:t>
      </w:r>
      <w:r>
        <w:t xml:space="preserve">“</w:t>
      </w:r>
      <w:r>
        <w:t xml:space="preserve">We do have hedgerows on several of the ranches, more where we have long-term leases.</w:t>
      </w:r>
      <w:r>
        <w:t xml:space="preserve">”</w:t>
      </w:r>
      <w:r>
        <w:t xml:space="preserve"> </w:t>
      </w:r>
      <w:r>
        <w:t xml:space="preserve">Growers who hold shorter leases are more likely to decide that adopting diversification practices will not benefit them. They may lose their investment if their lease ends forcibly or may have insufficient time to learn how to use practices in the particular ecological and geographical conditions of their farm.</w:t>
      </w:r>
      <w:r>
        <w:rPr>
          <w:vertAlign w:val="superscript"/>
        </w:rPr>
        <w:t xml:space="preserve">38,39</w:t>
      </w:r>
      <w:r>
        <w:t xml:space="preserve"> </w:t>
      </w:r>
      <w:r>
        <w:t xml:space="preserve">Immigrant farmers and farmers of color, especially those new or beginning, often struggle to achieve stable land tenure due to racial discrimination, poverty, or language barriers in farmer networks, policy, and finance.</w:t>
      </w:r>
      <w:r>
        <w:rPr>
          <w:vertAlign w:val="superscript"/>
        </w:rPr>
        <w:t xml:space="preserve">40</w:t>
      </w:r>
      <w:r>
        <w:br/>
      </w:r>
      <w:r>
        <w:t xml:space="preserve">Thus, policies which specifically aim to increase land tenure, for example by supporting ownership and generational succession, may be powerful levers to effect positive change in this area.</w:t>
      </w:r>
    </w:p>
    <w:p>
      <w:pPr>
        <w:pStyle w:val="BodyText"/>
      </w:pPr>
      <w:r>
        <w:t xml:space="preserve">Finally, our model suggests that existing incentive programs to promote agricultural sustainability and ecosystem services by reducing the costs of practice adoption may need significant redesign (Figure 6; Table 1 P3).</w:t>
      </w:r>
      <w:r>
        <w:t xml:space="preserve"> </w:t>
      </w:r>
      <w:r>
        <w:t xml:space="preserve">Such policies have become an integral part of farming over the past half-century.</w:t>
      </w:r>
      <w:r>
        <w:rPr>
          <w:vertAlign w:val="superscript"/>
        </w:rPr>
        <w:t xml:space="preserve">41,42</w:t>
      </w:r>
      <w:r>
        <w:t xml:space="preserve"> </w:t>
      </w:r>
      <w:r>
        <w:t xml:space="preserve">They are particularly interesting to explore with a Markov Decision Process due to their often sequential but time-limited nature.</w:t>
      </w:r>
      <w:r>
        <w:t xml:space="preserve"> </w:t>
      </w:r>
      <w:r>
        <w:t xml:space="preserve">Incentive policies rolled out over a given time frame are challenging to study with equilibrium analyses or simple decision rules.</w:t>
      </w:r>
    </w:p>
    <w:p>
      <w:pPr>
        <w:pStyle w:val="BodyText"/>
      </w:pPr>
      <w:r>
        <w:t xml:space="preserve">Our results suggest that long-term</w:t>
      </w:r>
      <w:r>
        <w:t xml:space="preserve"> </w:t>
      </w:r>
      <w:r>
        <w:rPr>
          <w:bCs/>
          <w:b/>
        </w:rPr>
        <w:t xml:space="preserve">sustained</w:t>
      </w:r>
      <w:r>
        <w:t xml:space="preserve"> </w:t>
      </w:r>
      <w:r>
        <w:t xml:space="preserve">incentives, even when only partially covering the cost of adoption, may be more effective in shifting farmers from simplified ecological states to diversified states than more concentrated short-term incentives.</w:t>
      </w:r>
      <w:r>
        <w:t xml:space="preserve"> </w:t>
      </w:r>
      <w:r>
        <w:t xml:space="preserve">We show that the cost of interventions and the social-environmental benefit of those interventions are not necessarily equivalent.</w:t>
      </w:r>
      <w:r>
        <w:t xml:space="preserve"> </w:t>
      </w:r>
      <w:r>
        <w:t xml:space="preserve">Rather, the perceived stability of incentive programs may be an important driver of adoption. This dynamic can be overlooked when the temporal rates of coupled dynamics in social-environmental systems are not considered. If farmers expect a stable source of support over a known time period, they may decide it is worthwhile to experiment and persist with a new practice that may not provide observable benefits for many years.</w:t>
      </w:r>
      <w:r>
        <w:rPr>
          <w:vertAlign w:val="superscript"/>
        </w:rPr>
        <w:t xml:space="preserve">43</w:t>
      </w:r>
      <w:r>
        <w:t xml:space="preserve"> </w:t>
      </w:r>
      <w:r>
        <w:t xml:space="preserve">Unstable support, by contrast, may lead to farmers abandoning practices after a short time, or may prevent farmers from trying new conservation practices.</w:t>
      </w:r>
      <w:r>
        <w:rPr>
          <w:vertAlign w:val="superscript"/>
        </w:rPr>
        <w:t xml:space="preserve">44</w:t>
      </w:r>
      <w:r>
        <w:t xml:space="preserve"> </w:t>
      </w:r>
      <w:r>
        <w:t xml:space="preserve">Moreover, the reduced transaction costs that come with farmers making a longer-term commitment, while not captured in our model, would only further suggest the higher efficacy of sustained incentives compared to concentrated incentives.</w:t>
      </w:r>
    </w:p>
    <w:p>
      <w:pPr>
        <w:pStyle w:val="BodyText"/>
      </w:pPr>
      <w:r>
        <w:t xml:space="preserve">This finding is particularly relevant to the design of government payment programs and suggests that smaller payments can be highly effective in encouraging the adoption of diversification practices (or other ecosystem service promoting practices) when distributed over long time horizons.</w:t>
      </w:r>
      <w:r>
        <w:t xml:space="preserve"> </w:t>
      </w:r>
      <w:r>
        <w:t xml:space="preserve">Small payments over a longer time frame also constitute a lower total cost to the government when considering even modest discount rates.</w:t>
      </w:r>
      <w:r>
        <w:t xml:space="preserve"> </w:t>
      </w:r>
      <w:r>
        <w:t xml:space="preserve">Yet, the relationship between the length of incentive programs and the persistence of changes in land manager behavior once payments end remains unclear.</w:t>
      </w:r>
      <w:r>
        <w:t xml:space="preserve"> </w:t>
      </w:r>
      <w:r>
        <w:t xml:space="preserve">One study found that when landowners were unable to re-enroll in a waterbird habitat program in northern California due to three-year period limits, participant numbers declined and farmers persisted less with their practices.</w:t>
      </w:r>
      <w:r>
        <w:rPr>
          <w:vertAlign w:val="superscript"/>
        </w:rPr>
        <w:t xml:space="preserve">44</w:t>
      </w:r>
      <w:r>
        <w:t xml:space="preserve"> </w:t>
      </w:r>
      <w:r>
        <w:t xml:space="preserve">Other studies have found that growers tend to switch back land that is left unused in return for payments via the federal Conservation Reserve Program to</w:t>
      </w:r>
      <w:r>
        <w:t xml:space="preserve"> </w:t>
      </w:r>
      <w:r>
        <w:t xml:space="preserve">‘</w:t>
      </w:r>
      <w:r>
        <w:t xml:space="preserve">more valuable</w:t>
      </w:r>
      <w:r>
        <w:t xml:space="preserve">’</w:t>
      </w:r>
      <w:r>
        <w:t xml:space="preserve"> </w:t>
      </w:r>
      <w:r>
        <w:t xml:space="preserve">productive uses (e.g., corn ethanol).</w:t>
      </w:r>
      <w:r>
        <w:rPr>
          <w:vertAlign w:val="superscript"/>
        </w:rPr>
        <w:t xml:space="preserve">45</w:t>
      </w:r>
      <w:r>
        <w:t xml:space="preserve"> It is possible, as our model suggests, that steady, if somewhat lower, conservation payments might result in more favorable outcomes when compared to fluctuating or short-term payments.</w:t>
      </w:r>
    </w:p>
    <w:p>
      <w:pPr>
        <w:pStyle w:val="BodyText"/>
      </w:pPr>
      <w:r>
        <w:t xml:space="preserve">Several federal government programs provide incentives to farmers over long time periods. For example, the US Department of Agriculture (USDA) manages a Conservation Stewardship Program (CSP) which is a 5-year contract – potentially renewed for 5 more years – that pays farmers an annual sum in return for agreeing to implement a customized conservation plan co-created with a USDA agent. The plan allows growers to build on their existing conservation practices by implementing practices that improve a wide range of on-farm conditions, from soils to biodiversity. USDA also manages the Environmental Quality Improvement Program (EQIP), which similarly supports on-farm diversification practices with contracts that typically last 1-3 years but may extend to 10 years. Payment rates are reviewed and changed annually; certain practices may receive sizable assistance but rates can be unstable over time.</w:t>
      </w:r>
      <w:r>
        <w:rPr>
          <w:vertAlign w:val="superscript"/>
        </w:rPr>
        <w:t xml:space="preserve">46</w:t>
      </w:r>
      <w:r>
        <w:t xml:space="preserve"> </w:t>
      </w:r>
      <w:r>
        <w:t xml:space="preserve">While both CSP and EQIP are heavily in demand by farmers in many states, including California,</w:t>
      </w:r>
      <w:r>
        <w:rPr>
          <w:vertAlign w:val="superscript"/>
        </w:rPr>
        <w:t xml:space="preserve">47</w:t>
      </w:r>
      <w:r>
        <w:t xml:space="preserve"> researchers have not yet examined whether the differing longevity of the incentives provided via these programs could impact the durability of diversification practice implementation.</w:t>
      </w:r>
    </w:p>
    <w:p>
      <w:pPr>
        <w:pStyle w:val="BodyText"/>
      </w:pPr>
      <w:r>
        <w:t xml:space="preserve">In conclusion, by combining semi-structured interview data with a modeling approach that capture complex temporal dynamics in a stylized social-ecological system model, we offer insights into important agricultural management patterns and their implications for ecological outcomes and public policy. While tipping points have been extensively studied throughout the social-ecological systems literature, including agriculture, we suggest a novel mechanism for these tipping points that makes minimal assumptions about system-specific behavior. Further, we present a flexible model framework that can be built on to address critical questions in social-ecological systems research and policy design.</w:t>
      </w:r>
    </w:p>
    <w:bookmarkEnd w:id="38"/>
    <w:bookmarkStart w:id="40" w:name="model-implementation"/>
    <w:p>
      <w:pPr>
        <w:pStyle w:val="Heading1"/>
      </w:pPr>
      <w:r>
        <w:t xml:space="preserve">Model implementation</w:t>
      </w:r>
    </w:p>
    <w:p>
      <w:pPr>
        <w:pStyle w:val="FirstParagraph"/>
      </w:pPr>
      <w:r>
        <w:t xml:space="preserve">The model was developed in the</w:t>
      </w:r>
      <w:r>
        <w:t xml:space="preserve"> </w:t>
      </w:r>
      <w:r>
        <w:rPr>
          <w:iCs/>
          <w:i/>
        </w:rPr>
        <w:t xml:space="preserve">R</w:t>
      </w:r>
      <w:r>
        <w:t xml:space="preserve"> </w:t>
      </w:r>
      <w:r>
        <w:t xml:space="preserve">programming language.</w:t>
      </w:r>
      <w:r>
        <w:rPr>
          <w:vertAlign w:val="superscript"/>
        </w:rPr>
        <w:t xml:space="preserve">48</w:t>
      </w:r>
      <w:r>
        <w:t xml:space="preserve"> The</w:t>
      </w:r>
      <w:r>
        <w:t xml:space="preserve"> </w:t>
      </w:r>
      <w:r>
        <w:rPr>
          <w:iCs/>
          <w:i/>
        </w:rPr>
        <w:t xml:space="preserve">MDPtoolbox</w:t>
      </w:r>
      <w:r>
        <w:t xml:space="preserve"> </w:t>
      </w:r>
      <w:r>
        <w:t xml:space="preserve">library was used to set up and solve the MDP.</w:t>
      </w:r>
      <w:r>
        <w:rPr>
          <w:vertAlign w:val="superscript"/>
        </w:rPr>
        <w:t xml:space="preserve">49</w:t>
      </w:r>
      <w:r>
        <w:t xml:space="preserve"> Code for our model and the experiments conducted in this paper is available freely at</w:t>
      </w:r>
      <w:r>
        <w:t xml:space="preserve"> </w:t>
      </w:r>
      <w:hyperlink r:id="rId39">
        <w:r>
          <w:rPr>
            <w:rStyle w:val="Hyperlink"/>
          </w:rPr>
          <w:t xml:space="preserve">https://github.com/boettiger-lab/dfs-mdp</w:t>
        </w:r>
      </w:hyperlink>
      <w:r>
        <w:t xml:space="preserve">.</w:t>
      </w:r>
    </w:p>
    <w:bookmarkEnd w:id="40"/>
    <w:bookmarkStart w:id="41" w:name="author-contributions"/>
    <w:p>
      <w:pPr>
        <w:pStyle w:val="Heading1"/>
      </w:pPr>
      <w:r>
        <w:t xml:space="preserve">Author Contributions:</w:t>
      </w:r>
    </w:p>
    <w:p>
      <w:pPr>
        <w:pStyle w:val="FirstParagraph"/>
      </w:pPr>
      <w:r>
        <w:t xml:space="preserve">Conceptualization CB, MC, SW, PB, TB, LC, FC, KE, SG, AI, DK, CK, JL, EO, JO, MR, AS, JT, HW; Data curation: MC, SW, CB; Formal Analysis: MC, SW, CB; Funding acquisition: TB, AI, CK, DK, CB; Methodology: CB, MC, SW, PB, TB, LC, FC, KE, AI, DK, CK, EO, JT, HW; Code: MC, SW, CB; Visualization: MC, SW, CB; Writing – original draft: MC, SW, CB, LC, AI; Writing – review &amp; editing: CB, MC, SW, PB, TB, LC, FC, KE, SG, AI, DK, CK, JL, EO, JO, MR, AS, JT, HW</w:t>
      </w:r>
    </w:p>
    <w:bookmarkEnd w:id="41"/>
    <w:bookmarkStart w:id="42" w:name="acknowledgments"/>
    <w:p>
      <w:pPr>
        <w:pStyle w:val="Heading1"/>
      </w:pPr>
      <w:r>
        <w:t xml:space="preserve">Acknowledgments</w:t>
      </w:r>
    </w:p>
    <w:p>
      <w:pPr>
        <w:pStyle w:val="FirstParagraph"/>
      </w:pPr>
      <w:r>
        <w:t xml:space="preserve">Funding for this research was provided by the National Science Foundation grant number CNH-1824871</w:t>
      </w:r>
    </w:p>
    <w:bookmarkEnd w:id="42"/>
    <w:bookmarkStart w:id="108" w:name="references"/>
    <w:p>
      <w:pPr>
        <w:pStyle w:val="Heading1"/>
      </w:pPr>
      <w:r>
        <w:t xml:space="preserve">References</w:t>
      </w:r>
    </w:p>
    <w:bookmarkStart w:id="107" w:name="refs"/>
    <w:bookmarkStart w:id="43" w:name="ref-gladwell2006tipping"/>
    <w:p>
      <w:pPr>
        <w:pStyle w:val="Bibliography"/>
      </w:pPr>
      <w:r>
        <w:t xml:space="preserve">1.</w:t>
      </w:r>
      <w:r>
        <w:t xml:space="preserve"> </w:t>
      </w:r>
      <w:r>
        <w:t xml:space="preserve">	</w:t>
      </w:r>
      <w:r>
        <w:t xml:space="preserve">Gladwell, M.</w:t>
      </w:r>
      <w:r>
        <w:t xml:space="preserve"> </w:t>
      </w:r>
      <w:r>
        <w:rPr>
          <w:iCs/>
          <w:i/>
        </w:rPr>
        <w:t xml:space="preserve">The tipping point: How little things can make a big difference</w:t>
      </w:r>
      <w:r>
        <w:t xml:space="preserve">. (Little, Brown, 2006).</w:t>
      </w:r>
    </w:p>
    <w:bookmarkEnd w:id="43"/>
    <w:bookmarkStart w:id="44" w:name="ref-rockstrom2009safe"/>
    <w:p>
      <w:pPr>
        <w:pStyle w:val="Bibliography"/>
      </w:pPr>
      <w:r>
        <w:t xml:space="preserve">2.</w:t>
      </w:r>
      <w:r>
        <w:t xml:space="preserve"> </w:t>
      </w:r>
      <w:r>
        <w:t xml:space="preserve">	</w:t>
      </w:r>
      <w:r>
        <w:t xml:space="preserve">Rockström, J.</w:t>
      </w:r>
      <w:r>
        <w:t xml:space="preserve"> </w:t>
      </w:r>
      <w:r>
        <w:rPr>
          <w:iCs/>
          <w:i/>
        </w:rPr>
        <w:t xml:space="preserve">et al.</w:t>
      </w:r>
      <w:r>
        <w:t xml:space="preserve"> A safe operating space for humanity.</w:t>
      </w:r>
      <w:r>
        <w:t xml:space="preserve"> </w:t>
      </w:r>
      <w:r>
        <w:rPr>
          <w:iCs/>
          <w:i/>
        </w:rPr>
        <w:t xml:space="preserve">nature</w:t>
      </w:r>
      <w:r>
        <w:t xml:space="preserve"> </w:t>
      </w:r>
      <w:r>
        <w:rPr>
          <w:bCs/>
          <w:b/>
        </w:rPr>
        <w:t xml:space="preserve">461</w:t>
      </w:r>
      <w:r>
        <w:t xml:space="preserve">, 472–475 (2009).</w:t>
      </w:r>
    </w:p>
    <w:bookmarkEnd w:id="44"/>
    <w:bookmarkStart w:id="46" w:name="ref-Dai2012b"/>
    <w:p>
      <w:pPr>
        <w:pStyle w:val="Bibliography"/>
      </w:pPr>
      <w:r>
        <w:t xml:space="preserve">3.</w:t>
      </w:r>
      <w:r>
        <w:t xml:space="preserve"> </w:t>
      </w:r>
      <w:r>
        <w:t xml:space="preserve">	</w:t>
      </w:r>
      <w:r>
        <w:t xml:space="preserve">Dai, L., Vorselen, D., Korolev, K. S. &amp; Gore, J.</w:t>
      </w:r>
      <w:r>
        <w:t xml:space="preserve"> </w:t>
      </w:r>
      <w:r>
        <w:t xml:space="preserve">Generic indicators for loss of resilience before a tipping point leading to population collapse</w:t>
      </w:r>
      <w:r>
        <w:t xml:space="preserve">.</w:t>
      </w:r>
      <w:r>
        <w:t xml:space="preserve"> </w:t>
      </w:r>
      <w:r>
        <w:rPr>
          <w:iCs/>
          <w:i/>
        </w:rPr>
        <w:t xml:space="preserve">Science</w:t>
      </w:r>
      <w:r>
        <w:t xml:space="preserve"> </w:t>
      </w:r>
      <w:r>
        <w:t xml:space="preserve">(2012) doi:</w:t>
      </w:r>
      <w:hyperlink r:id="rId45">
        <w:r>
          <w:rPr>
            <w:rStyle w:val="Hyperlink"/>
          </w:rPr>
          <w:t xml:space="preserve">10.1126/science.1219805</w:t>
        </w:r>
      </w:hyperlink>
      <w:r>
        <w:t xml:space="preserve">.</w:t>
      </w:r>
    </w:p>
    <w:bookmarkEnd w:id="46"/>
    <w:bookmarkStart w:id="48" w:name="ref-Mumby2007"/>
    <w:p>
      <w:pPr>
        <w:pStyle w:val="Bibliography"/>
      </w:pPr>
      <w:r>
        <w:t xml:space="preserve">4.</w:t>
      </w:r>
      <w:r>
        <w:t xml:space="preserve"> </w:t>
      </w:r>
      <w:r>
        <w:t xml:space="preserve">	</w:t>
      </w:r>
      <w:r>
        <w:t xml:space="preserve">Mumby, P. J., Hastings, A. &amp; Edwards, H. J.</w:t>
      </w:r>
      <w:r>
        <w:t xml:space="preserve"> </w:t>
      </w:r>
      <w:r>
        <w:t xml:space="preserve">Thresholds and the resilience of Caribbean coral reefs</w:t>
      </w:r>
      <w:r>
        <w:t xml:space="preserve">.</w:t>
      </w:r>
      <w:r>
        <w:t xml:space="preserve"> </w:t>
      </w:r>
      <w:r>
        <w:rPr>
          <w:iCs/>
          <w:i/>
        </w:rPr>
        <w:t xml:space="preserve">Nature</w:t>
      </w:r>
      <w:r>
        <w:t xml:space="preserve"> </w:t>
      </w:r>
      <w:r>
        <w:t xml:space="preserve">(2007) doi:</w:t>
      </w:r>
      <w:hyperlink r:id="rId47">
        <w:r>
          <w:rPr>
            <w:rStyle w:val="Hyperlink"/>
          </w:rPr>
          <w:t xml:space="preserve">10.1038/nature06252</w:t>
        </w:r>
      </w:hyperlink>
      <w:r>
        <w:t xml:space="preserve">.</w:t>
      </w:r>
    </w:p>
    <w:bookmarkEnd w:id="48"/>
    <w:bookmarkStart w:id="50" w:name="ref-Scheffer2010a"/>
    <w:p>
      <w:pPr>
        <w:pStyle w:val="Bibliography"/>
      </w:pPr>
      <w:r>
        <w:t xml:space="preserve">5.</w:t>
      </w:r>
      <w:r>
        <w:t xml:space="preserve"> </w:t>
      </w:r>
      <w:r>
        <w:t xml:space="preserve">	</w:t>
      </w:r>
      <w:r>
        <w:t xml:space="preserve">Scheffer, M.</w:t>
      </w:r>
      <w:r>
        <w:t xml:space="preserve"> </w:t>
      </w:r>
      <w:r>
        <w:t xml:space="preserve">Foreseeing tipping points</w:t>
      </w:r>
      <w:r>
        <w:t xml:space="preserve">.</w:t>
      </w:r>
      <w:r>
        <w:t xml:space="preserve"> </w:t>
      </w:r>
      <w:r>
        <w:rPr>
          <w:iCs/>
          <w:i/>
        </w:rPr>
        <w:t xml:space="preserve">Nature</w:t>
      </w:r>
      <w:r>
        <w:t xml:space="preserve"> </w:t>
      </w:r>
      <w:r>
        <w:t xml:space="preserve">(2010) doi:</w:t>
      </w:r>
      <w:hyperlink r:id="rId49">
        <w:r>
          <w:rPr>
            <w:rStyle w:val="Hyperlink"/>
          </w:rPr>
          <w:t xml:space="preserve">10.1038/467411a</w:t>
        </w:r>
      </w:hyperlink>
      <w:r>
        <w:t xml:space="preserve">.</w:t>
      </w:r>
    </w:p>
    <w:bookmarkEnd w:id="50"/>
    <w:bookmarkStart w:id="51" w:name="ref-Horan7333"/>
    <w:p>
      <w:pPr>
        <w:pStyle w:val="Bibliography"/>
      </w:pPr>
      <w:r>
        <w:t xml:space="preserve">6.</w:t>
      </w:r>
      <w:r>
        <w:t xml:space="preserve"> </w:t>
      </w:r>
      <w:r>
        <w:t xml:space="preserve">	</w:t>
      </w:r>
      <w:r>
        <w:t xml:space="preserve">Horan, R. D., Fenichel, E. P., Drury, K. L. S. &amp; Lodge, D. M. Managing ecological thresholds in coupled environmental</w:t>
      </w:r>
      <w:r>
        <w:t xml:space="preserve">human systems.</w:t>
      </w:r>
      <w:r>
        <w:t xml:space="preserve"> </w:t>
      </w:r>
      <w:r>
        <w:rPr>
          <w:iCs/>
          <w:i/>
        </w:rPr>
        <w:t xml:space="preserve">Proceedings of the National Academy of Sciences</w:t>
      </w:r>
      <w:r>
        <w:t xml:space="preserve"> </w:t>
      </w:r>
      <w:r>
        <w:rPr>
          <w:bCs/>
          <w:b/>
        </w:rPr>
        <w:t xml:space="preserve">108</w:t>
      </w:r>
      <w:r>
        <w:t xml:space="preserve">, 7333–7338 (2011).</w:t>
      </w:r>
    </w:p>
    <w:bookmarkEnd w:id="51"/>
    <w:bookmarkStart w:id="52" w:name="ref-liu2007complexity"/>
    <w:p>
      <w:pPr>
        <w:pStyle w:val="Bibliography"/>
      </w:pPr>
      <w:r>
        <w:t xml:space="preserve">7.</w:t>
      </w:r>
      <w:r>
        <w:t xml:space="preserve"> </w:t>
      </w:r>
      <w:r>
        <w:t xml:space="preserve">	</w:t>
      </w:r>
      <w:r>
        <w:t xml:space="preserve">Liu, J.</w:t>
      </w:r>
      <w:r>
        <w:t xml:space="preserve"> </w:t>
      </w:r>
      <w:r>
        <w:rPr>
          <w:iCs/>
          <w:i/>
        </w:rPr>
        <w:t xml:space="preserve">et al.</w:t>
      </w:r>
      <w:r>
        <w:t xml:space="preserve"> Complexity of coupled human and natural systems.</w:t>
      </w:r>
      <w:r>
        <w:t xml:space="preserve"> </w:t>
      </w:r>
      <w:r>
        <w:rPr>
          <w:iCs/>
          <w:i/>
        </w:rPr>
        <w:t xml:space="preserve">science</w:t>
      </w:r>
      <w:r>
        <w:t xml:space="preserve"> </w:t>
      </w:r>
      <w:r>
        <w:rPr>
          <w:bCs/>
          <w:b/>
        </w:rPr>
        <w:t xml:space="preserve">317</w:t>
      </w:r>
      <w:r>
        <w:t xml:space="preserve">, 1513–1516 (2007).</w:t>
      </w:r>
    </w:p>
    <w:bookmarkEnd w:id="52"/>
    <w:bookmarkStart w:id="54" w:name="ref-Ostrom2009"/>
    <w:p>
      <w:pPr>
        <w:pStyle w:val="Bibliography"/>
      </w:pPr>
      <w:r>
        <w:t xml:space="preserve">8.</w:t>
      </w:r>
      <w:r>
        <w:t xml:space="preserve"> </w:t>
      </w:r>
      <w:r>
        <w:t xml:space="preserve">	</w:t>
      </w:r>
      <w:r>
        <w:t xml:space="preserve">Ostrom, E.</w:t>
      </w:r>
      <w:r>
        <w:t xml:space="preserve"> </w:t>
      </w:r>
      <w:r>
        <w:t xml:space="preserve">A general framework for analyzing sustainability of social-ecological systems</w:t>
      </w:r>
      <w:r>
        <w:t xml:space="preserve">. (2009) doi:</w:t>
      </w:r>
      <w:hyperlink r:id="rId53">
        <w:r>
          <w:rPr>
            <w:rStyle w:val="Hyperlink"/>
          </w:rPr>
          <w:t xml:space="preserve">10.1126/science.1172133</w:t>
        </w:r>
      </w:hyperlink>
      <w:r>
        <w:t xml:space="preserve">.</w:t>
      </w:r>
    </w:p>
    <w:bookmarkEnd w:id="54"/>
    <w:bookmarkStart w:id="56" w:name="ref-Walker2004"/>
    <w:p>
      <w:pPr>
        <w:pStyle w:val="Bibliography"/>
      </w:pPr>
      <w:r>
        <w:t xml:space="preserve">9.</w:t>
      </w:r>
      <w:r>
        <w:t xml:space="preserve"> </w:t>
      </w:r>
      <w:r>
        <w:t xml:space="preserve">	</w:t>
      </w:r>
      <w:r>
        <w:t xml:space="preserve">Walker, B., Holling, C. S., Carpenter, S. R. &amp; Kinzig, A.</w:t>
      </w:r>
      <w:r>
        <w:t xml:space="preserve"> </w:t>
      </w:r>
      <w:r>
        <w:t xml:space="preserve">Resilience, adaptability and transformability in social-ecological systems</w:t>
      </w:r>
      <w:r>
        <w:t xml:space="preserve">.</w:t>
      </w:r>
      <w:r>
        <w:t xml:space="preserve"> </w:t>
      </w:r>
      <w:r>
        <w:rPr>
          <w:iCs/>
          <w:i/>
        </w:rPr>
        <w:t xml:space="preserve">Ecology and Society</w:t>
      </w:r>
      <w:r>
        <w:t xml:space="preserve"> </w:t>
      </w:r>
      <w:r>
        <w:t xml:space="preserve">(2004) doi:</w:t>
      </w:r>
      <w:hyperlink r:id="rId55">
        <w:r>
          <w:rPr>
            <w:rStyle w:val="Hyperlink"/>
          </w:rPr>
          <w:t xml:space="preserve">10.5751/ES-00650-090205</w:t>
        </w:r>
      </w:hyperlink>
      <w:r>
        <w:t xml:space="preserve">.</w:t>
      </w:r>
    </w:p>
    <w:bookmarkEnd w:id="56"/>
    <w:bookmarkStart w:id="58" w:name="ref-Cumming2006a"/>
    <w:p>
      <w:pPr>
        <w:pStyle w:val="Bibliography"/>
      </w:pPr>
      <w:r>
        <w:t xml:space="preserve">10.</w:t>
      </w:r>
      <w:r>
        <w:t xml:space="preserve"> </w:t>
      </w:r>
      <w:r>
        <w:t xml:space="preserve">	</w:t>
      </w:r>
      <w:r>
        <w:t xml:space="preserve">Cumming, G. S., Cumming, D. H. M. &amp; Redman, C. L.</w:t>
      </w:r>
      <w:r>
        <w:t xml:space="preserve"> </w:t>
      </w:r>
      <w:r>
        <w:t xml:space="preserve">Scale mismatches in social-ecological systems: Causes, consequences, and solutions</w:t>
      </w:r>
      <w:r>
        <w:t xml:space="preserve">.</w:t>
      </w:r>
      <w:r>
        <w:t xml:space="preserve"> </w:t>
      </w:r>
      <w:r>
        <w:rPr>
          <w:iCs/>
          <w:i/>
        </w:rPr>
        <w:t xml:space="preserve">Ecology and Society</w:t>
      </w:r>
      <w:r>
        <w:t xml:space="preserve"> </w:t>
      </w:r>
      <w:r>
        <w:t xml:space="preserve">(2006) doi:</w:t>
      </w:r>
      <w:hyperlink r:id="rId57">
        <w:r>
          <w:rPr>
            <w:rStyle w:val="Hyperlink"/>
          </w:rPr>
          <w:t xml:space="preserve">10.5751/ES-01569-110114</w:t>
        </w:r>
      </w:hyperlink>
      <w:r>
        <w:t xml:space="preserve">.</w:t>
      </w:r>
    </w:p>
    <w:bookmarkEnd w:id="58"/>
    <w:bookmarkStart w:id="60" w:name="ref-Lippe2019"/>
    <w:p>
      <w:pPr>
        <w:pStyle w:val="Bibliography"/>
      </w:pPr>
      <w:r>
        <w:t xml:space="preserve">11.</w:t>
      </w:r>
      <w:r>
        <w:t xml:space="preserve"> </w:t>
      </w:r>
      <w:r>
        <w:t xml:space="preserve">	</w:t>
      </w:r>
      <w:r>
        <w:t xml:space="preserve">Lippe, M.</w:t>
      </w:r>
      <w:r>
        <w:t xml:space="preserve"> </w:t>
      </w:r>
      <w:r>
        <w:rPr>
          <w:iCs/>
          <w:i/>
        </w:rPr>
        <w:t xml:space="preserve">et al.</w:t>
      </w:r>
      <w:r>
        <w:t xml:space="preserve"> </w:t>
      </w:r>
      <w:r>
        <w:t xml:space="preserve">Using agent-based modelling to simulate social-ecological systems across scales</w:t>
      </w:r>
      <w:r>
        <w:t xml:space="preserve">.</w:t>
      </w:r>
      <w:r>
        <w:t xml:space="preserve"> </w:t>
      </w:r>
      <w:r>
        <w:rPr>
          <w:iCs/>
          <w:i/>
        </w:rPr>
        <w:t xml:space="preserve">GeoInformatica</w:t>
      </w:r>
      <w:r>
        <w:t xml:space="preserve"> </w:t>
      </w:r>
      <w:r>
        <w:t xml:space="preserve">(2019) doi:</w:t>
      </w:r>
      <w:hyperlink r:id="rId59">
        <w:r>
          <w:rPr>
            <w:rStyle w:val="Hyperlink"/>
          </w:rPr>
          <w:t xml:space="preserve">10.1007/s10707-018-00337-8</w:t>
        </w:r>
      </w:hyperlink>
      <w:r>
        <w:t xml:space="preserve">.</w:t>
      </w:r>
    </w:p>
    <w:bookmarkEnd w:id="60"/>
    <w:bookmarkStart w:id="62" w:name="ref-Vandermeer2012"/>
    <w:p>
      <w:pPr>
        <w:pStyle w:val="Bibliography"/>
      </w:pPr>
      <w:r>
        <w:t xml:space="preserve">12.</w:t>
      </w:r>
      <w:r>
        <w:t xml:space="preserve"> </w:t>
      </w:r>
      <w:r>
        <w:t xml:space="preserve">	</w:t>
      </w:r>
      <w:r>
        <w:t xml:space="preserve">Vandermeer, J. H. &amp; Perfecto, I.</w:t>
      </w:r>
      <w:r>
        <w:t xml:space="preserve"> </w:t>
      </w:r>
      <w:r>
        <w:t xml:space="preserve">Syndromes of production in agriculture: Prospects for social-ecological regime change</w:t>
      </w:r>
      <w:r>
        <w:t xml:space="preserve">.</w:t>
      </w:r>
      <w:r>
        <w:t xml:space="preserve"> </w:t>
      </w:r>
      <w:r>
        <w:rPr>
          <w:iCs/>
          <w:i/>
        </w:rPr>
        <w:t xml:space="preserve">Ecology and Society</w:t>
      </w:r>
      <w:r>
        <w:t xml:space="preserve"> </w:t>
      </w:r>
      <w:r>
        <w:t xml:space="preserve">(2012) doi:</w:t>
      </w:r>
      <w:hyperlink r:id="rId61">
        <w:r>
          <w:rPr>
            <w:rStyle w:val="Hyperlink"/>
          </w:rPr>
          <w:t xml:space="preserve">10.5751/ES-04813-170439</w:t>
        </w:r>
      </w:hyperlink>
      <w:r>
        <w:t xml:space="preserve">.</w:t>
      </w:r>
    </w:p>
    <w:bookmarkEnd w:id="62"/>
    <w:bookmarkStart w:id="63" w:name="ref-fraser2004land"/>
    <w:p>
      <w:pPr>
        <w:pStyle w:val="Bibliography"/>
      </w:pPr>
      <w:r>
        <w:t xml:space="preserve">13.</w:t>
      </w:r>
      <w:r>
        <w:t xml:space="preserve"> </w:t>
      </w:r>
      <w:r>
        <w:t xml:space="preserve">	</w:t>
      </w:r>
      <w:r>
        <w:t xml:space="preserve">Fraser, E. D. Land tenure and agricultural management: Soil conservation on rented and owned fields in southwest british columbia.</w:t>
      </w:r>
      <w:r>
        <w:t xml:space="preserve"> </w:t>
      </w:r>
      <w:r>
        <w:rPr>
          <w:iCs/>
          <w:i/>
        </w:rPr>
        <w:t xml:space="preserve">Agriculture and Human Values</w:t>
      </w:r>
      <w:r>
        <w:t xml:space="preserve"> </w:t>
      </w:r>
      <w:r>
        <w:rPr>
          <w:bCs/>
          <w:b/>
        </w:rPr>
        <w:t xml:space="preserve">21</w:t>
      </w:r>
      <w:r>
        <w:t xml:space="preserve">, 73–79 (2004).</w:t>
      </w:r>
    </w:p>
    <w:bookmarkEnd w:id="63"/>
    <w:bookmarkStart w:id="64" w:name="ref-long2017hedgerow"/>
    <w:p>
      <w:pPr>
        <w:pStyle w:val="Bibliography"/>
      </w:pPr>
      <w:r>
        <w:t xml:space="preserve">14.</w:t>
      </w:r>
      <w:r>
        <w:t xml:space="preserve"> </w:t>
      </w:r>
      <w:r>
        <w:t xml:space="preserve">	</w:t>
      </w:r>
      <w:r>
        <w:t xml:space="preserve">Long, R., Garbach, K., Morandin, L.,</w:t>
      </w:r>
      <w:r>
        <w:t xml:space="preserve"> </w:t>
      </w:r>
      <w:r>
        <w:rPr>
          <w:iCs/>
          <w:i/>
        </w:rPr>
        <w:t xml:space="preserve">et al.</w:t>
      </w:r>
      <w:r>
        <w:t xml:space="preserve"> Hedgerow benefits align with food production and sustainability goals.</w:t>
      </w:r>
      <w:r>
        <w:t xml:space="preserve"> </w:t>
      </w:r>
      <w:r>
        <w:rPr>
          <w:iCs/>
          <w:i/>
        </w:rPr>
        <w:t xml:space="preserve">California Agriculture</w:t>
      </w:r>
      <w:r>
        <w:t xml:space="preserve"> </w:t>
      </w:r>
      <w:r>
        <w:rPr>
          <w:bCs/>
          <w:b/>
        </w:rPr>
        <w:t xml:space="preserve">71</w:t>
      </w:r>
      <w:r>
        <w:t xml:space="preserve">, 117–119 (2017).</w:t>
      </w:r>
    </w:p>
    <w:bookmarkEnd w:id="64"/>
    <w:bookmarkStart w:id="65" w:name="ref-richardson2015land"/>
    <w:p>
      <w:pPr>
        <w:pStyle w:val="Bibliography"/>
      </w:pPr>
      <w:r>
        <w:t xml:space="preserve">15.</w:t>
      </w:r>
      <w:r>
        <w:t xml:space="preserve"> </w:t>
      </w:r>
      <w:r>
        <w:t xml:space="preserve">	</w:t>
      </w:r>
      <w:r>
        <w:t xml:space="preserve">Richardson Jr, J. J. Land tenure and sustainable agriculture.</w:t>
      </w:r>
      <w:r>
        <w:t xml:space="preserve"> </w:t>
      </w:r>
      <w:r>
        <w:rPr>
          <w:iCs/>
          <w:i/>
        </w:rPr>
        <w:t xml:space="preserve">Tex. A&amp;M L. Rev.</w:t>
      </w:r>
      <w:r>
        <w:t xml:space="preserve"> </w:t>
      </w:r>
      <w:r>
        <w:rPr>
          <w:bCs/>
          <w:b/>
        </w:rPr>
        <w:t xml:space="preserve">3</w:t>
      </w:r>
      <w:r>
        <w:t xml:space="preserve">, 799 (2015).</w:t>
      </w:r>
    </w:p>
    <w:bookmarkEnd w:id="65"/>
    <w:bookmarkStart w:id="66" w:name="ref-soule2000land"/>
    <w:p>
      <w:pPr>
        <w:pStyle w:val="Bibliography"/>
      </w:pPr>
      <w:r>
        <w:t xml:space="preserve">16.</w:t>
      </w:r>
      <w:r>
        <w:t xml:space="preserve"> </w:t>
      </w:r>
      <w:r>
        <w:t xml:space="preserve">	</w:t>
      </w:r>
      <w:r>
        <w:t xml:space="preserve">Soule, M. J., Tegene, A. &amp; Wiebe, K. D. Land tenure and the adoption of conservation practices.</w:t>
      </w:r>
      <w:r>
        <w:t xml:space="preserve"> </w:t>
      </w:r>
      <w:r>
        <w:rPr>
          <w:iCs/>
          <w:i/>
        </w:rPr>
        <w:t xml:space="preserve">American journal of agricultural economics</w:t>
      </w:r>
      <w:r>
        <w:t xml:space="preserve"> </w:t>
      </w:r>
      <w:r>
        <w:rPr>
          <w:bCs/>
          <w:b/>
        </w:rPr>
        <w:t xml:space="preserve">82</w:t>
      </w:r>
      <w:r>
        <w:t xml:space="preserve">, 993–1005 (2000).</w:t>
      </w:r>
    </w:p>
    <w:bookmarkEnd w:id="66"/>
    <w:bookmarkStart w:id="67" w:name="ref-bigelow2016us"/>
    <w:p>
      <w:pPr>
        <w:pStyle w:val="Bibliography"/>
      </w:pPr>
      <w:r>
        <w:t xml:space="preserve">17.</w:t>
      </w:r>
      <w:r>
        <w:t xml:space="preserve"> </w:t>
      </w:r>
      <w:r>
        <w:t xml:space="preserve">	</w:t>
      </w:r>
      <w:r>
        <w:t xml:space="preserve">Bigelow, D., Borchers, A. &amp; Hubbs, T.</w:t>
      </w:r>
      <w:r>
        <w:t xml:space="preserve"> </w:t>
      </w:r>
      <w:r>
        <w:rPr>
          <w:iCs/>
          <w:i/>
        </w:rPr>
        <w:t xml:space="preserve">US farmland ownership, tenure, and transfer</w:t>
      </w:r>
      <w:r>
        <w:t xml:space="preserve">. (2016).</w:t>
      </w:r>
    </w:p>
    <w:bookmarkEnd w:id="67"/>
    <w:bookmarkStart w:id="68" w:name="ref-foley2005global"/>
    <w:p>
      <w:pPr>
        <w:pStyle w:val="Bibliography"/>
      </w:pPr>
      <w:r>
        <w:t xml:space="preserve">18.</w:t>
      </w:r>
      <w:r>
        <w:t xml:space="preserve"> </w:t>
      </w:r>
      <w:r>
        <w:t xml:space="preserve">	</w:t>
      </w:r>
      <w:r>
        <w:t xml:space="preserve">Foley, J. A.</w:t>
      </w:r>
      <w:r>
        <w:t xml:space="preserve"> </w:t>
      </w:r>
      <w:r>
        <w:rPr>
          <w:iCs/>
          <w:i/>
        </w:rPr>
        <w:t xml:space="preserve">et al.</w:t>
      </w:r>
      <w:r>
        <w:t xml:space="preserve"> Global consequences of land use.</w:t>
      </w:r>
      <w:r>
        <w:t xml:space="preserve"> </w:t>
      </w:r>
      <w:r>
        <w:rPr>
          <w:iCs/>
          <w:i/>
        </w:rPr>
        <w:t xml:space="preserve">science</w:t>
      </w:r>
      <w:r>
        <w:t xml:space="preserve"> </w:t>
      </w:r>
      <w:r>
        <w:rPr>
          <w:bCs/>
          <w:b/>
        </w:rPr>
        <w:t xml:space="preserve">309</w:t>
      </w:r>
      <w:r>
        <w:t xml:space="preserve">, 570–574 (2005).</w:t>
      </w:r>
    </w:p>
    <w:bookmarkEnd w:id="68"/>
    <w:bookmarkStart w:id="69" w:name="ref-foley2011solutions"/>
    <w:p>
      <w:pPr>
        <w:pStyle w:val="Bibliography"/>
      </w:pPr>
      <w:r>
        <w:t xml:space="preserve">19.</w:t>
      </w:r>
      <w:r>
        <w:t xml:space="preserve"> </w:t>
      </w:r>
      <w:r>
        <w:t xml:space="preserve">	</w:t>
      </w:r>
      <w:r>
        <w:t xml:space="preserve">Foley, J. A.</w:t>
      </w:r>
      <w:r>
        <w:t xml:space="preserve"> </w:t>
      </w:r>
      <w:r>
        <w:rPr>
          <w:iCs/>
          <w:i/>
        </w:rPr>
        <w:t xml:space="preserve">et al.</w:t>
      </w:r>
      <w:r>
        <w:t xml:space="preserve"> Solutions for a cultivated planet.</w:t>
      </w:r>
      <w:r>
        <w:t xml:space="preserve"> </w:t>
      </w:r>
      <w:r>
        <w:rPr>
          <w:iCs/>
          <w:i/>
        </w:rPr>
        <w:t xml:space="preserve">Nature</w:t>
      </w:r>
      <w:r>
        <w:t xml:space="preserve"> </w:t>
      </w:r>
      <w:r>
        <w:rPr>
          <w:bCs/>
          <w:b/>
        </w:rPr>
        <w:t xml:space="preserve">478</w:t>
      </w:r>
      <w:r>
        <w:t xml:space="preserve">, 337–342 (2011).</w:t>
      </w:r>
    </w:p>
    <w:bookmarkEnd w:id="69"/>
    <w:bookmarkStart w:id="70" w:name="ref-stoate2009ecological"/>
    <w:p>
      <w:pPr>
        <w:pStyle w:val="Bibliography"/>
      </w:pPr>
      <w:r>
        <w:t xml:space="preserve">20.</w:t>
      </w:r>
      <w:r>
        <w:t xml:space="preserve"> </w:t>
      </w:r>
      <w:r>
        <w:t xml:space="preserve">	</w:t>
      </w:r>
      <w:r>
        <w:t xml:space="preserve">Stoate, C.</w:t>
      </w:r>
      <w:r>
        <w:t xml:space="preserve"> </w:t>
      </w:r>
      <w:r>
        <w:rPr>
          <w:iCs/>
          <w:i/>
        </w:rPr>
        <w:t xml:space="preserve">et al.</w:t>
      </w:r>
      <w:r>
        <w:t xml:space="preserve"> Ecological impacts of early 21st century agricultural change in europe–a review.</w:t>
      </w:r>
      <w:r>
        <w:t xml:space="preserve"> </w:t>
      </w:r>
      <w:r>
        <w:rPr>
          <w:iCs/>
          <w:i/>
        </w:rPr>
        <w:t xml:space="preserve">Journal of environmental management</w:t>
      </w:r>
      <w:r>
        <w:t xml:space="preserve"> </w:t>
      </w:r>
      <w:r>
        <w:rPr>
          <w:bCs/>
          <w:b/>
        </w:rPr>
        <w:t xml:space="preserve">91</w:t>
      </w:r>
      <w:r>
        <w:t xml:space="preserve">, 22–46 (2009).</w:t>
      </w:r>
    </w:p>
    <w:bookmarkEnd w:id="70"/>
    <w:bookmarkStart w:id="72" w:name="ref-Kremen2012"/>
    <w:p>
      <w:pPr>
        <w:pStyle w:val="Bibliography"/>
      </w:pPr>
      <w:r>
        <w:t xml:space="preserve">21.</w:t>
      </w:r>
      <w:r>
        <w:t xml:space="preserve"> </w:t>
      </w:r>
      <w:r>
        <w:t xml:space="preserve">	</w:t>
      </w:r>
      <w:r>
        <w:t xml:space="preserve">Kremen, C., Iles, A. &amp; Bacon, C.</w:t>
      </w:r>
      <w:r>
        <w:t xml:space="preserve"> </w:t>
      </w:r>
      <w:r>
        <w:t xml:space="preserve">Diversified farming systems: An agroecological, systems-based alternative to modern industrial agriculture</w:t>
      </w:r>
      <w:r>
        <w:t xml:space="preserve">.</w:t>
      </w:r>
      <w:r>
        <w:t xml:space="preserve"> </w:t>
      </w:r>
      <w:r>
        <w:rPr>
          <w:iCs/>
          <w:i/>
        </w:rPr>
        <w:t xml:space="preserve">Ecology and Society</w:t>
      </w:r>
      <w:r>
        <w:t xml:space="preserve"> </w:t>
      </w:r>
      <w:r>
        <w:t xml:space="preserve">(2012) doi:</w:t>
      </w:r>
      <w:hyperlink r:id="rId71">
        <w:r>
          <w:rPr>
            <w:rStyle w:val="Hyperlink"/>
          </w:rPr>
          <w:t xml:space="preserve">10.5751/ES-05103-170444</w:t>
        </w:r>
      </w:hyperlink>
      <w:r>
        <w:t xml:space="preserve">.</w:t>
      </w:r>
    </w:p>
    <w:bookmarkEnd w:id="72"/>
    <w:bookmarkStart w:id="74" w:name="ref-Andow1989"/>
    <w:p>
      <w:pPr>
        <w:pStyle w:val="Bibliography"/>
      </w:pPr>
      <w:r>
        <w:t xml:space="preserve">22.</w:t>
      </w:r>
      <w:r>
        <w:t xml:space="preserve"> </w:t>
      </w:r>
      <w:r>
        <w:t xml:space="preserve">	</w:t>
      </w:r>
      <w:r>
        <w:t xml:space="preserve">Andow, D. A. &amp; Hidaka, K.</w:t>
      </w:r>
      <w:r>
        <w:t xml:space="preserve"> </w:t>
      </w:r>
      <w:r>
        <w:t xml:space="preserve">Experimental natural history of sustainable agriculture: syndromes of production</w:t>
      </w:r>
      <w:r>
        <w:t xml:space="preserve">.</w:t>
      </w:r>
      <w:r>
        <w:t xml:space="preserve"> </w:t>
      </w:r>
      <w:r>
        <w:rPr>
          <w:iCs/>
          <w:i/>
        </w:rPr>
        <w:t xml:space="preserve">Agriculture, Ecosystems and Environment</w:t>
      </w:r>
      <w:r>
        <w:t xml:space="preserve"> </w:t>
      </w:r>
      <w:r>
        <w:t xml:space="preserve">(1989) doi:</w:t>
      </w:r>
      <w:hyperlink r:id="rId73">
        <w:r>
          <w:rPr>
            <w:rStyle w:val="Hyperlink"/>
          </w:rPr>
          <w:t xml:space="preserve">10.1016/0167-8809(89)90105-9</w:t>
        </w:r>
      </w:hyperlink>
      <w:r>
        <w:t xml:space="preserve">.</w:t>
      </w:r>
    </w:p>
    <w:bookmarkEnd w:id="74"/>
    <w:bookmarkStart w:id="76" w:name="ref-Ong2020a"/>
    <w:p>
      <w:pPr>
        <w:pStyle w:val="Bibliography"/>
      </w:pPr>
      <w:r>
        <w:t xml:space="preserve">23.</w:t>
      </w:r>
      <w:r>
        <w:t xml:space="preserve"> </w:t>
      </w:r>
      <w:r>
        <w:t xml:space="preserve">	</w:t>
      </w:r>
      <w:r>
        <w:t xml:space="preserve">Ong, T. W. Y. &amp; Liao, W.</w:t>
      </w:r>
      <w:r>
        <w:t xml:space="preserve"> </w:t>
      </w:r>
      <w:r>
        <w:t xml:space="preserve">Agroecological Transitions: A Mathematical Perspective on a Transdisciplinary Problem</w:t>
      </w:r>
      <w:r>
        <w:t xml:space="preserve">. (2020) doi:</w:t>
      </w:r>
      <w:hyperlink r:id="rId75">
        <w:r>
          <w:rPr>
            <w:rStyle w:val="Hyperlink"/>
          </w:rPr>
          <w:t xml:space="preserve">10.3389/fsufs.2020.00091</w:t>
        </w:r>
      </w:hyperlink>
      <w:r>
        <w:t xml:space="preserve">.</w:t>
      </w:r>
    </w:p>
    <w:bookmarkEnd w:id="76"/>
    <w:bookmarkStart w:id="78" w:name="ref-Vandermeer1997"/>
    <w:p>
      <w:pPr>
        <w:pStyle w:val="Bibliography"/>
      </w:pPr>
      <w:r>
        <w:t xml:space="preserve">24.</w:t>
      </w:r>
      <w:r>
        <w:t xml:space="preserve"> </w:t>
      </w:r>
      <w:r>
        <w:t xml:space="preserve">	</w:t>
      </w:r>
      <w:r>
        <w:t xml:space="preserve">Vandermeer, J.</w:t>
      </w:r>
      <w:r>
        <w:t xml:space="preserve"> </w:t>
      </w:r>
      <w:r>
        <w:t xml:space="preserve">Syndromes of production: An emergent property of simple agroecosystem dynamics</w:t>
      </w:r>
      <w:r>
        <w:t xml:space="preserve">.</w:t>
      </w:r>
      <w:r>
        <w:t xml:space="preserve"> </w:t>
      </w:r>
      <w:r>
        <w:rPr>
          <w:iCs/>
          <w:i/>
        </w:rPr>
        <w:t xml:space="preserve">Journal of Environmental Management</w:t>
      </w:r>
      <w:r>
        <w:t xml:space="preserve"> </w:t>
      </w:r>
      <w:r>
        <w:t xml:space="preserve">(1997) doi:</w:t>
      </w:r>
      <w:hyperlink r:id="rId77">
        <w:r>
          <w:rPr>
            <w:rStyle w:val="Hyperlink"/>
          </w:rPr>
          <w:t xml:space="preserve">10.1006/jema.1997.0128</w:t>
        </w:r>
      </w:hyperlink>
      <w:r>
        <w:t xml:space="preserve">.</w:t>
      </w:r>
    </w:p>
    <w:bookmarkEnd w:id="78"/>
    <w:bookmarkStart w:id="79" w:name="ref-vandermeer2012syndromes"/>
    <w:p>
      <w:pPr>
        <w:pStyle w:val="Bibliography"/>
      </w:pPr>
      <w:r>
        <w:t xml:space="preserve">25.</w:t>
      </w:r>
      <w:r>
        <w:t xml:space="preserve"> </w:t>
      </w:r>
      <w:r>
        <w:t xml:space="preserve">	</w:t>
      </w:r>
      <w:r>
        <w:t xml:space="preserve">Vandermeer, J. &amp; Perfecto, I. Syndromes of production in agriculture: Prospects for social-ecological regime change.</w:t>
      </w:r>
      <w:r>
        <w:t xml:space="preserve"> </w:t>
      </w:r>
      <w:r>
        <w:rPr>
          <w:iCs/>
          <w:i/>
        </w:rPr>
        <w:t xml:space="preserve">Ecology and Society</w:t>
      </w:r>
      <w:r>
        <w:t xml:space="preserve"> </w:t>
      </w:r>
      <w:r>
        <w:rPr>
          <w:bCs/>
          <w:b/>
        </w:rPr>
        <w:t xml:space="preserve">17</w:t>
      </w:r>
      <w:r>
        <w:t xml:space="preserve">, (2012).</w:t>
      </w:r>
    </w:p>
    <w:bookmarkEnd w:id="79"/>
    <w:bookmarkStart w:id="80" w:name="ref-bellman1957markovian"/>
    <w:p>
      <w:pPr>
        <w:pStyle w:val="Bibliography"/>
      </w:pPr>
      <w:r>
        <w:t xml:space="preserve">26.</w:t>
      </w:r>
      <w:r>
        <w:t xml:space="preserve"> </w:t>
      </w:r>
      <w:r>
        <w:t xml:space="preserve">	</w:t>
      </w:r>
      <w:r>
        <w:t xml:space="preserve">Bellman, R. A markovian decision process.</w:t>
      </w:r>
      <w:r>
        <w:t xml:space="preserve"> </w:t>
      </w:r>
      <w:r>
        <w:rPr>
          <w:iCs/>
          <w:i/>
        </w:rPr>
        <w:t xml:space="preserve">Indiana Univ. Math. J.</w:t>
      </w:r>
      <w:r>
        <w:t xml:space="preserve"> </w:t>
      </w:r>
      <w:r>
        <w:rPr>
          <w:bCs/>
          <w:b/>
        </w:rPr>
        <w:t xml:space="preserve">6</w:t>
      </w:r>
      <w:r>
        <w:t xml:space="preserve">, 679–684 (1957).</w:t>
      </w:r>
    </w:p>
    <w:bookmarkEnd w:id="80"/>
    <w:bookmarkStart w:id="82" w:name="ref-Marescot2013b"/>
    <w:p>
      <w:pPr>
        <w:pStyle w:val="Bibliography"/>
      </w:pPr>
      <w:r>
        <w:t xml:space="preserve">27.</w:t>
      </w:r>
      <w:r>
        <w:t xml:space="preserve"> </w:t>
      </w:r>
      <w:r>
        <w:t xml:space="preserve">	</w:t>
      </w:r>
      <w:r>
        <w:t xml:space="preserve">Marescot, L.</w:t>
      </w:r>
      <w:r>
        <w:t xml:space="preserve"> </w:t>
      </w:r>
      <w:r>
        <w:rPr>
          <w:iCs/>
          <w:i/>
        </w:rPr>
        <w:t xml:space="preserve">et al.</w:t>
      </w:r>
      <w:r>
        <w:t xml:space="preserve"> </w:t>
      </w:r>
      <w:r>
        <w:t xml:space="preserve">Complex decisions made simple: A primer on stochastic dynamic programming</w:t>
      </w:r>
      <w:r>
        <w:t xml:space="preserve">. (2013) doi:</w:t>
      </w:r>
      <w:hyperlink r:id="rId81">
        <w:r>
          <w:rPr>
            <w:rStyle w:val="Hyperlink"/>
          </w:rPr>
          <w:t xml:space="preserve">10.1111/2041-210X.12082</w:t>
        </w:r>
      </w:hyperlink>
      <w:r>
        <w:t xml:space="preserve">.</w:t>
      </w:r>
    </w:p>
    <w:bookmarkEnd w:id="82"/>
    <w:bookmarkStart w:id="83" w:name="ref-tamburini2020agricultural"/>
    <w:p>
      <w:pPr>
        <w:pStyle w:val="Bibliography"/>
      </w:pPr>
      <w:r>
        <w:t xml:space="preserve">28.</w:t>
      </w:r>
      <w:r>
        <w:t xml:space="preserve"> </w:t>
      </w:r>
      <w:r>
        <w:t xml:space="preserve">	</w:t>
      </w:r>
      <w:r>
        <w:t xml:space="preserve">Tamburini, G.</w:t>
      </w:r>
      <w:r>
        <w:t xml:space="preserve"> </w:t>
      </w:r>
      <w:r>
        <w:rPr>
          <w:iCs/>
          <w:i/>
        </w:rPr>
        <w:t xml:space="preserve">et al.</w:t>
      </w:r>
      <w:r>
        <w:t xml:space="preserve"> Agricultural diversification promotes multiple ecosystem services without compromising yield.</w:t>
      </w:r>
      <w:r>
        <w:t xml:space="preserve"> </w:t>
      </w:r>
      <w:r>
        <w:rPr>
          <w:iCs/>
          <w:i/>
        </w:rPr>
        <w:t xml:space="preserve">Science advances</w:t>
      </w:r>
      <w:r>
        <w:t xml:space="preserve"> </w:t>
      </w:r>
      <w:r>
        <w:rPr>
          <w:bCs/>
          <w:b/>
        </w:rPr>
        <w:t xml:space="preserve">6</w:t>
      </w:r>
      <w:r>
        <w:t xml:space="preserve">, eaba1715 (2020).</w:t>
      </w:r>
    </w:p>
    <w:bookmarkEnd w:id="83"/>
    <w:bookmarkStart w:id="84" w:name="ref-kremen2012ecosystem"/>
    <w:p>
      <w:pPr>
        <w:pStyle w:val="Bibliography"/>
      </w:pPr>
      <w:r>
        <w:t xml:space="preserve">29.</w:t>
      </w:r>
      <w:r>
        <w:t xml:space="preserve"> </w:t>
      </w:r>
      <w:r>
        <w:t xml:space="preserve">	</w:t>
      </w:r>
      <w:r>
        <w:t xml:space="preserve">Kremen, C. &amp; Miles, A. Ecosystem services in biologically diversified versus conventional farming systems: Benefits, externalities, and trade-offs.</w:t>
      </w:r>
      <w:r>
        <w:t xml:space="preserve"> </w:t>
      </w:r>
      <w:r>
        <w:rPr>
          <w:iCs/>
          <w:i/>
        </w:rPr>
        <w:t xml:space="preserve">Ecology and society</w:t>
      </w:r>
      <w:r>
        <w:t xml:space="preserve"> </w:t>
      </w:r>
      <w:r>
        <w:rPr>
          <w:bCs/>
          <w:b/>
        </w:rPr>
        <w:t xml:space="preserve">17</w:t>
      </w:r>
      <w:r>
        <w:t xml:space="preserve">, (2012).</w:t>
      </w:r>
    </w:p>
    <w:bookmarkEnd w:id="84"/>
    <w:bookmarkStart w:id="85" w:name="ref-rosa2019ecological"/>
    <w:p>
      <w:pPr>
        <w:pStyle w:val="Bibliography"/>
      </w:pPr>
      <w:r>
        <w:t xml:space="preserve">30.</w:t>
      </w:r>
      <w:r>
        <w:t xml:space="preserve"> </w:t>
      </w:r>
      <w:r>
        <w:t xml:space="preserve">	</w:t>
      </w:r>
      <w:r>
        <w:t xml:space="preserve">Rosa-Schleich, J., Loos, J., Mußhoff, O. &amp; Tscharntke, T. Ecological-economic trade-offs of diversified farming systems–a review.</w:t>
      </w:r>
      <w:r>
        <w:t xml:space="preserve"> </w:t>
      </w:r>
      <w:r>
        <w:rPr>
          <w:iCs/>
          <w:i/>
        </w:rPr>
        <w:t xml:space="preserve">Ecological economics</w:t>
      </w:r>
      <w:r>
        <w:t xml:space="preserve"> </w:t>
      </w:r>
      <w:r>
        <w:rPr>
          <w:bCs/>
          <w:b/>
        </w:rPr>
        <w:t xml:space="preserve">160</w:t>
      </w:r>
      <w:r>
        <w:t xml:space="preserve">, 251–263 (2019).</w:t>
      </w:r>
    </w:p>
    <w:bookmarkEnd w:id="85"/>
    <w:bookmarkStart w:id="86" w:name="ref-beillouin2021positive"/>
    <w:p>
      <w:pPr>
        <w:pStyle w:val="Bibliography"/>
      </w:pPr>
      <w:r>
        <w:t xml:space="preserve">31.</w:t>
      </w:r>
      <w:r>
        <w:t xml:space="preserve"> </w:t>
      </w:r>
      <w:r>
        <w:t xml:space="preserve">	</w:t>
      </w:r>
      <w:r>
        <w:t xml:space="preserve">Beillouin, D., Ben-Ari, T., Malezieux, E., Seufert, V. &amp; Makowski, D. Positive but variable effects of crop diversification on biodiversity and ecosystem services.</w:t>
      </w:r>
      <w:r>
        <w:t xml:space="preserve"> </w:t>
      </w:r>
      <w:r>
        <w:rPr>
          <w:iCs/>
          <w:i/>
        </w:rPr>
        <w:t xml:space="preserve">Global Change Biology</w:t>
      </w:r>
      <w:r>
        <w:t xml:space="preserve"> </w:t>
      </w:r>
      <w:r>
        <w:t xml:space="preserve">(2021).</w:t>
      </w:r>
    </w:p>
    <w:bookmarkEnd w:id="86"/>
    <w:bookmarkStart w:id="87" w:name="ref-gonthier2019bird"/>
    <w:p>
      <w:pPr>
        <w:pStyle w:val="Bibliography"/>
      </w:pPr>
      <w:r>
        <w:t xml:space="preserve">32.</w:t>
      </w:r>
      <w:r>
        <w:t xml:space="preserve"> </w:t>
      </w:r>
      <w:r>
        <w:t xml:space="preserve">	</w:t>
      </w:r>
      <w:r>
        <w:t xml:space="preserve">Gonthier, D. J.</w:t>
      </w:r>
      <w:r>
        <w:t xml:space="preserve"> </w:t>
      </w:r>
      <w:r>
        <w:rPr>
          <w:iCs/>
          <w:i/>
        </w:rPr>
        <w:t xml:space="preserve">et al.</w:t>
      </w:r>
      <w:r>
        <w:t xml:space="preserve"> Bird services and disservices to strawberry farming in californian agricultural landscapes.</w:t>
      </w:r>
      <w:r>
        <w:t xml:space="preserve"> </w:t>
      </w:r>
      <w:r>
        <w:rPr>
          <w:iCs/>
          <w:i/>
        </w:rPr>
        <w:t xml:space="preserve">Journal of Applied Ecology</w:t>
      </w:r>
      <w:r>
        <w:t xml:space="preserve"> </w:t>
      </w:r>
      <w:r>
        <w:rPr>
          <w:bCs/>
          <w:b/>
        </w:rPr>
        <w:t xml:space="preserve">56</w:t>
      </w:r>
      <w:r>
        <w:t xml:space="preserve">, 1948–1959 (2019).</w:t>
      </w:r>
    </w:p>
    <w:bookmarkEnd w:id="87"/>
    <w:bookmarkStart w:id="88" w:name="ref-olimpi2020shifts"/>
    <w:p>
      <w:pPr>
        <w:pStyle w:val="Bibliography"/>
      </w:pPr>
      <w:r>
        <w:t xml:space="preserve">33.</w:t>
      </w:r>
      <w:r>
        <w:t xml:space="preserve"> </w:t>
      </w:r>
      <w:r>
        <w:t xml:space="preserve">	</w:t>
      </w:r>
      <w:r>
        <w:t xml:space="preserve">Olimpi, E.</w:t>
      </w:r>
      <w:r>
        <w:t xml:space="preserve"> </w:t>
      </w:r>
      <w:r>
        <w:rPr>
          <w:iCs/>
          <w:i/>
        </w:rPr>
        <w:t xml:space="preserve">et al.</w:t>
      </w:r>
      <w:r>
        <w:t xml:space="preserve"> Shifts in species interactions and farming contexts mediate net effects of birds in agroecosystems.</w:t>
      </w:r>
      <w:r>
        <w:t xml:space="preserve"> </w:t>
      </w:r>
      <w:r>
        <w:rPr>
          <w:iCs/>
          <w:i/>
        </w:rPr>
        <w:t xml:space="preserve">Ecological Applications</w:t>
      </w:r>
      <w:r>
        <w:t xml:space="preserve"> </w:t>
      </w:r>
      <w:r>
        <w:rPr>
          <w:bCs/>
          <w:b/>
        </w:rPr>
        <w:t xml:space="preserve">30</w:t>
      </w:r>
      <w:r>
        <w:t xml:space="preserve">, e02115 (2020).</w:t>
      </w:r>
    </w:p>
    <w:bookmarkEnd w:id="88"/>
    <w:bookmarkStart w:id="89" w:name="ref-olimpi2019evolving"/>
    <w:p>
      <w:pPr>
        <w:pStyle w:val="Bibliography"/>
      </w:pPr>
      <w:r>
        <w:t xml:space="preserve">34.</w:t>
      </w:r>
      <w:r>
        <w:t xml:space="preserve"> </w:t>
      </w:r>
      <w:r>
        <w:t xml:space="preserve">	</w:t>
      </w:r>
      <w:r>
        <w:t xml:space="preserve">Olimpi, E. M.</w:t>
      </w:r>
      <w:r>
        <w:t xml:space="preserve"> </w:t>
      </w:r>
      <w:r>
        <w:rPr>
          <w:iCs/>
          <w:i/>
        </w:rPr>
        <w:t xml:space="preserve">et al.</w:t>
      </w:r>
      <w:r>
        <w:t xml:space="preserve"> Evolving food safety pressures in california’s central coast region.</w:t>
      </w:r>
      <w:r>
        <w:t xml:space="preserve"> </w:t>
      </w:r>
      <w:r>
        <w:rPr>
          <w:iCs/>
          <w:i/>
        </w:rPr>
        <w:t xml:space="preserve">Frontiers in Sustainable Food Systems</w:t>
      </w:r>
      <w:r>
        <w:t xml:space="preserve"> </w:t>
      </w:r>
      <w:r>
        <w:rPr>
          <w:bCs/>
          <w:b/>
        </w:rPr>
        <w:t xml:space="preserve">3</w:t>
      </w:r>
      <w:r>
        <w:t xml:space="preserve">, 102 (2019).</w:t>
      </w:r>
    </w:p>
    <w:bookmarkEnd w:id="89"/>
    <w:bookmarkStart w:id="91" w:name="ref-Horan2011a"/>
    <w:p>
      <w:pPr>
        <w:pStyle w:val="Bibliography"/>
      </w:pPr>
      <w:r>
        <w:t xml:space="preserve">35.</w:t>
      </w:r>
      <w:r>
        <w:t xml:space="preserve"> </w:t>
      </w:r>
      <w:r>
        <w:t xml:space="preserve">	</w:t>
      </w:r>
      <w:r>
        <w:t xml:space="preserve">Horan, R. D., Fenichel, E. P., Drury, K. L. S. &amp; Lodge, D. M.</w:t>
      </w:r>
      <w:r>
        <w:t xml:space="preserve"> </w:t>
      </w:r>
      <w:r>
        <w:t xml:space="preserve">Managing ecological thresholds in coupled environmental-human systems</w:t>
      </w:r>
      <w:r>
        <w:t xml:space="preserve">.</w:t>
      </w:r>
      <w:r>
        <w:t xml:space="preserve"> </w:t>
      </w:r>
      <w:r>
        <w:rPr>
          <w:iCs/>
          <w:i/>
        </w:rPr>
        <w:t xml:space="preserve">Proceedings of the National Academy of Sciences of the United States of America</w:t>
      </w:r>
      <w:r>
        <w:t xml:space="preserve"> </w:t>
      </w:r>
      <w:r>
        <w:t xml:space="preserve">(2011) doi:</w:t>
      </w:r>
      <w:hyperlink r:id="rId90">
        <w:r>
          <w:rPr>
            <w:rStyle w:val="Hyperlink"/>
          </w:rPr>
          <w:t xml:space="preserve">10.1073/pnas.1005431108</w:t>
        </w:r>
      </w:hyperlink>
      <w:r>
        <w:t xml:space="preserve">.</w:t>
      </w:r>
    </w:p>
    <w:bookmarkEnd w:id="91"/>
    <w:bookmarkStart w:id="92" w:name="ref-vandermeer1997syndromes"/>
    <w:p>
      <w:pPr>
        <w:pStyle w:val="Bibliography"/>
      </w:pPr>
      <w:r>
        <w:t xml:space="preserve">36.</w:t>
      </w:r>
      <w:r>
        <w:t xml:space="preserve"> </w:t>
      </w:r>
      <w:r>
        <w:t xml:space="preserve">	</w:t>
      </w:r>
      <w:r>
        <w:t xml:space="preserve">Vandermeer, J. Syndromes of production: An emergent property of simple agroecosystem dynamics.</w:t>
      </w:r>
      <w:r>
        <w:t xml:space="preserve"> </w:t>
      </w:r>
      <w:r>
        <w:rPr>
          <w:iCs/>
          <w:i/>
        </w:rPr>
        <w:t xml:space="preserve">Journal of Environmental Management</w:t>
      </w:r>
      <w:r>
        <w:t xml:space="preserve"> </w:t>
      </w:r>
      <w:r>
        <w:rPr>
          <w:bCs/>
          <w:b/>
        </w:rPr>
        <w:t xml:space="preserve">51</w:t>
      </w:r>
      <w:r>
        <w:t xml:space="preserve">, 59–72 (1997).</w:t>
      </w:r>
    </w:p>
    <w:bookmarkEnd w:id="92"/>
    <w:bookmarkStart w:id="93" w:name="ref-poeplau2015carbon"/>
    <w:p>
      <w:pPr>
        <w:pStyle w:val="Bibliography"/>
      </w:pPr>
      <w:r>
        <w:t xml:space="preserve">37.</w:t>
      </w:r>
      <w:r>
        <w:t xml:space="preserve"> </w:t>
      </w:r>
      <w:r>
        <w:t xml:space="preserve">	</w:t>
      </w:r>
      <w:r>
        <w:t xml:space="preserve">Poeplau, C. &amp; Don, A. Carbon sequestration in agricultural soils via cultivation of cover crops–a meta-analysis.</w:t>
      </w:r>
      <w:r>
        <w:t xml:space="preserve"> </w:t>
      </w:r>
      <w:r>
        <w:rPr>
          <w:iCs/>
          <w:i/>
        </w:rPr>
        <w:t xml:space="preserve">Agriculture, Ecosystems &amp; Environment</w:t>
      </w:r>
      <w:r>
        <w:t xml:space="preserve"> </w:t>
      </w:r>
      <w:r>
        <w:rPr>
          <w:bCs/>
          <w:b/>
        </w:rPr>
        <w:t xml:space="preserve">200</w:t>
      </w:r>
      <w:r>
        <w:t xml:space="preserve">, 33–41 (2015).</w:t>
      </w:r>
    </w:p>
    <w:bookmarkEnd w:id="93"/>
    <w:bookmarkStart w:id="94" w:name="ref-calo2016after"/>
    <w:p>
      <w:pPr>
        <w:pStyle w:val="Bibliography"/>
      </w:pPr>
      <w:r>
        <w:t xml:space="preserve">38.</w:t>
      </w:r>
      <w:r>
        <w:t xml:space="preserve"> </w:t>
      </w:r>
      <w:r>
        <w:t xml:space="preserve">	</w:t>
      </w:r>
      <w:r>
        <w:t xml:space="preserve">Calo, A. &amp; De Master, K. T. After the incubator: Factors impeding land access along the path from farmworker to proprietor.</w:t>
      </w:r>
      <w:r>
        <w:t xml:space="preserve"> </w:t>
      </w:r>
      <w:r>
        <w:rPr>
          <w:iCs/>
          <w:i/>
        </w:rPr>
        <w:t xml:space="preserve">Journal of Agriculture, Food Systems, and Community Development</w:t>
      </w:r>
      <w:r>
        <w:t xml:space="preserve"> </w:t>
      </w:r>
      <w:r>
        <w:rPr>
          <w:bCs/>
          <w:b/>
        </w:rPr>
        <w:t xml:space="preserve">6</w:t>
      </w:r>
      <w:r>
        <w:t xml:space="preserve">, 111–127 (2016).</w:t>
      </w:r>
    </w:p>
    <w:bookmarkEnd w:id="94"/>
    <w:bookmarkStart w:id="95" w:name="ref-calo2018knowledge"/>
    <w:p>
      <w:pPr>
        <w:pStyle w:val="Bibliography"/>
      </w:pPr>
      <w:r>
        <w:t xml:space="preserve">39.</w:t>
      </w:r>
      <w:r>
        <w:t xml:space="preserve"> </w:t>
      </w:r>
      <w:r>
        <w:t xml:space="preserve">	</w:t>
      </w:r>
      <w:r>
        <w:t xml:space="preserve">Calo, A. How knowledge deficit interventions fail to resolve beginning farmer challenges.</w:t>
      </w:r>
      <w:r>
        <w:t xml:space="preserve"> </w:t>
      </w:r>
      <w:r>
        <w:rPr>
          <w:iCs/>
          <w:i/>
        </w:rPr>
        <w:t xml:space="preserve">Agriculture and Human Values</w:t>
      </w:r>
      <w:r>
        <w:t xml:space="preserve"> </w:t>
      </w:r>
      <w:r>
        <w:rPr>
          <w:bCs/>
          <w:b/>
        </w:rPr>
        <w:t xml:space="preserve">35</w:t>
      </w:r>
      <w:r>
        <w:t xml:space="preserve">, 367–381 (2018).</w:t>
      </w:r>
    </w:p>
    <w:bookmarkEnd w:id="95"/>
    <w:bookmarkStart w:id="96" w:name="ref-minkoff2019new"/>
    <w:p>
      <w:pPr>
        <w:pStyle w:val="Bibliography"/>
      </w:pPr>
      <w:r>
        <w:t xml:space="preserve">40.</w:t>
      </w:r>
      <w:r>
        <w:t xml:space="preserve"> </w:t>
      </w:r>
      <w:r>
        <w:t xml:space="preserve">	</w:t>
      </w:r>
      <w:r>
        <w:t xml:space="preserve">Minkoff-Zern, L.-A.</w:t>
      </w:r>
      <w:r>
        <w:t xml:space="preserve"> </w:t>
      </w:r>
      <w:r>
        <w:rPr>
          <w:iCs/>
          <w:i/>
        </w:rPr>
        <w:t xml:space="preserve">The new american farmer: Immigration, race, and the struggle for sustainability</w:t>
      </w:r>
      <w:r>
        <w:t xml:space="preserve">. (MIT Press, 2019).</w:t>
      </w:r>
    </w:p>
    <w:bookmarkEnd w:id="96"/>
    <w:bookmarkStart w:id="98" w:name="ref-Batary2015a"/>
    <w:p>
      <w:pPr>
        <w:pStyle w:val="Bibliography"/>
      </w:pPr>
      <w:r>
        <w:t xml:space="preserve">41.</w:t>
      </w:r>
      <w:r>
        <w:t xml:space="preserve"> </w:t>
      </w:r>
      <w:r>
        <w:t xml:space="preserve">	</w:t>
      </w:r>
      <w:r>
        <w:t xml:space="preserve">Batáry, P., Dicks, L. V., Kleijn, D. &amp; Sutherland, W. J.</w:t>
      </w:r>
      <w:r>
        <w:t xml:space="preserve"> </w:t>
      </w:r>
      <w:r>
        <w:t xml:space="preserve">The role of agri-environment schemes in conservation and environmental management</w:t>
      </w:r>
      <w:r>
        <w:t xml:space="preserve">.</w:t>
      </w:r>
      <w:r>
        <w:t xml:space="preserve"> </w:t>
      </w:r>
      <w:r>
        <w:rPr>
          <w:iCs/>
          <w:i/>
        </w:rPr>
        <w:t xml:space="preserve">Conservation Biology</w:t>
      </w:r>
      <w:r>
        <w:t xml:space="preserve"> </w:t>
      </w:r>
      <w:r>
        <w:t xml:space="preserve">(2015) doi:</w:t>
      </w:r>
      <w:hyperlink r:id="rId97">
        <w:r>
          <w:rPr>
            <w:rStyle w:val="Hyperlink"/>
          </w:rPr>
          <w:t xml:space="preserve">10.1111/cobi.12536</w:t>
        </w:r>
      </w:hyperlink>
      <w:r>
        <w:t xml:space="preserve">.</w:t>
      </w:r>
    </w:p>
    <w:bookmarkEnd w:id="98"/>
    <w:bookmarkStart w:id="99" w:name="ref-graddy2017supply"/>
    <w:p>
      <w:pPr>
        <w:pStyle w:val="Bibliography"/>
      </w:pPr>
      <w:r>
        <w:t xml:space="preserve">42.</w:t>
      </w:r>
      <w:r>
        <w:t xml:space="preserve"> </w:t>
      </w:r>
      <w:r>
        <w:t xml:space="preserve">	</w:t>
      </w:r>
      <w:r>
        <w:t xml:space="preserve">Graddy-Lovelace, G. &amp; Diamond, A. From supply management to agricultural subsidies—and back again? The US farm bill &amp; agrarian (in) viability.</w:t>
      </w:r>
      <w:r>
        <w:t xml:space="preserve"> </w:t>
      </w:r>
      <w:r>
        <w:rPr>
          <w:iCs/>
          <w:i/>
        </w:rPr>
        <w:t xml:space="preserve">Journal of Rural Studies</w:t>
      </w:r>
      <w:r>
        <w:t xml:space="preserve"> </w:t>
      </w:r>
      <w:r>
        <w:rPr>
          <w:bCs/>
          <w:b/>
        </w:rPr>
        <w:t xml:space="preserve">50</w:t>
      </w:r>
      <w:r>
        <w:t xml:space="preserve">, 70–83 (2017).</w:t>
      </w:r>
    </w:p>
    <w:bookmarkEnd w:id="99"/>
    <w:bookmarkStart w:id="100" w:name="ref-claassen2014additionality"/>
    <w:p>
      <w:pPr>
        <w:pStyle w:val="Bibliography"/>
      </w:pPr>
      <w:r>
        <w:t xml:space="preserve">43.</w:t>
      </w:r>
      <w:r>
        <w:t xml:space="preserve"> </w:t>
      </w:r>
      <w:r>
        <w:t xml:space="preserve">	</w:t>
      </w:r>
      <w:r>
        <w:t xml:space="preserve">Claassen, R., Horowitz, J., Duquette, E. &amp; Ueda, K. Additionality in US agricultural conservation and regulatory offset programs.</w:t>
      </w:r>
      <w:r>
        <w:t xml:space="preserve"> </w:t>
      </w:r>
      <w:r>
        <w:rPr>
          <w:iCs/>
          <w:i/>
        </w:rPr>
        <w:t xml:space="preserve">USDA-ERS Economic Research Report</w:t>
      </w:r>
      <w:r>
        <w:t xml:space="preserve"> </w:t>
      </w:r>
      <w:r>
        <w:t xml:space="preserve">(2014).</w:t>
      </w:r>
    </w:p>
    <w:bookmarkEnd w:id="100"/>
    <w:bookmarkStart w:id="101" w:name="ref-dayer2018private"/>
    <w:p>
      <w:pPr>
        <w:pStyle w:val="Bibliography"/>
      </w:pPr>
      <w:r>
        <w:t xml:space="preserve">44.</w:t>
      </w:r>
      <w:r>
        <w:t xml:space="preserve"> </w:t>
      </w:r>
      <w:r>
        <w:t xml:space="preserve">	</w:t>
      </w:r>
      <w:r>
        <w:t xml:space="preserve">Dayer, A. A., Lutter, S. H., Sesser, K. A., Hickey, C. M. &amp; Gardali, T. Private landowner conservation behavior following participation in voluntary incentive programs: Recommendations to facilitate behavioral persistence.</w:t>
      </w:r>
      <w:r>
        <w:t xml:space="preserve"> </w:t>
      </w:r>
      <w:r>
        <w:rPr>
          <w:iCs/>
          <w:i/>
        </w:rPr>
        <w:t xml:space="preserve">Conservation Letters</w:t>
      </w:r>
      <w:r>
        <w:t xml:space="preserve"> </w:t>
      </w:r>
      <w:r>
        <w:rPr>
          <w:bCs/>
          <w:b/>
        </w:rPr>
        <w:t xml:space="preserve">11</w:t>
      </w:r>
      <w:r>
        <w:t xml:space="preserve">, e12394 (2018).</w:t>
      </w:r>
    </w:p>
    <w:bookmarkEnd w:id="101"/>
    <w:bookmarkStart w:id="102" w:name="ref-roberts2007enduring"/>
    <w:p>
      <w:pPr>
        <w:pStyle w:val="Bibliography"/>
      </w:pPr>
      <w:r>
        <w:t xml:space="preserve">45.</w:t>
      </w:r>
      <w:r>
        <w:t xml:space="preserve"> </w:t>
      </w:r>
      <w:r>
        <w:t xml:space="preserve">	</w:t>
      </w:r>
      <w:r>
        <w:t xml:space="preserve">Roberts, M. J. &amp; Lubowski, R. N. Enduring impacts of land retirement policies: Evidence from the conservation reserve program.</w:t>
      </w:r>
      <w:r>
        <w:t xml:space="preserve"> </w:t>
      </w:r>
      <w:r>
        <w:rPr>
          <w:iCs/>
          <w:i/>
        </w:rPr>
        <w:t xml:space="preserve">Land Economics</w:t>
      </w:r>
      <w:r>
        <w:t xml:space="preserve"> </w:t>
      </w:r>
      <w:r>
        <w:rPr>
          <w:bCs/>
          <w:b/>
        </w:rPr>
        <w:t xml:space="preserve">83</w:t>
      </w:r>
      <w:r>
        <w:t xml:space="preserve">, 516–538 (2007).</w:t>
      </w:r>
    </w:p>
    <w:bookmarkEnd w:id="102"/>
    <w:bookmarkStart w:id="103" w:name="ref-USDApayments"/>
    <w:p>
      <w:pPr>
        <w:pStyle w:val="Bibliography"/>
      </w:pPr>
      <w:r>
        <w:t xml:space="preserve">46.</w:t>
      </w:r>
      <w:r>
        <w:t xml:space="preserve"> </w:t>
      </w:r>
      <w:r>
        <w:t xml:space="preserve">	</w:t>
      </w:r>
      <w:r>
        <w:t xml:space="preserve">Agriculture, U. S. D. of. 2021 state payment schedules. (2021).</w:t>
      </w:r>
    </w:p>
    <w:bookmarkEnd w:id="103"/>
    <w:bookmarkStart w:id="104" w:name="ref-wyant_2020"/>
    <w:p>
      <w:pPr>
        <w:pStyle w:val="Bibliography"/>
      </w:pPr>
      <w:r>
        <w:t xml:space="preserve">47.</w:t>
      </w:r>
      <w:r>
        <w:t xml:space="preserve"> </w:t>
      </w:r>
      <w:r>
        <w:t xml:space="preserve">	</w:t>
      </w:r>
      <w:r>
        <w:t xml:space="preserve">Wyant, S. A closer look at EQIP - one of NRCS’s most popular conservation programs.</w:t>
      </w:r>
      <w:r>
        <w:t xml:space="preserve"> </w:t>
      </w:r>
      <w:r>
        <w:rPr>
          <w:iCs/>
          <w:i/>
        </w:rPr>
        <w:t xml:space="preserve">Agweek</w:t>
      </w:r>
      <w:r>
        <w:t xml:space="preserve"> </w:t>
      </w:r>
      <w:r>
        <w:t xml:space="preserve">(2020).</w:t>
      </w:r>
    </w:p>
    <w:bookmarkEnd w:id="104"/>
    <w:bookmarkStart w:id="105" w:name="ref-RCT2019"/>
    <w:p>
      <w:pPr>
        <w:pStyle w:val="Bibliography"/>
      </w:pPr>
      <w:r>
        <w:t xml:space="preserve">48.</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2019).</w:t>
      </w:r>
    </w:p>
    <w:bookmarkEnd w:id="105"/>
    <w:bookmarkStart w:id="106" w:name="ref-Chades2017"/>
    <w:p>
      <w:pPr>
        <w:pStyle w:val="Bibliography"/>
      </w:pPr>
      <w:r>
        <w:t xml:space="preserve">49.</w:t>
      </w:r>
      <w:r>
        <w:t xml:space="preserve"> </w:t>
      </w:r>
      <w:r>
        <w:t xml:space="preserve">	</w:t>
      </w:r>
      <w:r>
        <w:t xml:space="preserve">Chades, I., Chapron, G., Cros, M.-J., Garcia, F. &amp; Sabbadin, R.</w:t>
      </w:r>
      <w:r>
        <w:t xml:space="preserve"> </w:t>
      </w:r>
      <w:r>
        <w:rPr>
          <w:iCs/>
          <w:i/>
        </w:rPr>
        <w:t xml:space="preserve">MDPtoolbox: Markov decision processes toolbox</w:t>
      </w:r>
      <w:r>
        <w:t xml:space="preserve">. (2017).</w:t>
      </w:r>
    </w:p>
    <w:bookmarkEnd w:id="106"/>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df" /><Relationship Type="http://schemas.openxmlformats.org/officeDocument/2006/relationships/image" Id="rId28" Target="media/rId28.pdf" /><Relationship Type="http://schemas.openxmlformats.org/officeDocument/2006/relationships/image" Id="rId33" Target="media/rId33.pdf" /><Relationship Type="http://schemas.openxmlformats.org/officeDocument/2006/relationships/image" Id="rId32" Target="media/rId32.pdf"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hyperlink" Id="rId77" Target="https://doi.org/10.1006/jema.1997.0128" TargetMode="External" /><Relationship Type="http://schemas.openxmlformats.org/officeDocument/2006/relationships/hyperlink" Id="rId59" Target="https://doi.org/10.1007/s10707-018-00337-8" TargetMode="External" /><Relationship Type="http://schemas.openxmlformats.org/officeDocument/2006/relationships/hyperlink" Id="rId73" Target="https://doi.org/10.1016/0167-8809(89)90105-9" TargetMode="External" /><Relationship Type="http://schemas.openxmlformats.org/officeDocument/2006/relationships/hyperlink" Id="rId49" Target="https://doi.org/10.1038/467411a" TargetMode="External" /><Relationship Type="http://schemas.openxmlformats.org/officeDocument/2006/relationships/hyperlink" Id="rId47" Target="https://doi.org/10.1038/nature06252" TargetMode="External" /><Relationship Type="http://schemas.openxmlformats.org/officeDocument/2006/relationships/hyperlink" Id="rId90" Target="https://doi.org/10.1073/pnas.1005431108" TargetMode="External" /><Relationship Type="http://schemas.openxmlformats.org/officeDocument/2006/relationships/hyperlink" Id="rId81" Target="https://doi.org/10.1111/2041-210X.12082" TargetMode="External" /><Relationship Type="http://schemas.openxmlformats.org/officeDocument/2006/relationships/hyperlink" Id="rId97" Target="https://doi.org/10.1111/cobi.12536" TargetMode="External" /><Relationship Type="http://schemas.openxmlformats.org/officeDocument/2006/relationships/hyperlink" Id="rId53" Target="https://doi.org/10.1126/science.1172133" TargetMode="External" /><Relationship Type="http://schemas.openxmlformats.org/officeDocument/2006/relationships/hyperlink" Id="rId45" Target="https://doi.org/10.1126/science.1219805" TargetMode="External" /><Relationship Type="http://schemas.openxmlformats.org/officeDocument/2006/relationships/hyperlink" Id="rId75" Target="https://doi.org/10.3389/fsufs.2020.00091" TargetMode="External" /><Relationship Type="http://schemas.openxmlformats.org/officeDocument/2006/relationships/hyperlink" Id="rId55" Target="https://doi.org/10.5751/ES-00650-090205" TargetMode="External" /><Relationship Type="http://schemas.openxmlformats.org/officeDocument/2006/relationships/hyperlink" Id="rId57" Target="https://doi.org/10.5751/ES-01569-110114" TargetMode="External" /><Relationship Type="http://schemas.openxmlformats.org/officeDocument/2006/relationships/hyperlink" Id="rId61" Target="https://doi.org/10.5751/ES-04813-170439" TargetMode="External" /><Relationship Type="http://schemas.openxmlformats.org/officeDocument/2006/relationships/hyperlink" Id="rId71" Target="https://doi.org/10.5751/ES-05103-170444" TargetMode="External" /><Relationship Type="http://schemas.openxmlformats.org/officeDocument/2006/relationships/hyperlink" Id="rId39" Target="https://github.com/boettiger-lab/dfs-mdp" TargetMode="External" /></Relationships>
</file>

<file path=word/_rels/footnotes.xml.rels><?xml version="1.0" encoding="UTF-8"?><Relationships xmlns="http://schemas.openxmlformats.org/package/2006/relationships"><Relationship Type="http://schemas.openxmlformats.org/officeDocument/2006/relationships/hyperlink" Id="rId77" Target="https://doi.org/10.1006/jema.1997.0128" TargetMode="External" /><Relationship Type="http://schemas.openxmlformats.org/officeDocument/2006/relationships/hyperlink" Id="rId59" Target="https://doi.org/10.1007/s10707-018-00337-8" TargetMode="External" /><Relationship Type="http://schemas.openxmlformats.org/officeDocument/2006/relationships/hyperlink" Id="rId73" Target="https://doi.org/10.1016/0167-8809(89)90105-9" TargetMode="External" /><Relationship Type="http://schemas.openxmlformats.org/officeDocument/2006/relationships/hyperlink" Id="rId49" Target="https://doi.org/10.1038/467411a" TargetMode="External" /><Relationship Type="http://schemas.openxmlformats.org/officeDocument/2006/relationships/hyperlink" Id="rId47" Target="https://doi.org/10.1038/nature06252" TargetMode="External" /><Relationship Type="http://schemas.openxmlformats.org/officeDocument/2006/relationships/hyperlink" Id="rId90" Target="https://doi.org/10.1073/pnas.1005431108" TargetMode="External" /><Relationship Type="http://schemas.openxmlformats.org/officeDocument/2006/relationships/hyperlink" Id="rId81" Target="https://doi.org/10.1111/2041-210X.12082" TargetMode="External" /><Relationship Type="http://schemas.openxmlformats.org/officeDocument/2006/relationships/hyperlink" Id="rId97" Target="https://doi.org/10.1111/cobi.12536" TargetMode="External" /><Relationship Type="http://schemas.openxmlformats.org/officeDocument/2006/relationships/hyperlink" Id="rId53" Target="https://doi.org/10.1126/science.1172133" TargetMode="External" /><Relationship Type="http://schemas.openxmlformats.org/officeDocument/2006/relationships/hyperlink" Id="rId45" Target="https://doi.org/10.1126/science.1219805" TargetMode="External" /><Relationship Type="http://schemas.openxmlformats.org/officeDocument/2006/relationships/hyperlink" Id="rId75" Target="https://doi.org/10.3389/fsufs.2020.00091" TargetMode="External" /><Relationship Type="http://schemas.openxmlformats.org/officeDocument/2006/relationships/hyperlink" Id="rId55" Target="https://doi.org/10.5751/ES-00650-090205" TargetMode="External" /><Relationship Type="http://schemas.openxmlformats.org/officeDocument/2006/relationships/hyperlink" Id="rId57" Target="https://doi.org/10.5751/ES-01569-110114" TargetMode="External" /><Relationship Type="http://schemas.openxmlformats.org/officeDocument/2006/relationships/hyperlink" Id="rId61" Target="https://doi.org/10.5751/ES-04813-170439" TargetMode="External" /><Relationship Type="http://schemas.openxmlformats.org/officeDocument/2006/relationships/hyperlink" Id="rId71" Target="https://doi.org/10.5751/ES-05103-170444" TargetMode="External" /><Relationship Type="http://schemas.openxmlformats.org/officeDocument/2006/relationships/hyperlink" Id="rId39" Target="https://github.com/boettiger-lab/dfs-md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Tipping points in diversified farming systems</dc:title>
  <dc:creator/>
  <cp:keywords>ecosystem services,, tipping points,, agriculture,, diversification practices,, decision-making</cp:keywords>
  <dcterms:created xsi:type="dcterms:W3CDTF">2022-01-25T14:00:25Z</dcterms:created>
  <dcterms:modified xsi:type="dcterms:W3CDTF">2022-01-25T14:00:25Z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and impact of tipping points have garnered significant interest in both the social and natural sciences. Despite widespread recognition of the importance of feedbacks between human and environmental systems, it is often assumed that tipping points in coupled social-ecological systems result from dynamics in either the underlying human or environmental processes rather than their temporal interactions. Using the adoption of diversified farming practices (which promote biodiversity and corresponding ecosystem services) as a case study, we show how multiple stable management paradigms can emerge purely from the temporal feedbacks between human decisions and ecological responses. Our approach to coupling ecological and human dynamics captures two often overlooked characterizations about their interactions. First, farmers’ actions reflect an ability to plan ahead and not just react to current circumstances. Second, many diversified practices provide ecological benefits that only accumulate gradually or after some delay. Previous research tends to ignore either the dynamics of planning ahead (e.g., most agent-based models) or the slow timescale of ecological benefits (e.g., macro-economic models). Together, these two features create two stable social-ecological states, one dominated by conventional, homogeneous practices, the other by diversified practices. We show how characterizing this temporal mechanism of tipping points allows for the exploration of barriers for farm transitions toward highly biodiverse states and is critical to designing effective interventions that can promote farmers’ transitions towards sustainable agriculture. Moreover, our flexible modeling framework could be applied to other cases to provide insight into numerous questions in social-ecological systems research and environmental policy.</vt:lpwstr>
  </property>
  <property fmtid="{D5CDD505-2E9C-101B-9397-08002B2CF9AE}" pid="3" name="address">
    <vt:lpwstr/>
  </property>
  <property fmtid="{D5CDD505-2E9C-101B-9397-08002B2CF9AE}" pid="4" name="bibliography">
    <vt:lpwstr>references.bib</vt:lpwstr>
  </property>
  <property fmtid="{D5CDD505-2E9C-101B-9397-08002B2CF9AE}" pid="5" name="csl">
    <vt:lpwstr>nature-climate-change.csl</vt:lpwstr>
  </property>
  <property fmtid="{D5CDD505-2E9C-101B-9397-08002B2CF9AE}" pid="6" name="date">
    <vt:lpwstr>2022-01-25</vt:lpwstr>
  </property>
  <property fmtid="{D5CDD505-2E9C-101B-9397-08002B2CF9AE}" pid="7" name="header-includes">
    <vt:lpwstr/>
  </property>
  <property fmtid="{D5CDD505-2E9C-101B-9397-08002B2CF9AE}" pid="8" name="layout">
    <vt:lpwstr>3p</vt:lpwstr>
  </property>
  <property fmtid="{D5CDD505-2E9C-101B-9397-08002B2CF9AE}" pid="9" name="output">
    <vt:lpwstr>word_document</vt:lpwstr>
  </property>
</Properties>
</file>