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BankMate Ipoteka Krediti Yo'riqnomasi</w:t>
      </w:r>
    </w:p>
    <w:p>
      <w:pPr>
        <w:pStyle w:val="Heading1"/>
      </w:pPr>
      <w:r>
        <w:t>1. Umumiy qoidalar</w:t>
      </w:r>
    </w:p>
    <w:p>
      <w:r>
        <w:t>Ushbu yo'riqnoma BankMate mijozi uchun ipoteka krediti ajratish shartlarini belgilaydi.</w:t>
      </w:r>
    </w:p>
    <w:p>
      <w:pPr>
        <w:pStyle w:val="Heading1"/>
      </w:pPr>
      <w:r>
        <w:t>2. Foiz stavkasi va shartlari</w:t>
      </w:r>
    </w:p>
    <w:p>
      <w:r>
        <w:t>Ipoteka krediti uchun yillik foiz stavkasi 17.5% qilib belgilangan. Agar mijoz oylik maoshini bizning bank orqali olsa, imtiyozli 16% stavka qo'llaniladi.</w:t>
      </w:r>
    </w:p>
    <w:p>
      <w:r>
        <w:t>Maksimal muddat 20 yil (240 oy). Dastlabki badal kamida 15% bo'lishi shart.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