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美联储货币政策影响下中资企业境外债券融资动机和风险研究以九龙江集团为例"/>
    <w:p>
      <w:pPr>
        <w:pStyle w:val="Heading1"/>
      </w:pPr>
      <w:r>
        <w:rPr>
          <w:rFonts w:hint="eastAsia"/>
        </w:rPr>
        <w:t xml:space="preserve">美联储货币政策影响下中资企业境外债券融资动机和风险研究：以九龙江集团为例</w:t>
      </w:r>
    </w:p>
    <w:bookmarkStart w:id="9" w:name="摘要"/>
    <w:p>
      <w:pPr>
        <w:pStyle w:val="Heading2"/>
      </w:pPr>
      <w:r>
        <w:rPr>
          <w:rFonts w:hint="eastAsia"/>
        </w:rPr>
        <w:t xml:space="preserve">摘要</w:t>
      </w:r>
    </w:p>
    <w:p>
      <w:pPr>
        <w:pStyle w:val="FirstParagraph"/>
      </w:pPr>
      <w:r>
        <w:rPr>
          <w:rFonts w:hint="eastAsia"/>
        </w:rPr>
        <w:t xml:space="preserve">2008年国际金融危机后，美联储长期实施量化宽松政策，推动美元流动性充裕和全球低利率环境形成，中资企业由此获得了较为有利的境外债券融资窗口。2022年3月以来，美联储进入快速加息周期，联邦基金目标利率由0-0.25%上调至5.25%-5.50%，叠加美元升值和全球风险偏好下降，中资企业境外发债的融资成本、汇率敞口和再融资压力显著上升。本文围绕“中资企业为何选择境外发债、在美联储紧缩背景下面临何种风险、应如何管理风险”三个核心问题，采用文献分析与案例研究相结合的方法展开研究。案例选取漳州市九龙江集团有限公司。公开资料显示，该集团系地方国有资本投资平台，业务涵盖大健康、先进制造、供应链与城市运营等领域，2024年末总资产达1389.40亿元，具备较强的境内信用资质，并已进入国际债券市场。研究发现，中资企业境外发债的主要动机包括满足境外业务和长期资金需求、在特定利率和汇率组合下获取成本优势、建立国际信用曲线以及顺应资本项目渐进开放政策；其主要风险则集中于利率风险、汇率风险、政策合规风险、再融资风险和声誉风险。九龙江集团的案例表明，地方国企境外发债并非简单的“低成本融资”，而是兼具战略融资、信用建设和资金统筹功能的综合性安排。本文据此提出：企业层面应坚持风险中性原则、提高自然对冲和金融对冲比例、优化期限结构并建立备用流动性；监管层面应强化宏观审慎管理、完善用途穿透监管、提升跨境资金流动监测和分类处置能力。</w:t>
      </w:r>
    </w:p>
    <w:p>
      <w:pPr>
        <w:pStyle w:val="BodyText"/>
      </w:pPr>
      <w:r>
        <w:rPr>
          <w:rFonts w:hint="eastAsia"/>
          <w:b/>
          <w:bCs/>
        </w:rPr>
        <w:t xml:space="preserve">关键词</w:t>
      </w:r>
      <w:r>
        <w:rPr>
          <w:rFonts w:hint="eastAsia"/>
        </w:rPr>
        <w:t xml:space="preserve">：美联储货币政策；中资企业；境外债券融资；美元债；九龙江集团；外汇风险</w:t>
      </w:r>
    </w:p>
    <w:bookmarkEnd w:id="9"/>
    <w:bookmarkStart w:id="14" w:name="一绪论"/>
    <w:p>
      <w:pPr>
        <w:pStyle w:val="Heading2"/>
      </w:pPr>
      <w:r>
        <w:rPr>
          <w:rFonts w:hint="eastAsia"/>
        </w:rPr>
        <w:t xml:space="preserve">一、绪论</w:t>
      </w:r>
    </w:p>
    <w:bookmarkStart w:id="10" w:name="一研究背景"/>
    <w:p>
      <w:pPr>
        <w:pStyle w:val="Heading3"/>
      </w:pPr>
      <w:r>
        <w:rPr>
          <w:rFonts w:hint="eastAsia"/>
        </w:rPr>
        <w:t xml:space="preserve">（一）研究背景</w:t>
      </w:r>
    </w:p>
    <w:p>
      <w:pPr>
        <w:pStyle w:val="FirstParagraph"/>
      </w:pPr>
      <w:r>
        <w:rPr>
          <w:rFonts w:hint="eastAsia"/>
        </w:rPr>
        <w:t xml:space="preserve">2008年国际金融危机后，美联储先后实施多轮量化宽松政策，全球无风险利率明显下行，美元融资成本长期处于低位。特别是在2020年疫情冲击后，美联储再次将联邦基金目标利率下调至0-0.25%，并维持大规模资产购买，美元流动性外溢使中资企业境外债券融资迅速扩张。对多数中资企业而言，境外债券尤其是美元债一度具有三方面吸引力：其一，票息水平在一段时期内低于境内同期限非标融资和部分信用债融资；其二，期限较长、募集资金用途更加灵活；其三，能够帮助企业建立国际投资者认知与海外信用记录。</w:t>
      </w:r>
    </w:p>
    <w:p>
      <w:pPr>
        <w:pStyle w:val="BodyText"/>
      </w:pPr>
      <w:r>
        <w:rPr>
          <w:rFonts w:hint="eastAsia"/>
        </w:rPr>
        <w:t xml:space="preserve">但自2022年3月16日美联储启动本轮加息以来，美元利率环境发生根本变化。到2023年7月26日，美联储已将联邦基金目标利率区间提高至5.25%-5.50%，境外债市场的基准利率和信用利差同步上行。中资企业原有的“低息美元资金”逻辑被削弱，美元债的综合融资成本开始显著上升。与此同时，人民币兑美元汇率双向波动加剧，若企业缺乏稳定的美元收入或有效套保安排，则美元债并不天然降低风险，反而可能放大本币偿债压力。</w:t>
      </w:r>
    </w:p>
    <w:p>
      <w:pPr>
        <w:pStyle w:val="BodyText"/>
      </w:pPr>
      <w:r>
        <w:rPr>
          <w:rFonts w:hint="eastAsia"/>
        </w:rPr>
        <w:t xml:space="preserve">从国内制度环境看，中资企业境外发债的政策框架也经历了从审批制向备案制、再到用途穿透监管和宏观审慎管理并重的演进。2015年国家发展改革委发布《关于推进企业发行外债备案登记制管理改革的通知》，企业中长期外债管理由事前审批转向备案登记。2016年人民银行提出全口径跨境融资宏观审慎管理框架，企业可在宏观审慎参数约束下统筹本外币融资。2020年，人民银行和国家外汇管理局将跨境融资宏观审慎调节参数阶段性提高至1.25，以支持企业复工复产。2023年，《企业中长期外债审核登记管理办法》施行，监管重点由“能否发”进一步转向“如何发、如何用、如何还”，对募集资金用途、借新还旧、信息报送和风险控制提出更高要求。</w:t>
      </w:r>
    </w:p>
    <w:p>
      <w:pPr>
        <w:pStyle w:val="BodyText"/>
      </w:pPr>
      <w:r>
        <w:rPr>
          <w:rFonts w:hint="eastAsia"/>
        </w:rPr>
        <w:t xml:space="preserve">在此背景下，中资企业境外发债已经从“增量扩张”转入“结构分化”阶段。房地产企业美元债违约潮暴露出过度依赖境外短期融资和弱对冲策略的脆弱性；而地方国企、金融机构和优质产业集团则更多将境外发债视为战略性融资工具。在这种分化格局下，研究美联储货币政策如何影响企业境外发债动机与风险，既具有理论价值，也具有现实紧迫性。</w:t>
      </w:r>
    </w:p>
    <w:bookmarkEnd w:id="10"/>
    <w:bookmarkStart w:id="11" w:name="二研究问题"/>
    <w:p>
      <w:pPr>
        <w:pStyle w:val="Heading3"/>
      </w:pPr>
      <w:r>
        <w:rPr>
          <w:rFonts w:hint="eastAsia"/>
        </w:rPr>
        <w:t xml:space="preserve">（二）研究问题</w:t>
      </w:r>
    </w:p>
    <w:p>
      <w:pPr>
        <w:pStyle w:val="FirstParagraph"/>
      </w:pPr>
      <w:r>
        <w:rPr>
          <w:rFonts w:hint="eastAsia"/>
        </w:rPr>
        <w:t xml:space="preserve">本文围绕以下三个问题展开：</w:t>
      </w:r>
    </w:p>
    <w:p>
      <w:pPr>
        <w:pStyle w:val="Compact"/>
        <w:numPr>
          <w:ilvl w:val="0"/>
          <w:numId w:val="1001"/>
        </w:numPr>
      </w:pPr>
      <w:r>
        <w:rPr>
          <w:rFonts w:hint="eastAsia"/>
        </w:rPr>
        <w:t xml:space="preserve">中资企业为何在境内融资渠道充分发展的情况下仍选择境外债券融资？</w:t>
      </w:r>
    </w:p>
    <w:p>
      <w:pPr>
        <w:pStyle w:val="Compact"/>
        <w:numPr>
          <w:ilvl w:val="0"/>
          <w:numId w:val="1001"/>
        </w:numPr>
      </w:pPr>
      <w:r>
        <w:rPr>
          <w:rFonts w:hint="eastAsia"/>
        </w:rPr>
        <w:t xml:space="preserve">在美联储加息和美元走强背景下，中资企业境外发债面临哪些主要风险，这些风险如何在企业财务报表和融资安排中体现？</w:t>
      </w:r>
    </w:p>
    <w:p>
      <w:pPr>
        <w:pStyle w:val="Compact"/>
        <w:numPr>
          <w:ilvl w:val="0"/>
          <w:numId w:val="1001"/>
        </w:numPr>
      </w:pPr>
      <w:r>
        <w:rPr>
          <w:rFonts w:hint="eastAsia"/>
        </w:rPr>
        <w:t xml:space="preserve">以九龙江集团为例，地方国企如何在政策约束、市场波动和信用分层环境下设计境外发债方案，并通过风险管理稳定跨境融资能力？</w:t>
      </w:r>
    </w:p>
    <w:bookmarkEnd w:id="11"/>
    <w:bookmarkStart w:id="12" w:name="三研究意义"/>
    <w:p>
      <w:pPr>
        <w:pStyle w:val="Heading3"/>
      </w:pPr>
      <w:r>
        <w:rPr>
          <w:rFonts w:hint="eastAsia"/>
        </w:rPr>
        <w:t xml:space="preserve">（三）研究意义</w:t>
      </w:r>
    </w:p>
    <w:p>
      <w:pPr>
        <w:pStyle w:val="Compact"/>
        <w:numPr>
          <w:ilvl w:val="0"/>
          <w:numId w:val="1002"/>
        </w:numPr>
      </w:pPr>
      <w:r>
        <w:rPr>
          <w:rFonts w:hint="eastAsia"/>
        </w:rPr>
        <w:t xml:space="preserve">理论意义。现有研究较多停留于国家外债规模、货币错配和金融危机层面，对企业层面的境外债融资动机、汇率敞口识别和微观治理机制讨论仍显不足。本文从企业融资决策角度切入，可补充外币债务微观研究。</w:t>
      </w:r>
    </w:p>
    <w:p>
      <w:pPr>
        <w:pStyle w:val="Compact"/>
        <w:numPr>
          <w:ilvl w:val="0"/>
          <w:numId w:val="1002"/>
        </w:numPr>
      </w:pPr>
      <w:r>
        <w:rPr>
          <w:rFonts w:hint="eastAsia"/>
        </w:rPr>
        <w:t xml:space="preserve">实践意义。本文通过九龙江集团案例分析地方国企境外发债的操作逻辑、风险暴露与应对机制，可为企业开展境外融资、安排币种结构和选择套保工具提供参考。</w:t>
      </w:r>
    </w:p>
    <w:p>
      <w:pPr>
        <w:pStyle w:val="Compact"/>
        <w:numPr>
          <w:ilvl w:val="0"/>
          <w:numId w:val="1002"/>
        </w:numPr>
      </w:pPr>
      <w:r>
        <w:rPr>
          <w:rFonts w:hint="eastAsia"/>
        </w:rPr>
        <w:t xml:space="preserve">政策意义。本文从监管视角梳理外债风险传导链条，可为发改委、人民银行、国家外汇管理局等部门识别行业性风险、优化宏观审慎监管和提高跨境资金监测能力提供依据。</w:t>
      </w:r>
    </w:p>
    <w:bookmarkEnd w:id="12"/>
    <w:bookmarkStart w:id="13" w:name="四研究方法与技术路线"/>
    <w:p>
      <w:pPr>
        <w:pStyle w:val="Heading3"/>
      </w:pPr>
      <w:r>
        <w:rPr>
          <w:rFonts w:hint="eastAsia"/>
        </w:rPr>
        <w:t xml:space="preserve">（四）研究方法与技术路线</w:t>
      </w:r>
    </w:p>
    <w:p>
      <w:pPr>
        <w:pStyle w:val="FirstParagraph"/>
      </w:pPr>
      <w:r>
        <w:rPr>
          <w:rFonts w:hint="eastAsia"/>
        </w:rPr>
        <w:t xml:space="preserve">本文主要采用以下方法：</w:t>
      </w:r>
    </w:p>
    <w:p>
      <w:pPr>
        <w:pStyle w:val="Compact"/>
        <w:numPr>
          <w:ilvl w:val="0"/>
          <w:numId w:val="1003"/>
        </w:numPr>
      </w:pPr>
      <w:r>
        <w:rPr>
          <w:rFonts w:hint="eastAsia"/>
        </w:rPr>
        <w:t xml:space="preserve">文献分析法。系统梳理企业外币债务融资动机、外汇风险管理和外债宏观后果等相关研究，构建分析框架。</w:t>
      </w:r>
    </w:p>
    <w:p>
      <w:pPr>
        <w:pStyle w:val="Compact"/>
        <w:numPr>
          <w:ilvl w:val="0"/>
          <w:numId w:val="1003"/>
        </w:numPr>
      </w:pPr>
      <w:r>
        <w:rPr>
          <w:rFonts w:hint="eastAsia"/>
        </w:rPr>
        <w:t xml:space="preserve">政策文本分析法。对中长期外债审核登记制度、全口径跨境融资宏观审慎管理政策以及资金回流与用途管理规则进行整理。</w:t>
      </w:r>
    </w:p>
    <w:p>
      <w:pPr>
        <w:pStyle w:val="Compact"/>
        <w:numPr>
          <w:ilvl w:val="0"/>
          <w:numId w:val="1003"/>
        </w:numPr>
      </w:pPr>
      <w:r>
        <w:rPr>
          <w:rFonts w:hint="eastAsia"/>
        </w:rPr>
        <w:t xml:space="preserve">案例研究法。以九龙江集团为样本，结合其年度报告、评级报告、债券募集说明文件和公开信用信息，分析其境外债融资动因、发债流程、风险暴露与管理策略。</w:t>
      </w:r>
    </w:p>
    <w:p>
      <w:pPr>
        <w:pStyle w:val="Compact"/>
        <w:numPr>
          <w:ilvl w:val="0"/>
          <w:numId w:val="1003"/>
        </w:numPr>
      </w:pPr>
      <w:r>
        <w:rPr>
          <w:rFonts w:hint="eastAsia"/>
        </w:rPr>
        <w:t xml:space="preserve">情景分析法。基于不同汇率与利率场景，测算美元债在人民币口径下的偿债成本变化，揭示美联储紧缩外溢效应。</w:t>
      </w:r>
    </w:p>
    <w:bookmarkEnd w:id="13"/>
    <w:bookmarkEnd w:id="14"/>
    <w:bookmarkStart w:id="19" w:name="二文献综述"/>
    <w:p>
      <w:pPr>
        <w:pStyle w:val="Heading2"/>
      </w:pPr>
      <w:r>
        <w:rPr>
          <w:rFonts w:hint="eastAsia"/>
        </w:rPr>
        <w:t xml:space="preserve">二、文献综述</w:t>
      </w:r>
    </w:p>
    <w:bookmarkStart w:id="15" w:name="一外币债务融资动机研究"/>
    <w:p>
      <w:pPr>
        <w:pStyle w:val="Heading3"/>
      </w:pPr>
      <w:r>
        <w:rPr>
          <w:rFonts w:hint="eastAsia"/>
        </w:rPr>
        <w:t xml:space="preserve">（一）外币债务融资动机研究</w:t>
      </w:r>
    </w:p>
    <w:p>
      <w:pPr>
        <w:pStyle w:val="FirstParagraph"/>
      </w:pPr>
      <w:r>
        <w:rPr>
          <w:rFonts w:hint="eastAsia"/>
        </w:rPr>
        <w:t xml:space="preserve">关于企业为何使用外币债务，国内外研究大体可归纳为五类解释。</w:t>
      </w:r>
    </w:p>
    <w:p>
      <w:pPr>
        <w:pStyle w:val="BodyText"/>
      </w:pPr>
      <w:r>
        <w:rPr>
          <w:rFonts w:hint="eastAsia"/>
        </w:rPr>
        <w:t xml:space="preserve">第一，外汇风险对冲动机。Allayannis等认为，企业在存在外币收入或进口支出的条件下，外币债务可构成自然对冲工具。原盼盼、林昱明等国内学者也指出，当企业经营现金流与债务币种相匹配时，外币债务能够在一定程度上平抑汇率波动对利润的冲击。</w:t>
      </w:r>
    </w:p>
    <w:p>
      <w:pPr>
        <w:pStyle w:val="BodyText"/>
      </w:pPr>
      <w:r>
        <w:rPr>
          <w:rFonts w:hint="eastAsia"/>
        </w:rPr>
        <w:t xml:space="preserve">第二，投机套利动机。在低利率和本币升值预期并存时期，企业可能基于利差、汇差和期限差进行融资选择。胡鹏对中资企业海外美元债发行成本的研究表明，美元基准利率、信用利差、境内信用环境和行业属性都会影响发行成本；若企业过度依赖低利率预期，可能在美联储紧缩时期迅速暴露风险。</w:t>
      </w:r>
    </w:p>
    <w:p>
      <w:pPr>
        <w:pStyle w:val="BodyText"/>
      </w:pPr>
      <w:r>
        <w:rPr>
          <w:rFonts w:hint="eastAsia"/>
        </w:rPr>
        <w:t xml:space="preserve">第三，融资需求动机。境内长期资金供给不足、并购扩张、海外项目投资和债务置换需求，是企业境外发债的重要驱动。尤其对产业集团和城投平台而言，美元债不仅是融资渠道，也是期限管理工具。</w:t>
      </w:r>
    </w:p>
    <w:p>
      <w:pPr>
        <w:pStyle w:val="BodyText"/>
      </w:pPr>
      <w:r>
        <w:rPr>
          <w:rFonts w:hint="eastAsia"/>
        </w:rPr>
        <w:t xml:space="preserve">第四，信息优势与国际化程度。国际化程度较高、治理结构较完善、具备国际会计和信息披露能力的企业，更容易进入境外资本市场并获得定价优势。石磊等关于ESG与境外债券融资的研究指出，良好的治理与可持续披露有助于拓宽国际投资者基础。</w:t>
      </w:r>
    </w:p>
    <w:p>
      <w:pPr>
        <w:pStyle w:val="BodyText"/>
      </w:pPr>
      <w:r>
        <w:rPr>
          <w:rFonts w:hint="eastAsia"/>
        </w:rPr>
        <w:t xml:space="preserve">第五，宏观因素影响。Bruno和Shin、BIS与IMF相关研究均指出，全球美元流动性、美国利率、风险偏好和新兴市场资产价格共同塑造企业境外融资条件。也就是说，企业发债动机并非纯粹内部决策，而是微观需求与宏观金融周期共同作用的结果。</w:t>
      </w:r>
    </w:p>
    <w:p>
      <w:pPr>
        <w:pStyle w:val="BodyText"/>
      </w:pPr>
      <w:r>
        <w:rPr>
          <w:rFonts w:hint="eastAsia"/>
        </w:rPr>
        <w:t xml:space="preserve">总体来看，既有研究已经说明外币债务并不只是“便宜资金”的来源，而是企业在币种配置、期限结构、资本项目约束和国际化战略之间做出的综合选择。</w:t>
      </w:r>
    </w:p>
    <w:bookmarkEnd w:id="15"/>
    <w:bookmarkStart w:id="16" w:name="二外币债务与外汇风险研究"/>
    <w:p>
      <w:pPr>
        <w:pStyle w:val="Heading3"/>
      </w:pPr>
      <w:r>
        <w:rPr>
          <w:rFonts w:hint="eastAsia"/>
        </w:rPr>
        <w:t xml:space="preserve">（二）外币债务与外汇风险研究</w:t>
      </w:r>
    </w:p>
    <w:p>
      <w:pPr>
        <w:pStyle w:val="FirstParagraph"/>
      </w:pPr>
      <w:r>
        <w:rPr>
          <w:rFonts w:hint="eastAsia"/>
        </w:rPr>
        <w:t xml:space="preserve">外汇风险通常被划分为交易风险、折算风险和经济风险。对于境外债券融资而言，最直接的是交易风险，即未来以外币支付利息和本金时因汇率变动导致本币负担变化；其次是折算风险，即外币负债对报表和财务指标的影响；更深层的是经济风险，即汇率变化对企业竞争力、现金流和资产价值产生持续冲击。</w:t>
      </w:r>
    </w:p>
    <w:p>
      <w:pPr>
        <w:pStyle w:val="BodyText"/>
      </w:pPr>
      <w:r>
        <w:rPr>
          <w:rFonts w:hint="eastAsia"/>
        </w:rPr>
        <w:t xml:space="preserve">关于风险管理方式，学界通常将其概括为经营对冲、金融对冲和会计管理三条路径。经营对冲包括出口收汇、海外资产布局、原材料进口结算和币种匹配；金融对冲包括远期、掉期、货币互换、期权等工具；会计管理则涉及套期会计和收益平滑。田雪彦、黄校徽等研究指出，企业开展套期保值不仅是技术问题，更是治理问题，需要目标明确、授权清晰和持续监控。</w:t>
      </w:r>
    </w:p>
    <w:p>
      <w:pPr>
        <w:pStyle w:val="BodyText"/>
      </w:pPr>
      <w:r>
        <w:rPr>
          <w:rFonts w:hint="eastAsia"/>
        </w:rPr>
        <w:t xml:space="preserve">对于外币债务是否具有风险对冲效果，文献存在争议。一类观点认为，若企业存在稳定的美元或港币收入，外币债务可以构成高效自然对冲；另一类观点则指出，大量中资企业境外发债主要服务于境内投资和滚续融资，并无足够的外币经营现金流支持，此时外币债务不但不能分散风险，反而加剧货币错配。房地产企业美元债违约潮正是这一争议在现实中的集中体现。</w:t>
      </w:r>
    </w:p>
    <w:bookmarkEnd w:id="16"/>
    <w:bookmarkStart w:id="17" w:name="三外币债务与宏观经济后果研究"/>
    <w:p>
      <w:pPr>
        <w:pStyle w:val="Heading3"/>
      </w:pPr>
      <w:r>
        <w:rPr>
          <w:rFonts w:hint="eastAsia"/>
        </w:rPr>
        <w:t xml:space="preserve">（三）外币债务与宏观经济后果研究</w:t>
      </w:r>
    </w:p>
    <w:p>
      <w:pPr>
        <w:pStyle w:val="FirstParagraph"/>
      </w:pPr>
      <w:r>
        <w:rPr>
          <w:rFonts w:hint="eastAsia"/>
        </w:rPr>
        <w:t xml:space="preserve">宏观层面的研究多将外债问题与金融周期、资本流动和危机传染联系起来。BIS、IMF和世界银行的相关研究普遍指出，当全球美元利率低位运行时，新兴市场企业往往加杠杆、拉长投资链条；一旦美国货币政策转向，资本回流美国、汇率贬值和信用利差上行会同步发生，企业部门的外币债务压力会通过银行授信、地方财政、产业链应收账款等渠道向国内金融系统传导。</w:t>
      </w:r>
    </w:p>
    <w:p>
      <w:pPr>
        <w:pStyle w:val="BodyText"/>
      </w:pPr>
      <w:r>
        <w:rPr>
          <w:rFonts w:hint="eastAsia"/>
        </w:rPr>
        <w:t xml:space="preserve">国内研究进一步关注外债规模、结构与系统性风险之间的关系。王叙果等从审计监督视角指出，外债风险不仅来自总量，更来自期限错配、币种错配和信息不透明。张弛、张国斌等关于城投和房地产行业的研究也表明，当行业主体集中依赖境外短期融资时，风险更容易在同类主体之间蔓延。</w:t>
      </w:r>
    </w:p>
    <w:bookmarkEnd w:id="17"/>
    <w:bookmarkStart w:id="18" w:name="四文献评述"/>
    <w:p>
      <w:pPr>
        <w:pStyle w:val="Heading3"/>
      </w:pPr>
      <w:r>
        <w:rPr>
          <w:rFonts w:hint="eastAsia"/>
        </w:rPr>
        <w:t xml:space="preserve">（四）文献评述</w:t>
      </w:r>
    </w:p>
    <w:p>
      <w:pPr>
        <w:pStyle w:val="FirstParagraph"/>
      </w:pPr>
      <w:r>
        <w:rPr>
          <w:rFonts w:hint="eastAsia"/>
        </w:rPr>
        <w:t xml:space="preserve">现有研究已为本文奠定了较好基础，但仍存在三点不足：</w:t>
      </w:r>
    </w:p>
    <w:p>
      <w:pPr>
        <w:pStyle w:val="Compact"/>
        <w:numPr>
          <w:ilvl w:val="0"/>
          <w:numId w:val="1004"/>
        </w:numPr>
      </w:pPr>
      <w:r>
        <w:rPr>
          <w:rFonts w:hint="eastAsia"/>
        </w:rPr>
        <w:t xml:space="preserve">对地方国企和产业型国资集团境外发债的微观案例研究相对不足，现有案例多集中于房地产企业或典型民企。</w:t>
      </w:r>
    </w:p>
    <w:p>
      <w:pPr>
        <w:pStyle w:val="Compact"/>
        <w:numPr>
          <w:ilvl w:val="0"/>
          <w:numId w:val="1004"/>
        </w:numPr>
      </w:pPr>
      <w:r>
        <w:rPr>
          <w:rFonts w:hint="eastAsia"/>
        </w:rPr>
        <w:t xml:space="preserve">对美联储政策周期与企业境外债融资动机之间动态关系的讨论偏少，特别是“量化宽松时期为何发、加息时期如何续”的连续性分析不足。</w:t>
      </w:r>
    </w:p>
    <w:p>
      <w:pPr>
        <w:pStyle w:val="Compact"/>
        <w:numPr>
          <w:ilvl w:val="0"/>
          <w:numId w:val="1004"/>
        </w:numPr>
      </w:pPr>
      <w:r>
        <w:rPr>
          <w:rFonts w:hint="eastAsia"/>
        </w:rPr>
        <w:t xml:space="preserve">对“融资动机”和“风险管理”之间互动关系研究不够，容易把动机和风险割裂开来。</w:t>
      </w:r>
    </w:p>
    <w:p>
      <w:pPr>
        <w:pStyle w:val="FirstParagraph"/>
      </w:pPr>
      <w:r>
        <w:rPr>
          <w:rFonts w:hint="eastAsia"/>
        </w:rPr>
        <w:t xml:space="preserve">因此，本文选择九龙江集团这一具有代表性的地方国企样本，试图在宏观政策、微观动机和风险治理之间建立更完整的分析链条。</w:t>
      </w:r>
    </w:p>
    <w:bookmarkEnd w:id="18"/>
    <w:bookmarkEnd w:id="19"/>
    <w:bookmarkStart w:id="25" w:name="三中资企业境外债券融资现状分析"/>
    <w:p>
      <w:pPr>
        <w:pStyle w:val="Heading2"/>
      </w:pPr>
      <w:r>
        <w:rPr>
          <w:rFonts w:hint="eastAsia"/>
        </w:rPr>
        <w:t xml:space="preserve">三、中资企业境外债券融资现状分析</w:t>
      </w:r>
    </w:p>
    <w:bookmarkStart w:id="20" w:name="一发行模式流程成本与资金回流路径"/>
    <w:p>
      <w:pPr>
        <w:pStyle w:val="Heading3"/>
      </w:pPr>
      <w:r>
        <w:rPr>
          <w:rFonts w:hint="eastAsia"/>
        </w:rPr>
        <w:t xml:space="preserve">（一）发行模式、流程、成本与资金回流路径</w:t>
      </w:r>
    </w:p>
    <w:p>
      <w:pPr>
        <w:pStyle w:val="FirstParagraph"/>
      </w:pPr>
      <w:r>
        <w:rPr>
          <w:rFonts w:hint="eastAsia"/>
        </w:rPr>
        <w:t xml:space="preserve">中资企业境外发债通常采取以下模式：一是境内主体直接发行；二是境外子公司或特殊目的公司（SPV）发行，由境内母公司提供担保、维好协议或其他增信安排；三是红筹架构或境外上市平台直接发行。从实际操作看，第二类模式最常见，因为它兼顾了境外投资者熟悉的发行结构和境内监管要求。</w:t>
      </w:r>
    </w:p>
    <w:p>
      <w:pPr>
        <w:pStyle w:val="BodyText"/>
      </w:pPr>
      <w:r>
        <w:rPr>
          <w:rFonts w:hint="eastAsia"/>
        </w:rPr>
        <w:t xml:space="preserve">典型流程包括：确定发行主体与币种结构、取得中长期外债审核登记或备案、聘请承销商和中介机构、完成国际评级与尽调、组织路演簿记、发行上市、办理外汇登记和资金回流。该流程的难点不在于单一文件，而在于监管口径、评级体系、国际投资者偏好和资金用途之间的匹配。</w:t>
      </w:r>
    </w:p>
    <w:p>
      <w:pPr>
        <w:pStyle w:val="BodyText"/>
      </w:pPr>
      <w:r>
        <w:rPr>
          <w:rFonts w:hint="eastAsia"/>
        </w:rPr>
        <w:t xml:space="preserve">境外债融资成本并非仅由票息决定，而是由“美国国债收益率+信用利差+发行费用+对冲成本+资金回流摩擦成本”共同构成。在量化宽松时期，很多中资企业只看到票息较低，却忽视了汇率和对冲成本；进入加息周期后，综合成本核算的重要性显著提升。</w:t>
      </w:r>
    </w:p>
    <w:p>
      <w:pPr>
        <w:pStyle w:val="BodyText"/>
      </w:pPr>
      <w:r>
        <w:rPr>
          <w:rFonts w:hint="eastAsia"/>
        </w:rPr>
        <w:t xml:space="preserve">从资金回流路径看，境外募集资金若服务于境内使用，通常需要通过外债登记、股东借款、资本金注入、跨境直贷、内保外贷替换或境外项目投资等合规路径进入境内或在境外直接使用。资金用途的真实性、币种一致性和期限匹配程度，成为监管关注重点。</w:t>
      </w:r>
    </w:p>
    <w:bookmarkEnd w:id="20"/>
    <w:bookmarkStart w:id="21" w:name="二中资美元债市场发展历程"/>
    <w:p>
      <w:pPr>
        <w:pStyle w:val="Heading3"/>
      </w:pPr>
      <w:r>
        <w:rPr>
          <w:rFonts w:hint="eastAsia"/>
        </w:rPr>
        <w:t xml:space="preserve">（二）中资美元债市场发展历程</w:t>
      </w:r>
    </w:p>
    <w:p>
      <w:pPr>
        <w:pStyle w:val="FirstParagraph"/>
      </w:pPr>
      <w:r>
        <w:rPr>
          <w:rFonts w:hint="eastAsia"/>
        </w:rPr>
        <w:t xml:space="preserve">中资企业境外债市场一般以1986年中资机构在东京市场发行日元债券为起点。其后发展大致经历四个阶段。</w:t>
      </w:r>
    </w:p>
    <w:p>
      <w:pPr>
        <w:pStyle w:val="Compact"/>
        <w:numPr>
          <w:ilvl w:val="0"/>
          <w:numId w:val="1005"/>
        </w:numPr>
      </w:pPr>
      <w:r>
        <w:rPr>
          <w:rFonts w:hint="eastAsia"/>
          <w:b/>
          <w:bCs/>
        </w:rPr>
        <w:t xml:space="preserve">探索起步阶段（1986-2001年）</w:t>
      </w:r>
      <w:r>
        <w:rPr>
          <w:rFonts w:hint="eastAsia"/>
        </w:rPr>
        <w:t xml:space="preserve">。这一时期中资机构境外发债规模有限，主体主要是政策性金融机构、大型央企和少数窗口企业，市场以日元债和美元债为主。</w:t>
      </w:r>
    </w:p>
    <w:p>
      <w:pPr>
        <w:pStyle w:val="Compact"/>
        <w:numPr>
          <w:ilvl w:val="0"/>
          <w:numId w:val="1005"/>
        </w:numPr>
      </w:pPr>
      <w:r>
        <w:rPr>
          <w:rFonts w:hint="eastAsia"/>
          <w:b/>
          <w:bCs/>
        </w:rPr>
        <w:t xml:space="preserve">加速扩张阶段（2002-2008年）</w:t>
      </w:r>
      <w:r>
        <w:rPr>
          <w:rFonts w:hint="eastAsia"/>
        </w:rPr>
        <w:t xml:space="preserve">。中国加入WTO后，企业“走出去”速度加快，香港和新加坡等离岸金融中心对中资发行人吸引力提升，境外债融资开始从金融机构扩展到产业企业。</w:t>
      </w:r>
    </w:p>
    <w:p>
      <w:pPr>
        <w:pStyle w:val="Compact"/>
        <w:numPr>
          <w:ilvl w:val="0"/>
          <w:numId w:val="1005"/>
        </w:numPr>
      </w:pPr>
      <w:r>
        <w:rPr>
          <w:rFonts w:hint="eastAsia"/>
          <w:b/>
          <w:bCs/>
        </w:rPr>
        <w:t xml:space="preserve">快速繁荣阶段（2009-2021年）</w:t>
      </w:r>
      <w:r>
        <w:rPr>
          <w:rFonts w:hint="eastAsia"/>
        </w:rPr>
        <w:t xml:space="preserve">。受美联储量化宽松、离岸人民币市场发展和国内信用分层影响，中资美元债市场快速扩容，房地产、城投、金融和大型民企成为主要发行主体。低利率推动企业大规模使用境外债进行置换、扩张和期限管理。</w:t>
      </w:r>
    </w:p>
    <w:p>
      <w:pPr>
        <w:pStyle w:val="Compact"/>
        <w:numPr>
          <w:ilvl w:val="0"/>
          <w:numId w:val="1005"/>
        </w:numPr>
      </w:pPr>
      <w:r>
        <w:rPr>
          <w:rFonts w:hint="eastAsia"/>
          <w:b/>
          <w:bCs/>
        </w:rPr>
        <w:t xml:space="preserve">分化调整阶段（2022年至今）</w:t>
      </w:r>
      <w:r>
        <w:rPr>
          <w:rFonts w:hint="eastAsia"/>
        </w:rPr>
        <w:t xml:space="preserve">。美联储加息、美元走强和房地产违约潮导致市场风险偏好下行，高收益房地产美元债收缩明显，发行主体向央国企、地方国企、优质制造业和金融机构集中，市场更加重视主体资质、用途透明度和再融资能力。</w:t>
      </w:r>
    </w:p>
    <w:bookmarkEnd w:id="21"/>
    <w:bookmarkStart w:id="22" w:name="三发行主体行业分布"/>
    <w:p>
      <w:pPr>
        <w:pStyle w:val="Heading3"/>
      </w:pPr>
      <w:r>
        <w:rPr>
          <w:rFonts w:hint="eastAsia"/>
        </w:rPr>
        <w:t xml:space="preserve">（三）发行主体行业分布</w:t>
      </w:r>
    </w:p>
    <w:p>
      <w:pPr>
        <w:pStyle w:val="FirstParagraph"/>
      </w:pPr>
      <w:r>
        <w:rPr>
          <w:rFonts w:hint="eastAsia"/>
        </w:rPr>
        <w:t xml:space="preserve">从行业结构看，中资境外债曾长期由房地产企业主导，高收益美元债市场尤为明显。2022年以后，行业结构发生明显变化：一方面，房地产企业发债大幅收缩，存量债务以展期、交换要约和重组为主；另一方面，地方国企、城投平台、金融机构和具备稳定现金流的产业集团重新成为市场主要供给者。其背后逻辑在于，国际投资者对“隐性支持”“现金流覆盖”和“政策边界”的关注显著上升。</w:t>
      </w:r>
    </w:p>
    <w:bookmarkEnd w:id="22"/>
    <w:bookmarkStart w:id="23" w:name="四发行期限与偿付压力"/>
    <w:p>
      <w:pPr>
        <w:pStyle w:val="Heading3"/>
      </w:pPr>
      <w:r>
        <w:rPr>
          <w:rFonts w:hint="eastAsia"/>
        </w:rPr>
        <w:t xml:space="preserve">（四）发行期限与偿付压力</w:t>
      </w:r>
    </w:p>
    <w:p>
      <w:pPr>
        <w:pStyle w:val="FirstParagraph"/>
      </w:pPr>
      <w:r>
        <w:rPr>
          <w:rFonts w:hint="eastAsia"/>
        </w:rPr>
        <w:t xml:space="preserve">中资企业境外债期限通常以3年、5年为主，少量优质主体可以发行7年及以上品种。过去在低利率环境下，企业倾向通过短中期滚续方式维持较低融资成本，但这种模式对市场窗口依赖度极高。一旦美联储进入加息周期，基准利率和信用利差同时上升，企业便面临“存量债务未到期、再融资成本已大幅上升”的错位风险。</w:t>
      </w:r>
    </w:p>
    <w:p>
      <w:pPr>
        <w:pStyle w:val="BodyText"/>
      </w:pPr>
      <w:r>
        <w:rPr>
          <w:rFonts w:hint="eastAsia"/>
        </w:rPr>
        <w:t xml:space="preserve">同时，很多企业将境外债作为借新还旧工具，若新增融资无法覆盖旧债到期，风险就会从单一债券迅速转为流动性风险。对没有自然美元现金流的企业而言，这种风险会进一步叠加汇率风险。</w:t>
      </w:r>
    </w:p>
    <w:bookmarkEnd w:id="23"/>
    <w:bookmarkStart w:id="24" w:name="五当前市场环境下的挑战"/>
    <w:p>
      <w:pPr>
        <w:pStyle w:val="Heading3"/>
      </w:pPr>
      <w:r>
        <w:rPr>
          <w:rFonts w:hint="eastAsia"/>
        </w:rPr>
        <w:t xml:space="preserve">（五）当前市场环境下的挑战</w:t>
      </w:r>
    </w:p>
    <w:p>
      <w:pPr>
        <w:pStyle w:val="FirstParagraph"/>
      </w:pPr>
      <w:r>
        <w:rPr>
          <w:rFonts w:hint="eastAsia"/>
        </w:rPr>
        <w:t xml:space="preserve">当前中资企业境外债券融资面临五项挑战：</w:t>
      </w:r>
    </w:p>
    <w:p>
      <w:pPr>
        <w:pStyle w:val="Compact"/>
        <w:numPr>
          <w:ilvl w:val="0"/>
          <w:numId w:val="1006"/>
        </w:numPr>
      </w:pPr>
      <w:r>
        <w:rPr>
          <w:rFonts w:hint="eastAsia"/>
          <w:b/>
          <w:bCs/>
        </w:rPr>
        <w:t xml:space="preserve">高利率挑战</w:t>
      </w:r>
      <w:r>
        <w:rPr>
          <w:rFonts w:hint="eastAsia"/>
        </w:rPr>
        <w:t xml:space="preserve">。美债收益率中枢抬升导致新发债票息整体上升，发行窗口更加依赖市场情绪。</w:t>
      </w:r>
    </w:p>
    <w:p>
      <w:pPr>
        <w:pStyle w:val="Compact"/>
        <w:numPr>
          <w:ilvl w:val="0"/>
          <w:numId w:val="1006"/>
        </w:numPr>
      </w:pPr>
      <w:r>
        <w:rPr>
          <w:rFonts w:hint="eastAsia"/>
          <w:b/>
          <w:bCs/>
        </w:rPr>
        <w:t xml:space="preserve">汇率波动挑战</w:t>
      </w:r>
      <w:r>
        <w:rPr>
          <w:rFonts w:hint="eastAsia"/>
        </w:rPr>
        <w:t xml:space="preserve">。人民币兑美元汇率双向波动增强，外币负债折算风险和实际支付成本上升。</w:t>
      </w:r>
    </w:p>
    <w:p>
      <w:pPr>
        <w:pStyle w:val="Compact"/>
        <w:numPr>
          <w:ilvl w:val="0"/>
          <w:numId w:val="1006"/>
        </w:numPr>
      </w:pPr>
      <w:r>
        <w:rPr>
          <w:rFonts w:hint="eastAsia"/>
          <w:b/>
          <w:bCs/>
        </w:rPr>
        <w:t xml:space="preserve">违约记忆挑战</w:t>
      </w:r>
      <w:r>
        <w:rPr>
          <w:rFonts w:hint="eastAsia"/>
        </w:rPr>
        <w:t xml:space="preserve">。房地产美元债违约潮使国际投资者对中资发行人更加谨慎，市场要求更高的信息透明度和增信水平。</w:t>
      </w:r>
    </w:p>
    <w:p>
      <w:pPr>
        <w:pStyle w:val="Compact"/>
        <w:numPr>
          <w:ilvl w:val="0"/>
          <w:numId w:val="1006"/>
        </w:numPr>
      </w:pPr>
      <w:r>
        <w:rPr>
          <w:rFonts w:hint="eastAsia"/>
          <w:b/>
          <w:bCs/>
        </w:rPr>
        <w:t xml:space="preserve">监管合规挑战</w:t>
      </w:r>
      <w:r>
        <w:rPr>
          <w:rFonts w:hint="eastAsia"/>
        </w:rPr>
        <w:t xml:space="preserve">。监管部门强化募集资金用途管理和穿透监管，企业需提供更细的用途证明、还款来源说明和借新还旧安排。</w:t>
      </w:r>
    </w:p>
    <w:p>
      <w:pPr>
        <w:pStyle w:val="Compact"/>
        <w:numPr>
          <w:ilvl w:val="0"/>
          <w:numId w:val="1006"/>
        </w:numPr>
      </w:pPr>
      <w:r>
        <w:rPr>
          <w:rFonts w:hint="eastAsia"/>
          <w:b/>
          <w:bCs/>
        </w:rPr>
        <w:t xml:space="preserve">信用分层挑战</w:t>
      </w:r>
      <w:r>
        <w:rPr>
          <w:rFonts w:hint="eastAsia"/>
        </w:rPr>
        <w:t xml:space="preserve">。优质央国企仍可获得市场支持，而中低资质主体面临发行失败、定价偏高或窗口关闭的局面。</w:t>
      </w:r>
    </w:p>
    <w:bookmarkEnd w:id="24"/>
    <w:bookmarkEnd w:id="25"/>
    <w:bookmarkStart w:id="44" w:name="四案例分析九龙江集团"/>
    <w:p>
      <w:pPr>
        <w:pStyle w:val="Heading2"/>
      </w:pPr>
      <w:r>
        <w:rPr>
          <w:rFonts w:hint="eastAsia"/>
        </w:rPr>
        <w:t xml:space="preserve">四、案例分析：九龙江集团</w:t>
      </w:r>
    </w:p>
    <w:bookmarkStart w:id="26" w:name="一企业概况"/>
    <w:p>
      <w:pPr>
        <w:pStyle w:val="Heading3"/>
      </w:pPr>
      <w:r>
        <w:rPr>
          <w:rFonts w:hint="eastAsia"/>
        </w:rPr>
        <w:t xml:space="preserve">（一）企业概况</w:t>
      </w:r>
    </w:p>
    <w:p>
      <w:pPr>
        <w:pStyle w:val="FirstParagraph"/>
      </w:pPr>
      <w:r>
        <w:rPr>
          <w:rFonts w:hint="eastAsia"/>
        </w:rPr>
        <w:t xml:space="preserve">九龙江集团全称为漳州市九龙江集团有限公司，系漳州市国资委控制的重要国有资本投资平台。根据公开年报与评级资料，集团业务覆盖大健康、食品供应链、汽车配件、新材料、城市运营与产业投资等板块，兼具产业经营和区域国资平台双重属性，旗下拥有片仔癀、龙溪股份两家上市公司，产业基础和资本市场资源较为扎实。</w:t>
      </w:r>
    </w:p>
    <w:p>
      <w:pPr>
        <w:pStyle w:val="BodyText"/>
      </w:pPr>
      <w:r>
        <w:rPr>
          <w:rFonts w:hint="eastAsia"/>
        </w:rPr>
        <w:t xml:space="preserve">需要说明的是，部分早期资料或选题提纲曾将其境内主体评级表述为AA+、境外评级表述为BBB+。但根据本文检索到的最新公开披露信息，九龙江集团当前境内主体评级以AAA为主，境外公开评级则存在不同机构、不同时间的差异口径：2023年联合国际给予BBB+，2024年将长期发行人评级上调至A-；2025年惠誉和标普对其拟发行绿色债券的公开评级为BBB-。这说明地方国企在境内外评级之间存在显著“评级映射落差”，境外投资者更关注主权天花板、资金转移风险和国际信息透明度。</w:t>
      </w:r>
    </w:p>
    <w:p>
      <w:pPr>
        <w:pStyle w:val="BodyText"/>
      </w:pPr>
      <w:r>
        <w:rPr>
          <w:rFonts w:hint="eastAsia"/>
        </w:rPr>
        <w:t xml:space="preserve">表4-1列示了九龙江集团近两年主要财务指标。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2023年</w:t>
            </w:r>
          </w:p>
        </w:tc>
        <w:tc>
          <w:tcPr/>
          <w:p>
            <w:pPr>
              <w:pStyle w:val="Compact"/>
              <w:jc w:val="right"/>
            </w:pPr>
            <w:r>
              <w:rPr>
                <w:rFonts w:hint="eastAsia"/>
              </w:rPr>
              <w:t xml:space="preserve">2024年</w:t>
            </w:r>
          </w:p>
        </w:tc>
        <w:tc>
          <w:tcPr/>
          <w:p>
            <w:pPr>
              <w:pStyle w:val="Compact"/>
            </w:pPr>
            <w:r>
              <w:rPr>
                <w:rFonts w:hint="eastAsia"/>
              </w:rPr>
              <w:t xml:space="preserve">说明</w:t>
            </w:r>
          </w:p>
        </w:tc>
      </w:tr>
      <w:tr>
        <w:tc>
          <w:tcPr/>
          <w:p>
            <w:pPr>
              <w:pStyle w:val="Compact"/>
            </w:pPr>
            <w:r>
              <w:rPr>
                <w:rFonts w:hint="eastAsia"/>
              </w:rPr>
              <w:t xml:space="preserve">总资产（亿元）</w:t>
            </w:r>
          </w:p>
        </w:tc>
        <w:tc>
          <w:tcPr/>
          <w:p>
            <w:pPr>
              <w:pStyle w:val="Compact"/>
              <w:jc w:val="right"/>
            </w:pPr>
            <w:r>
              <w:t xml:space="preserve">1245.99</w:t>
            </w:r>
          </w:p>
        </w:tc>
        <w:tc>
          <w:tcPr/>
          <w:p>
            <w:pPr>
              <w:pStyle w:val="Compact"/>
              <w:jc w:val="right"/>
            </w:pPr>
            <w:r>
              <w:t xml:space="preserve">1389.40</w:t>
            </w:r>
          </w:p>
        </w:tc>
        <w:tc>
          <w:tcPr/>
          <w:p>
            <w:pPr>
              <w:pStyle w:val="Compact"/>
            </w:pPr>
            <w:r>
              <w:rPr>
                <w:rFonts w:hint="eastAsia"/>
              </w:rPr>
              <w:t xml:space="preserve">规模继续扩张</w:t>
            </w:r>
          </w:p>
        </w:tc>
      </w:tr>
      <w:tr>
        <w:tc>
          <w:tcPr/>
          <w:p>
            <w:pPr>
              <w:pStyle w:val="Compact"/>
            </w:pPr>
            <w:r>
              <w:rPr>
                <w:rFonts w:hint="eastAsia"/>
              </w:rPr>
              <w:t xml:space="preserve">所有者权益（亿元）</w:t>
            </w:r>
          </w:p>
        </w:tc>
        <w:tc>
          <w:tcPr/>
          <w:p>
            <w:pPr>
              <w:pStyle w:val="Compact"/>
              <w:jc w:val="right"/>
            </w:pPr>
            <w:r>
              <w:t xml:space="preserve">390.12</w:t>
            </w:r>
          </w:p>
        </w:tc>
        <w:tc>
          <w:tcPr/>
          <w:p>
            <w:pPr>
              <w:pStyle w:val="Compact"/>
              <w:jc w:val="right"/>
            </w:pPr>
            <w:r>
              <w:t xml:space="preserve">432.95</w:t>
            </w:r>
          </w:p>
        </w:tc>
        <w:tc>
          <w:tcPr/>
          <w:p>
            <w:pPr>
              <w:pStyle w:val="Compact"/>
            </w:pPr>
            <w:r>
              <w:rPr>
                <w:rFonts w:hint="eastAsia"/>
              </w:rPr>
              <w:t xml:space="preserve">资本实力较强</w:t>
            </w:r>
          </w:p>
        </w:tc>
      </w:tr>
      <w:tr>
        <w:tc>
          <w:tcPr/>
          <w:p>
            <w:pPr>
              <w:pStyle w:val="Compact"/>
            </w:pPr>
            <w:r>
              <w:rPr>
                <w:rFonts w:hint="eastAsia"/>
              </w:rPr>
              <w:t xml:space="preserve">营业总收入（亿元）</w:t>
            </w:r>
          </w:p>
        </w:tc>
        <w:tc>
          <w:tcPr/>
          <w:p>
            <w:pPr>
              <w:pStyle w:val="Compact"/>
              <w:jc w:val="right"/>
            </w:pPr>
            <w:r>
              <w:t xml:space="preserve">536.74</w:t>
            </w:r>
          </w:p>
        </w:tc>
        <w:tc>
          <w:tcPr/>
          <w:p>
            <w:pPr>
              <w:pStyle w:val="Compact"/>
              <w:jc w:val="right"/>
            </w:pPr>
            <w:r>
              <w:t xml:space="preserve">763.82</w:t>
            </w:r>
          </w:p>
        </w:tc>
        <w:tc>
          <w:tcPr/>
          <w:p>
            <w:pPr>
              <w:pStyle w:val="Compact"/>
            </w:pPr>
            <w:r>
              <w:rPr>
                <w:rFonts w:hint="eastAsia"/>
              </w:rPr>
              <w:t xml:space="preserve">经营规模提升明显</w:t>
            </w:r>
          </w:p>
        </w:tc>
      </w:tr>
      <w:tr>
        <w:tc>
          <w:tcPr/>
          <w:p>
            <w:pPr>
              <w:pStyle w:val="Compact"/>
            </w:pPr>
            <w:r>
              <w:rPr>
                <w:rFonts w:hint="eastAsia"/>
              </w:rPr>
              <w:t xml:space="preserve">利润总额（亿元）</w:t>
            </w:r>
          </w:p>
        </w:tc>
        <w:tc>
          <w:tcPr/>
          <w:p>
            <w:pPr>
              <w:pStyle w:val="Compact"/>
              <w:jc w:val="right"/>
            </w:pPr>
            <w:r>
              <w:t xml:space="preserve">34.30</w:t>
            </w:r>
          </w:p>
        </w:tc>
        <w:tc>
          <w:tcPr/>
          <w:p>
            <w:pPr>
              <w:pStyle w:val="Compact"/>
              <w:jc w:val="right"/>
            </w:pPr>
            <w:r>
              <w:t xml:space="preserve">40.54</w:t>
            </w:r>
          </w:p>
        </w:tc>
        <w:tc>
          <w:tcPr/>
          <w:p>
            <w:pPr>
              <w:pStyle w:val="Compact"/>
            </w:pPr>
            <w:r>
              <w:rPr>
                <w:rFonts w:hint="eastAsia"/>
              </w:rPr>
              <w:t xml:space="preserve">盈利能力保持稳定</w:t>
            </w:r>
          </w:p>
        </w:tc>
      </w:tr>
      <w:tr>
        <w:tc>
          <w:tcPr/>
          <w:p>
            <w:pPr>
              <w:pStyle w:val="Compact"/>
            </w:pPr>
            <w:r>
              <w:rPr>
                <w:rFonts w:hint="eastAsia"/>
              </w:rPr>
              <w:t xml:space="preserve">货币资金（亿元）</w:t>
            </w:r>
          </w:p>
        </w:tc>
        <w:tc>
          <w:tcPr/>
          <w:p>
            <w:pPr>
              <w:pStyle w:val="Compact"/>
              <w:jc w:val="right"/>
            </w:pPr>
            <w:r>
              <w:t xml:space="preserve">104.62</w:t>
            </w:r>
          </w:p>
        </w:tc>
        <w:tc>
          <w:tcPr/>
          <w:p>
            <w:pPr>
              <w:pStyle w:val="Compact"/>
              <w:jc w:val="right"/>
            </w:pPr>
            <w:r>
              <w:t xml:space="preserve">114.64</w:t>
            </w:r>
          </w:p>
        </w:tc>
        <w:tc>
          <w:tcPr/>
          <w:p>
            <w:pPr>
              <w:pStyle w:val="Compact"/>
            </w:pPr>
            <w:r>
              <w:rPr>
                <w:rFonts w:hint="eastAsia"/>
              </w:rPr>
              <w:t xml:space="preserve">对流动性管理较为关键</w:t>
            </w:r>
          </w:p>
        </w:tc>
      </w:tr>
      <w:tr>
        <w:tc>
          <w:tcPr/>
          <w:p>
            <w:pPr>
              <w:pStyle w:val="Compact"/>
            </w:pPr>
            <w:r>
              <w:rPr>
                <w:rFonts w:hint="eastAsia"/>
              </w:rPr>
              <w:t xml:space="preserve">资产负债率（%）</w:t>
            </w:r>
          </w:p>
        </w:tc>
        <w:tc>
          <w:tcPr/>
          <w:p>
            <w:pPr>
              <w:pStyle w:val="Compact"/>
              <w:jc w:val="right"/>
            </w:pPr>
            <w:r>
              <w:t xml:space="preserve">68.69</w:t>
            </w:r>
          </w:p>
        </w:tc>
        <w:tc>
          <w:tcPr/>
          <w:p>
            <w:pPr>
              <w:pStyle w:val="Compact"/>
              <w:jc w:val="right"/>
            </w:pPr>
            <w:r>
              <w:t xml:space="preserve">68.84</w:t>
            </w:r>
          </w:p>
        </w:tc>
        <w:tc>
          <w:tcPr/>
          <w:p>
            <w:pPr>
              <w:pStyle w:val="Compact"/>
            </w:pPr>
            <w:r>
              <w:rPr>
                <w:rFonts w:hint="eastAsia"/>
              </w:rPr>
              <w:t xml:space="preserve">杠杆总体稳定</w:t>
            </w:r>
          </w:p>
        </w:tc>
      </w:tr>
    </w:tbl>
    <w:p>
      <w:pPr>
        <w:pStyle w:val="BodyText"/>
      </w:pPr>
      <w:r>
        <w:rPr>
          <w:rFonts w:hint="eastAsia"/>
        </w:rPr>
        <w:t xml:space="preserve">从财务结构看，九龙江集团具有典型地方国企特征：资产规模大、产业和投资并存、信用基础较好，但同时承担一定资本开支和区域功能任务，因而对中长期资金和多元融资渠道存在持续需求。对这类主体而言，境外发债不只是补充流动性，更是优化负债结构和建立国际融资能力的重要工具。</w:t>
      </w:r>
    </w:p>
    <w:bookmarkEnd w:id="26"/>
    <w:bookmarkStart w:id="31" w:name="二境外债券融资动机分析"/>
    <w:p>
      <w:pPr>
        <w:pStyle w:val="Heading3"/>
      </w:pPr>
      <w:r>
        <w:rPr>
          <w:rFonts w:hint="eastAsia"/>
        </w:rPr>
        <w:t xml:space="preserve">（二）境外债券融资动机分析</w:t>
      </w:r>
    </w:p>
    <w:bookmarkStart w:id="27" w:name="境外业务拓展与中长期资金需求"/>
    <w:p>
      <w:pPr>
        <w:pStyle w:val="Heading4"/>
      </w:pPr>
      <w:r>
        <w:t xml:space="preserve">1. </w:t>
      </w:r>
      <w:r>
        <w:rPr>
          <w:rFonts w:hint="eastAsia"/>
        </w:rPr>
        <w:t xml:space="preserve">境外业务拓展与中长期资金需求</w:t>
      </w:r>
    </w:p>
    <w:p>
      <w:pPr>
        <w:pStyle w:val="FirstParagraph"/>
      </w:pPr>
      <w:r>
        <w:rPr>
          <w:rFonts w:hint="eastAsia"/>
        </w:rPr>
        <w:t xml:space="preserve">九龙江集团虽然以区域国资平台为基础，但旗下拥有医药、制造、供应链等具有国际业务延展空间的产业资产。尤其在医药健康、出口型制造和国际供应链布局中，企业需要兼顾境外采购、并购合作和境外市场拓展，这些活动对外币资金和中长期资金的需求较高。境外债券融资能够在较长期限内锁定外币资金来源，较境内短贷更适合匹配长期项目。</w:t>
      </w:r>
    </w:p>
    <w:bookmarkEnd w:id="27"/>
    <w:bookmarkStart w:id="28" w:name="融资成本与期限结构优化动机"/>
    <w:p>
      <w:pPr>
        <w:pStyle w:val="Heading4"/>
      </w:pPr>
      <w:r>
        <w:t xml:space="preserve">2. </w:t>
      </w:r>
      <w:r>
        <w:rPr>
          <w:rFonts w:hint="eastAsia"/>
        </w:rPr>
        <w:t xml:space="preserve">融资成本与期限结构优化动机</w:t>
      </w:r>
    </w:p>
    <w:p>
      <w:pPr>
        <w:pStyle w:val="FirstParagraph"/>
      </w:pPr>
      <w:r>
        <w:rPr>
          <w:rFonts w:hint="eastAsia"/>
        </w:rPr>
        <w:t xml:space="preserve">在量化宽松时期，地方国企通过境外发债往往可以获得相对有利的综合融资条件。对九龙江集团而言，境内融资虽然可得性强，但境外债具有三个补充价值：一是可以拉长期限，减轻银行短期续贷压力；二是可以形成离岸资金池，服务境外用途；三是在市场窗口较好时，有机会建立较低的境外信用利差起点。即便进入加息周期，只要企业资质较好、用途明确、再融资安排清晰，境外债仍可能在结构上优于部分境内融资工具。</w:t>
      </w:r>
    </w:p>
    <w:bookmarkEnd w:id="28"/>
    <w:bookmarkStart w:id="29" w:name="建立国际信用与品牌形象动机"/>
    <w:p>
      <w:pPr>
        <w:pStyle w:val="Heading4"/>
      </w:pPr>
      <w:r>
        <w:t xml:space="preserve">3. </w:t>
      </w:r>
      <w:r>
        <w:rPr>
          <w:rFonts w:hint="eastAsia"/>
        </w:rPr>
        <w:t xml:space="preserve">建立国际信用与品牌形象动机</w:t>
      </w:r>
    </w:p>
    <w:p>
      <w:pPr>
        <w:pStyle w:val="FirstParagraph"/>
      </w:pPr>
      <w:r>
        <w:rPr>
          <w:rFonts w:hint="eastAsia"/>
        </w:rPr>
        <w:t xml:space="preserve">对地方国企而言，成功进入国际债券市场本身即具有信用建设意义。一方面，国际评级、英文披露、路演定价过程会倒逼企业完善治理和信息披露体系；另一方面，境外投资者形成的二级市场价格，可为企业提供独立于境内评级体系之外的国际信用坐标。九龙江集团拥有片仔癀等国际辨识度较高的产业资产，境外发债有助于强化其“产业型地方国企”形象，而非单纯的融资平台标签。</w:t>
      </w:r>
    </w:p>
    <w:bookmarkEnd w:id="29"/>
    <w:bookmarkStart w:id="30" w:name="政策支持与资本账户开放动机"/>
    <w:p>
      <w:pPr>
        <w:pStyle w:val="Heading4"/>
      </w:pPr>
      <w:r>
        <w:t xml:space="preserve">4. </w:t>
      </w:r>
      <w:r>
        <w:rPr>
          <w:rFonts w:hint="eastAsia"/>
        </w:rPr>
        <w:t xml:space="preserve">政策支持与资本账户开放动机</w:t>
      </w:r>
    </w:p>
    <w:p>
      <w:pPr>
        <w:pStyle w:val="FirstParagraph"/>
      </w:pPr>
      <w:r>
        <w:rPr>
          <w:rFonts w:hint="eastAsia"/>
        </w:rPr>
        <w:t xml:space="preserve">近年来我国跨境融资政策总体呈现“服务实体、风险可控、便利合规”的导向。全口径跨境融资宏观审慎管理、外债便利化政策试点、中长期外债审核登记制度优化，都为优质主体境外发债提供了制度基础。九龙江集团作为地方重要国资主体，更容易在政策合规前提下完成跨境资金安排，因此具备进入境外资本市场的制度条件。</w:t>
      </w:r>
    </w:p>
    <w:bookmarkEnd w:id="30"/>
    <w:bookmarkEnd w:id="31"/>
    <w:bookmarkStart w:id="37" w:name="三境外债券融资过程与难点"/>
    <w:p>
      <w:pPr>
        <w:pStyle w:val="Heading3"/>
      </w:pPr>
      <w:r>
        <w:rPr>
          <w:rFonts w:hint="eastAsia"/>
        </w:rPr>
        <w:t xml:space="preserve">（三）境外债券融资过程与难点</w:t>
      </w:r>
    </w:p>
    <w:bookmarkStart w:id="32" w:name="首次发债流程与评级安排"/>
    <w:p>
      <w:pPr>
        <w:pStyle w:val="Heading4"/>
      </w:pPr>
      <w:r>
        <w:t xml:space="preserve">1. </w:t>
      </w:r>
      <w:r>
        <w:rPr>
          <w:rFonts w:hint="eastAsia"/>
        </w:rPr>
        <w:t xml:space="preserve">首次发债流程与评级安排</w:t>
      </w:r>
    </w:p>
    <w:p>
      <w:pPr>
        <w:pStyle w:val="FirstParagraph"/>
      </w:pPr>
      <w:r>
        <w:rPr>
          <w:rFonts w:hint="eastAsia"/>
        </w:rPr>
        <w:t xml:space="preserve">九龙江集团境外发债的核心流程可概括为“主体搭建、政策登记、评级沟通、簿记定价、上市交割、资金回流”六个环节。首先，企业通常选择境外子公司或BVI等SPV作为发行主体，配套母公司担保、维好协议或其他增信安排；其次，按照国家发展改革委关于中长期外债管理的要求完成审核登记或备案；再次，与国际评级机构和承销商开展尽调和评级沟通，说明地方国资背景、产业基础、现金流来源和支持机制；最后在国际市场窗口期完成发行和上市。</w:t>
      </w:r>
    </w:p>
    <w:p>
      <w:pPr>
        <w:pStyle w:val="BodyText"/>
      </w:pPr>
      <w:r>
        <w:rPr>
          <w:rFonts w:hint="eastAsia"/>
        </w:rPr>
        <w:t xml:space="preserve">对九龙江集团而言，首次发债最大的难点不在“是否能发”，而在“如何把境内AAA主体讲成境外投资者能够接受的BBB/A区间故事”。国际投资者不会简单沿用境内评级，而是更重视以下问题：地方政府支持是否具有强制性、集团现金流有多少来自市场化产业、存量有息债务和或有负债是否透明、募集资金用途和回流安排是否清晰。因而，评级沟通本质上是一次国际信用再定价。</w:t>
      </w:r>
    </w:p>
    <w:bookmarkEnd w:id="32"/>
    <w:bookmarkStart w:id="33" w:name="资金回流与外汇管理"/>
    <w:p>
      <w:pPr>
        <w:pStyle w:val="Heading4"/>
      </w:pPr>
      <w:r>
        <w:t xml:space="preserve">2. </w:t>
      </w:r>
      <w:r>
        <w:rPr>
          <w:rFonts w:hint="eastAsia"/>
        </w:rPr>
        <w:t xml:space="preserve">资金回流与外汇管理</w:t>
      </w:r>
    </w:p>
    <w:p>
      <w:pPr>
        <w:pStyle w:val="FirstParagraph"/>
      </w:pPr>
      <w:r>
        <w:rPr>
          <w:rFonts w:hint="eastAsia"/>
        </w:rPr>
        <w:t xml:space="preserve">境外发债募集资金若用于境内业务，必须经过合规路径回流。其难点主要体现在三个方面：一是募集资金用途必须与审核登记口径一致，不能“名义境外、实际地产或受限用途”；二是资金回流路径需要与外债登记、资本金结汇和跨境收支统计相匹配；三是跨币种资金进入境内后，如何在不扩大汇率敞口的前提下安排使用，考验财务管理精细化水平。</w:t>
      </w:r>
    </w:p>
    <w:p>
      <w:pPr>
        <w:pStyle w:val="BodyText"/>
      </w:pPr>
      <w:r>
        <w:rPr>
          <w:rFonts w:hint="eastAsia"/>
        </w:rPr>
        <w:t xml:space="preserve">对于九龙江集团这类产业和投资并存的国企，最佳做法不是将境外债简单回流后混同使用，而是依据资金用途进行分账管理，形成“境外债资金用途台账+还款来源台账+套保台账”的闭环。</w:t>
      </w:r>
    </w:p>
    <w:bookmarkEnd w:id="33"/>
    <w:bookmarkStart w:id="34" w:name="发行窗口选择与利率风险"/>
    <w:p>
      <w:pPr>
        <w:pStyle w:val="Heading4"/>
      </w:pPr>
      <w:r>
        <w:t xml:space="preserve">3. </w:t>
      </w:r>
      <w:r>
        <w:rPr>
          <w:rFonts w:hint="eastAsia"/>
        </w:rPr>
        <w:t xml:space="preserve">发行窗口选择与利率风险</w:t>
      </w:r>
    </w:p>
    <w:p>
      <w:pPr>
        <w:pStyle w:val="FirstParagraph"/>
      </w:pPr>
      <w:r>
        <w:rPr>
          <w:rFonts w:hint="eastAsia"/>
        </w:rPr>
        <w:t xml:space="preserve">美联储加息后，境外债发行窗口更具“瞬时性”。窗口选择错误，往往意味着同一主体在几周内可能面对完全不同的发行价格。九龙江集团作为地方国企，虽然信用资质优于多数民企，但其境外发行仍受到美债收益率波动、地缘风险、行业情绪和二级市场存量债价格的共同影响。</w:t>
      </w:r>
    </w:p>
    <w:p>
      <w:pPr>
        <w:pStyle w:val="BodyText"/>
      </w:pPr>
      <w:r>
        <w:rPr>
          <w:rFonts w:hint="eastAsia"/>
        </w:rPr>
        <w:t xml:space="preserve">例如，若10年期美债收益率短时间上行50-80个基点，即便主体信用利差不变，票息水平也可能大幅抬升；若同时市场风险偏好下降，信用利差还会进一步走阔。因此，企业在境外发债前需要储备注册额度、提前完成尽调和披露更新，以便在窗口打开时快速执行。</w:t>
      </w:r>
    </w:p>
    <w:bookmarkEnd w:id="34"/>
    <w:bookmarkStart w:id="35" w:name="汇率风险与对冲策略"/>
    <w:p>
      <w:pPr>
        <w:pStyle w:val="Heading4"/>
      </w:pPr>
      <w:r>
        <w:t xml:space="preserve">4. </w:t>
      </w:r>
      <w:r>
        <w:rPr>
          <w:rFonts w:hint="eastAsia"/>
        </w:rPr>
        <w:t xml:space="preserve">汇率风险与对冲策略</w:t>
      </w:r>
    </w:p>
    <w:p>
      <w:pPr>
        <w:pStyle w:val="FirstParagraph"/>
      </w:pPr>
      <w:r>
        <w:rPr>
          <w:rFonts w:hint="eastAsia"/>
        </w:rPr>
        <w:t xml:space="preserve">九龙江集团的主营业务虽包含一定外向型板块，但整体上仍以人民币资产和现金流为主，因此其美元债并不具备完全自然对冲条件。若无有效对冲，人民币贬值会直接推高本币口径的债务负担。</w:t>
      </w:r>
    </w:p>
    <w:p>
      <w:pPr>
        <w:pStyle w:val="BodyText"/>
      </w:pPr>
      <w:r>
        <w:rPr>
          <w:rFonts w:hint="eastAsia"/>
        </w:rPr>
        <w:t xml:space="preserve">以5亿美元、票息5.2%的美元债为例，在不考虑手续费和税费的情况下，若发行时人民币兑美元汇率为6.35，则本金折算约31.75亿元人民币，年度利息约1.65亿元；若到偿付期人民币贬至7.25，则相同本金折算升至36.25亿元，单本金折算差额即增加约4.50亿元，年度利息增加约0.23亿元。这个例子说明，即便票息本身不高，只要汇率发生较大不利变动，人民币口径的真实融资成本就会明显上升。</w:t>
      </w:r>
    </w:p>
    <w:p>
      <w:pPr>
        <w:pStyle w:val="BodyText"/>
      </w:pPr>
      <w:r>
        <w:rPr>
          <w:rFonts w:hint="eastAsia"/>
        </w:rPr>
        <w:t xml:space="preserve">因此，九龙江集团应把汇率风险管理置于与融资同等重要的位置，形成“自然对冲优先、金融对冲补充、会计对冲配套”的三层框架。</w:t>
      </w:r>
    </w:p>
    <w:bookmarkEnd w:id="35"/>
    <w:bookmarkStart w:id="36" w:name="再融资策略与借新还旧安排"/>
    <w:p>
      <w:pPr>
        <w:pStyle w:val="Heading4"/>
      </w:pPr>
      <w:r>
        <w:t xml:space="preserve">5. </w:t>
      </w:r>
      <w:r>
        <w:rPr>
          <w:rFonts w:hint="eastAsia"/>
        </w:rPr>
        <w:t xml:space="preserve">再融资策略与借新还旧安排</w:t>
      </w:r>
    </w:p>
    <w:p>
      <w:pPr>
        <w:pStyle w:val="FirstParagraph"/>
      </w:pPr>
      <w:r>
        <w:rPr>
          <w:rFonts w:hint="eastAsia"/>
        </w:rPr>
        <w:t xml:space="preserve">境外债融资的另一关键难点是再融资。市场通常并不担心优质国企的单笔利息支付能力，更关注其在高利率环境下能否持续打开国际融资渠道。若企业把美元债主要用于借新还旧，则必须在旧债到期前6-12个月启动再融资预案，包括备用银行授信、境内债替换、跨境双币种并行方案和回购要约等工具。</w:t>
      </w:r>
    </w:p>
    <w:p>
      <w:pPr>
        <w:pStyle w:val="BodyText"/>
      </w:pPr>
      <w:r>
        <w:rPr>
          <w:rFonts w:hint="eastAsia"/>
        </w:rPr>
        <w:t xml:space="preserve">九龙江集团的优势在于境内融资渠道较广、产业资产较优、地方支持较强，这使其具备“境内外联动再融资”的能力；但若未来外部市场持续收紧，企业仍需防止过度依赖单一美元债市场。</w:t>
      </w:r>
    </w:p>
    <w:bookmarkEnd w:id="36"/>
    <w:bookmarkEnd w:id="37"/>
    <w:bookmarkStart w:id="43" w:name="四风险暴露与管理"/>
    <w:p>
      <w:pPr>
        <w:pStyle w:val="Heading3"/>
      </w:pPr>
      <w:r>
        <w:rPr>
          <w:rFonts w:hint="eastAsia"/>
        </w:rPr>
        <w:t xml:space="preserve">（四）风险暴露与管理</w:t>
      </w:r>
    </w:p>
    <w:p>
      <w:pPr>
        <w:pStyle w:val="FirstParagraph"/>
      </w:pPr>
      <w:r>
        <w:rPr>
          <w:rFonts w:hint="eastAsia"/>
        </w:rPr>
        <w:t xml:space="preserve">九龙江集团境外债融资面临的风险，可归纳为表4-2所示。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风险类型</w:t>
            </w:r>
          </w:p>
        </w:tc>
        <w:tc>
          <w:tcPr/>
          <w:p>
            <w:pPr>
              <w:pStyle w:val="Compact"/>
            </w:pPr>
            <w:r>
              <w:rPr>
                <w:rFonts w:hint="eastAsia"/>
              </w:rPr>
              <w:t xml:space="preserve">主要表现</w:t>
            </w:r>
          </w:p>
        </w:tc>
        <w:tc>
          <w:tcPr/>
          <w:p>
            <w:pPr>
              <w:pStyle w:val="Compact"/>
            </w:pPr>
            <w:r>
              <w:rPr>
                <w:rFonts w:hint="eastAsia"/>
              </w:rPr>
              <w:t xml:space="preserve">对九龙江集团的影响</w:t>
            </w:r>
          </w:p>
        </w:tc>
        <w:tc>
          <w:tcPr/>
          <w:p>
            <w:pPr>
              <w:pStyle w:val="Compact"/>
            </w:pPr>
            <w:r>
              <w:rPr>
                <w:rFonts w:hint="eastAsia"/>
              </w:rPr>
              <w:t xml:space="preserve">管理重点</w:t>
            </w:r>
          </w:p>
        </w:tc>
      </w:tr>
      <w:tr>
        <w:tc>
          <w:tcPr/>
          <w:p>
            <w:pPr>
              <w:pStyle w:val="Compact"/>
            </w:pPr>
            <w:r>
              <w:rPr>
                <w:rFonts w:hint="eastAsia"/>
              </w:rPr>
              <w:t xml:space="preserve">利率风险</w:t>
            </w:r>
          </w:p>
        </w:tc>
        <w:tc>
          <w:tcPr/>
          <w:p>
            <w:pPr>
              <w:pStyle w:val="Compact"/>
            </w:pPr>
            <w:r>
              <w:rPr>
                <w:rFonts w:hint="eastAsia"/>
              </w:rPr>
              <w:t xml:space="preserve">美债收益率上升、票息抬升</w:t>
            </w:r>
          </w:p>
        </w:tc>
        <w:tc>
          <w:tcPr/>
          <w:p>
            <w:pPr>
              <w:pStyle w:val="Compact"/>
            </w:pPr>
            <w:r>
              <w:rPr>
                <w:rFonts w:hint="eastAsia"/>
              </w:rPr>
              <w:t xml:space="preserve">新发债和再融资成本上升</w:t>
            </w:r>
          </w:p>
        </w:tc>
        <w:tc>
          <w:tcPr/>
          <w:p>
            <w:pPr>
              <w:pStyle w:val="Compact"/>
            </w:pPr>
            <w:r>
              <w:rPr>
                <w:rFonts w:hint="eastAsia"/>
              </w:rPr>
              <w:t xml:space="preserve">锁定窗口、利率互换、期限梯度</w:t>
            </w:r>
          </w:p>
        </w:tc>
      </w:tr>
      <w:tr>
        <w:tc>
          <w:tcPr/>
          <w:p>
            <w:pPr>
              <w:pStyle w:val="Compact"/>
            </w:pPr>
            <w:r>
              <w:rPr>
                <w:rFonts w:hint="eastAsia"/>
              </w:rPr>
              <w:t xml:space="preserve">汇率风险</w:t>
            </w:r>
          </w:p>
        </w:tc>
        <w:tc>
          <w:tcPr/>
          <w:p>
            <w:pPr>
              <w:pStyle w:val="Compact"/>
            </w:pPr>
            <w:r>
              <w:rPr>
                <w:rFonts w:hint="eastAsia"/>
              </w:rPr>
              <w:t xml:space="preserve">人民币贬值推高本币偿债额</w:t>
            </w:r>
          </w:p>
        </w:tc>
        <w:tc>
          <w:tcPr/>
          <w:p>
            <w:pPr>
              <w:pStyle w:val="Compact"/>
            </w:pPr>
            <w:r>
              <w:rPr>
                <w:rFonts w:hint="eastAsia"/>
              </w:rPr>
              <w:t xml:space="preserve">本金与利息折算成本增加</w:t>
            </w:r>
          </w:p>
        </w:tc>
        <w:tc>
          <w:tcPr/>
          <w:p>
            <w:pPr>
              <w:pStyle w:val="Compact"/>
            </w:pPr>
            <w:r>
              <w:rPr>
                <w:rFonts w:hint="eastAsia"/>
              </w:rPr>
              <w:t xml:space="preserve">自然对冲、远期和掉期套保</w:t>
            </w:r>
          </w:p>
        </w:tc>
      </w:tr>
      <w:tr>
        <w:tc>
          <w:tcPr/>
          <w:p>
            <w:pPr>
              <w:pStyle w:val="Compact"/>
            </w:pPr>
            <w:r>
              <w:rPr>
                <w:rFonts w:hint="eastAsia"/>
              </w:rPr>
              <w:t xml:space="preserve">政策风险</w:t>
            </w:r>
          </w:p>
        </w:tc>
        <w:tc>
          <w:tcPr/>
          <w:p>
            <w:pPr>
              <w:pStyle w:val="Compact"/>
            </w:pPr>
            <w:r>
              <w:rPr>
                <w:rFonts w:hint="eastAsia"/>
              </w:rPr>
              <w:t xml:space="preserve">用途监管趋严、登记要求提高</w:t>
            </w:r>
          </w:p>
        </w:tc>
        <w:tc>
          <w:tcPr/>
          <w:p>
            <w:pPr>
              <w:pStyle w:val="Compact"/>
            </w:pPr>
            <w:r>
              <w:rPr>
                <w:rFonts w:hint="eastAsia"/>
              </w:rPr>
              <w:t xml:space="preserve">资金回流和再融资安排受限</w:t>
            </w:r>
          </w:p>
        </w:tc>
        <w:tc>
          <w:tcPr/>
          <w:p>
            <w:pPr>
              <w:pStyle w:val="Compact"/>
            </w:pPr>
            <w:r>
              <w:rPr>
                <w:rFonts w:hint="eastAsia"/>
              </w:rPr>
              <w:t xml:space="preserve">前置合规、穿透用途管理</w:t>
            </w:r>
          </w:p>
        </w:tc>
      </w:tr>
      <w:tr>
        <w:tc>
          <w:tcPr/>
          <w:p>
            <w:pPr>
              <w:pStyle w:val="Compact"/>
            </w:pPr>
            <w:r>
              <w:rPr>
                <w:rFonts w:hint="eastAsia"/>
              </w:rPr>
              <w:t xml:space="preserve">再融资风险</w:t>
            </w:r>
          </w:p>
        </w:tc>
        <w:tc>
          <w:tcPr/>
          <w:p>
            <w:pPr>
              <w:pStyle w:val="Compact"/>
            </w:pPr>
            <w:r>
              <w:rPr>
                <w:rFonts w:hint="eastAsia"/>
              </w:rPr>
              <w:t xml:space="preserve">市场窗口关闭、利差走阔</w:t>
            </w:r>
          </w:p>
        </w:tc>
        <w:tc>
          <w:tcPr/>
          <w:p>
            <w:pPr>
              <w:pStyle w:val="Compact"/>
            </w:pPr>
            <w:r>
              <w:rPr>
                <w:rFonts w:hint="eastAsia"/>
              </w:rPr>
              <w:t xml:space="preserve">借新还旧难度上升</w:t>
            </w:r>
          </w:p>
        </w:tc>
        <w:tc>
          <w:tcPr/>
          <w:p>
            <w:pPr>
              <w:pStyle w:val="Compact"/>
            </w:pPr>
            <w:r>
              <w:rPr>
                <w:rFonts w:hint="eastAsia"/>
              </w:rPr>
              <w:t xml:space="preserve">备用流动性、境内替代融资</w:t>
            </w:r>
          </w:p>
        </w:tc>
      </w:tr>
      <w:tr>
        <w:tc>
          <w:tcPr/>
          <w:p>
            <w:pPr>
              <w:pStyle w:val="Compact"/>
            </w:pPr>
            <w:r>
              <w:rPr>
                <w:rFonts w:hint="eastAsia"/>
              </w:rPr>
              <w:t xml:space="preserve">声誉风险</w:t>
            </w:r>
          </w:p>
        </w:tc>
        <w:tc>
          <w:tcPr/>
          <w:p>
            <w:pPr>
              <w:pStyle w:val="Compact"/>
            </w:pPr>
            <w:r>
              <w:rPr>
                <w:rFonts w:hint="eastAsia"/>
              </w:rPr>
              <w:t xml:space="preserve">信息披露不足、评级下调</w:t>
            </w:r>
          </w:p>
        </w:tc>
        <w:tc>
          <w:tcPr/>
          <w:p>
            <w:pPr>
              <w:pStyle w:val="Compact"/>
            </w:pPr>
            <w:r>
              <w:rPr>
                <w:rFonts w:hint="eastAsia"/>
              </w:rPr>
              <w:t xml:space="preserve">二级市场价格恶化、后续融资受损</w:t>
            </w:r>
          </w:p>
        </w:tc>
        <w:tc>
          <w:tcPr/>
          <w:p>
            <w:pPr>
              <w:pStyle w:val="Compact"/>
            </w:pPr>
            <w:r>
              <w:rPr>
                <w:rFonts w:hint="eastAsia"/>
              </w:rPr>
              <w:t xml:space="preserve">提升透明度、维持评级稳定</w:t>
            </w:r>
          </w:p>
        </w:tc>
      </w:tr>
    </w:tbl>
    <w:bookmarkStart w:id="38" w:name="利率风险"/>
    <w:p>
      <w:pPr>
        <w:pStyle w:val="Heading4"/>
      </w:pPr>
      <w:r>
        <w:t xml:space="preserve">1. </w:t>
      </w:r>
      <w:r>
        <w:rPr>
          <w:rFonts w:hint="eastAsia"/>
        </w:rPr>
        <w:t xml:space="preserve">利率风险</w:t>
      </w:r>
    </w:p>
    <w:p>
      <w:pPr>
        <w:pStyle w:val="FirstParagraph"/>
      </w:pPr>
      <w:r>
        <w:rPr>
          <w:rFonts w:hint="eastAsia"/>
        </w:rPr>
        <w:t xml:space="preserve">美联储加息通过两条路径影响九龙江集团：一条是基准利率路径，即美国国债收益率上行抬升新债票息；另一条是风险偏好路径，即国际投资者对中资非主权主体要求更高信用利差。对企业而言，利率风险不仅体现在“发债时更贵”，还体现在“旧债到期时更难续”。</w:t>
      </w:r>
    </w:p>
    <w:bookmarkEnd w:id="38"/>
    <w:bookmarkStart w:id="39" w:name="汇率风险"/>
    <w:p>
      <w:pPr>
        <w:pStyle w:val="Heading4"/>
      </w:pPr>
      <w:r>
        <w:t xml:space="preserve">2. </w:t>
      </w:r>
      <w:r>
        <w:rPr>
          <w:rFonts w:hint="eastAsia"/>
        </w:rPr>
        <w:t xml:space="preserve">汇率风险</w:t>
      </w:r>
    </w:p>
    <w:p>
      <w:pPr>
        <w:pStyle w:val="FirstParagraph"/>
      </w:pPr>
      <w:r>
        <w:rPr>
          <w:rFonts w:hint="eastAsia"/>
        </w:rPr>
        <w:t xml:space="preserve">九龙江集团虽有部分外向型业务，但从总体资产负债结构看，人民币资产占比仍高于美元资产。因此，美元债若未与外币收入形成稳定匹配，就会产生明显货币错配。考虑到人民币汇率弹性增强，企业不能将汇率风险视作“偶发波动”，而应视为债务管理的核心变量。</w:t>
      </w:r>
    </w:p>
    <w:bookmarkEnd w:id="39"/>
    <w:bookmarkStart w:id="40" w:name="政策风险"/>
    <w:p>
      <w:pPr>
        <w:pStyle w:val="Heading4"/>
      </w:pPr>
      <w:r>
        <w:t xml:space="preserve">3. </w:t>
      </w:r>
      <w:r>
        <w:rPr>
          <w:rFonts w:hint="eastAsia"/>
        </w:rPr>
        <w:t xml:space="preserve">政策风险</w:t>
      </w:r>
    </w:p>
    <w:p>
      <w:pPr>
        <w:pStyle w:val="FirstParagraph"/>
      </w:pPr>
      <w:r>
        <w:rPr>
          <w:rFonts w:hint="eastAsia"/>
        </w:rPr>
        <w:t xml:space="preserve">监管部门对外债募集资金用途、借新还旧和信息报送的要求日益细化。若企业对政策边界理解不足，可能在资金回流、用途变更或期限安排上产生合规风险。对于地方国企而言，政策风险的影响往往先表现为流程延长和市场窗口错失，进而转化为成本风险。</w:t>
      </w:r>
    </w:p>
    <w:bookmarkEnd w:id="40"/>
    <w:bookmarkStart w:id="41" w:name="声誉风险与再融资压力"/>
    <w:p>
      <w:pPr>
        <w:pStyle w:val="Heading4"/>
      </w:pPr>
      <w:r>
        <w:t xml:space="preserve">4. </w:t>
      </w:r>
      <w:r>
        <w:rPr>
          <w:rFonts w:hint="eastAsia"/>
        </w:rPr>
        <w:t xml:space="preserve">声誉风险与再融资压力</w:t>
      </w:r>
    </w:p>
    <w:p>
      <w:pPr>
        <w:pStyle w:val="FirstParagraph"/>
      </w:pPr>
      <w:r>
        <w:rPr>
          <w:rFonts w:hint="eastAsia"/>
        </w:rPr>
        <w:t xml:space="preserve">境外债市场中，发行人一旦出现披露失误、评级下调或兑付安排不清晰，负面影响会快速反映在二级市场价格中，并进一步影响后续发债。对九龙江集团而言，声誉风险并不一定源于实质违约，也可能源于信息披露质量不足或市场对地方支持力度的误判。</w:t>
      </w:r>
    </w:p>
    <w:bookmarkEnd w:id="41"/>
    <w:bookmarkStart w:id="42" w:name="企业应对措施与优化建议"/>
    <w:p>
      <w:pPr>
        <w:pStyle w:val="Heading4"/>
      </w:pPr>
      <w:r>
        <w:t xml:space="preserve">5. </w:t>
      </w:r>
      <w:r>
        <w:rPr>
          <w:rFonts w:hint="eastAsia"/>
        </w:rPr>
        <w:t xml:space="preserve">企业应对措施与优化建议</w:t>
      </w:r>
    </w:p>
    <w:p>
      <w:pPr>
        <w:pStyle w:val="FirstParagraph"/>
      </w:pPr>
      <w:r>
        <w:rPr>
          <w:rFonts w:hint="eastAsia"/>
        </w:rPr>
        <w:t xml:space="preserve">结合九龙江集团特点，本文提出以下优化建议：</w:t>
      </w:r>
    </w:p>
    <w:p>
      <w:pPr>
        <w:pStyle w:val="Compact"/>
        <w:numPr>
          <w:ilvl w:val="0"/>
          <w:numId w:val="1007"/>
        </w:numPr>
      </w:pPr>
      <w:r>
        <w:rPr>
          <w:rFonts w:hint="eastAsia"/>
        </w:rPr>
        <w:t xml:space="preserve">提高自然对冲比例。将出口收汇、境外销售回款和海外资产收益优先用于覆盖美元债利息和本金，减少纯粹人民币资产支撑美元负债的情况。</w:t>
      </w:r>
    </w:p>
    <w:p>
      <w:pPr>
        <w:pStyle w:val="Compact"/>
        <w:numPr>
          <w:ilvl w:val="0"/>
          <w:numId w:val="1007"/>
        </w:numPr>
      </w:pPr>
      <w:r>
        <w:rPr>
          <w:rFonts w:hint="eastAsia"/>
        </w:rPr>
        <w:t xml:space="preserve">完善金融对冲工具箱。根据债务期限和现金流安排，综合使用远期购汇、货币掉期和交叉货币互换；对长期债务可采用分期滚动套保，避免一次性锁定过高成本。</w:t>
      </w:r>
    </w:p>
    <w:p>
      <w:pPr>
        <w:pStyle w:val="Compact"/>
        <w:numPr>
          <w:ilvl w:val="0"/>
          <w:numId w:val="1007"/>
        </w:numPr>
      </w:pPr>
      <w:r>
        <w:rPr>
          <w:rFonts w:hint="eastAsia"/>
        </w:rPr>
        <w:t xml:space="preserve">优化期限结构。控制短期美元债占比，尽量避免3年内集中到期；在市场窗口较好时进行前置融资或回购置换。</w:t>
      </w:r>
    </w:p>
    <w:p>
      <w:pPr>
        <w:pStyle w:val="Compact"/>
        <w:numPr>
          <w:ilvl w:val="0"/>
          <w:numId w:val="1007"/>
        </w:numPr>
      </w:pPr>
      <w:r>
        <w:rPr>
          <w:rFonts w:hint="eastAsia"/>
        </w:rPr>
        <w:t xml:space="preserve">构建境内外双融资备份。把境外债与境内公司债、中票、银团贷款、超短融等工具统筹安排，形成可替代的流动性来源。</w:t>
      </w:r>
    </w:p>
    <w:p>
      <w:pPr>
        <w:pStyle w:val="Compact"/>
        <w:numPr>
          <w:ilvl w:val="0"/>
          <w:numId w:val="1007"/>
        </w:numPr>
      </w:pPr>
      <w:r>
        <w:rPr>
          <w:rFonts w:hint="eastAsia"/>
        </w:rPr>
        <w:t xml:space="preserve">提升国际披露能力。建立英文信息披露模板、评级沟通机制和投资者关系管理制度，稳定国际市场预期。</w:t>
      </w:r>
    </w:p>
    <w:bookmarkEnd w:id="42"/>
    <w:bookmarkEnd w:id="43"/>
    <w:bookmarkEnd w:id="44"/>
    <w:bookmarkStart w:id="52" w:name="五监管视角防范系统性风险"/>
    <w:p>
      <w:pPr>
        <w:pStyle w:val="Heading2"/>
      </w:pPr>
      <w:r>
        <w:rPr>
          <w:rFonts w:hint="eastAsia"/>
        </w:rPr>
        <w:t xml:space="preserve">五、监管视角：防范系统性风险</w:t>
      </w:r>
    </w:p>
    <w:bookmarkStart w:id="45" w:name="一我国外债监管政策演变"/>
    <w:p>
      <w:pPr>
        <w:pStyle w:val="Heading3"/>
      </w:pPr>
      <w:r>
        <w:rPr>
          <w:rFonts w:hint="eastAsia"/>
        </w:rPr>
        <w:t xml:space="preserve">（一）我国外债监管政策演变</w:t>
      </w:r>
    </w:p>
    <w:p>
      <w:pPr>
        <w:pStyle w:val="FirstParagraph"/>
      </w:pPr>
      <w:r>
        <w:rPr>
          <w:rFonts w:hint="eastAsia"/>
        </w:rPr>
        <w:t xml:space="preserve">我国企业外债监管大体经历了三个阶段。</w:t>
      </w:r>
    </w:p>
    <w:p>
      <w:pPr>
        <w:pStyle w:val="Compact"/>
        <w:numPr>
          <w:ilvl w:val="0"/>
          <w:numId w:val="1008"/>
        </w:numPr>
      </w:pPr>
      <w:r>
        <w:rPr>
          <w:rFonts w:hint="eastAsia"/>
          <w:b/>
          <w:bCs/>
        </w:rPr>
        <w:t xml:space="preserve">审批管理阶段</w:t>
      </w:r>
      <w:r>
        <w:rPr>
          <w:rFonts w:hint="eastAsia"/>
        </w:rPr>
        <w:t xml:space="preserve">。早期外债管理强调规模控制和事前审批，目的在于防范资本项目风险。</w:t>
      </w:r>
    </w:p>
    <w:p>
      <w:pPr>
        <w:pStyle w:val="Compact"/>
        <w:numPr>
          <w:ilvl w:val="0"/>
          <w:numId w:val="1008"/>
        </w:numPr>
      </w:pPr>
      <w:r>
        <w:rPr>
          <w:rFonts w:hint="eastAsia"/>
          <w:b/>
          <w:bCs/>
        </w:rPr>
        <w:t xml:space="preserve">备案登记与宏观审慎并行阶段</w:t>
      </w:r>
      <w:r>
        <w:rPr>
          <w:rFonts w:hint="eastAsia"/>
        </w:rPr>
        <w:t xml:space="preserve">。2015年后，企业中长期外债由审批制向备案登记制转变；2016年起，全口径跨境融资宏观审慎管理框架逐步建立，使企业可以在宏观审慎参数约束下统筹境内外、本外币融资。</w:t>
      </w:r>
    </w:p>
    <w:p>
      <w:pPr>
        <w:pStyle w:val="Compact"/>
        <w:numPr>
          <w:ilvl w:val="0"/>
          <w:numId w:val="1008"/>
        </w:numPr>
      </w:pPr>
      <w:r>
        <w:rPr>
          <w:rFonts w:hint="eastAsia"/>
          <w:b/>
          <w:bCs/>
        </w:rPr>
        <w:t xml:space="preserve">用途穿透与风险监测强化阶段</w:t>
      </w:r>
      <w:r>
        <w:rPr>
          <w:rFonts w:hint="eastAsia"/>
        </w:rPr>
        <w:t xml:space="preserve">。2023年《企业中长期外债审核登记管理办法》施行后，外债监管更注重募集资金用途、借新还旧安排、信息报送和风险预警，强调服务实体经济与防风险并重。</w:t>
      </w:r>
    </w:p>
    <w:p>
      <w:pPr>
        <w:pStyle w:val="FirstParagraph"/>
      </w:pPr>
      <w:r>
        <w:rPr>
          <w:rFonts w:hint="eastAsia"/>
        </w:rPr>
        <w:t xml:space="preserve">这一演变说明，监管思路已从“单纯控制规模”转向“规模、结构、用途和偿付能力并管”。</w:t>
      </w:r>
    </w:p>
    <w:bookmarkEnd w:id="45"/>
    <w:bookmarkStart w:id="46" w:name="二外债风险传导机制"/>
    <w:p>
      <w:pPr>
        <w:pStyle w:val="Heading3"/>
      </w:pPr>
      <w:r>
        <w:rPr>
          <w:rFonts w:hint="eastAsia"/>
        </w:rPr>
        <w:t xml:space="preserve">（二）外债风险传导机制</w:t>
      </w:r>
    </w:p>
    <w:p>
      <w:pPr>
        <w:pStyle w:val="FirstParagraph"/>
      </w:pPr>
      <w:r>
        <w:rPr>
          <w:rFonts w:hint="eastAsia"/>
        </w:rPr>
        <w:t xml:space="preserve">在美联储货币紧缩背景下，企业境外债风险并不会局限于发行人自身，而会通过以下链条向国内金融系统传导：</w:t>
      </w:r>
    </w:p>
    <w:p>
      <w:pPr>
        <w:pStyle w:val="Compact"/>
        <w:numPr>
          <w:ilvl w:val="0"/>
          <w:numId w:val="1009"/>
        </w:numPr>
      </w:pPr>
      <w:r>
        <w:rPr>
          <w:rFonts w:hint="eastAsia"/>
        </w:rPr>
        <w:t xml:space="preserve">美元利率上升和美元走强，导致企业境外融资成本和本币偿债压力同步上升。</w:t>
      </w:r>
    </w:p>
    <w:p>
      <w:pPr>
        <w:pStyle w:val="Compact"/>
        <w:numPr>
          <w:ilvl w:val="0"/>
          <w:numId w:val="1009"/>
        </w:numPr>
      </w:pPr>
      <w:r>
        <w:rPr>
          <w:rFonts w:hint="eastAsia"/>
        </w:rPr>
        <w:t xml:space="preserve">企业再融资受阻后，可能压缩投资、延迟付款、出售资产或转向境内融资，进而影响银行授信和产业链资金周转。</w:t>
      </w:r>
    </w:p>
    <w:p>
      <w:pPr>
        <w:pStyle w:val="Compact"/>
        <w:numPr>
          <w:ilvl w:val="0"/>
          <w:numId w:val="1009"/>
        </w:numPr>
      </w:pPr>
      <w:r>
        <w:rPr>
          <w:rFonts w:hint="eastAsia"/>
        </w:rPr>
        <w:t xml:space="preserve">若某一行业集中依赖境外债融资，如房地产或城投平台，则违约和展期容易引发行业信用重估。</w:t>
      </w:r>
    </w:p>
    <w:p>
      <w:pPr>
        <w:pStyle w:val="Compact"/>
        <w:numPr>
          <w:ilvl w:val="0"/>
          <w:numId w:val="1009"/>
        </w:numPr>
      </w:pPr>
      <w:r>
        <w:rPr>
          <w:rFonts w:hint="eastAsia"/>
        </w:rPr>
        <w:t xml:space="preserve">若地方国企面临外债风险，市场可能进一步关注地方政府隐性债务和区域财政承压情况，从而放大区域金融波动。</w:t>
      </w:r>
    </w:p>
    <w:p>
      <w:pPr>
        <w:pStyle w:val="FirstParagraph"/>
      </w:pPr>
      <w:r>
        <w:rPr>
          <w:rFonts w:hint="eastAsia"/>
        </w:rPr>
        <w:t xml:space="preserve">因此，外债风险具有显著的顺周期性和跨市场传染性。</w:t>
      </w:r>
    </w:p>
    <w:bookmarkEnd w:id="46"/>
    <w:bookmarkStart w:id="51" w:name="三监管建议"/>
    <w:p>
      <w:pPr>
        <w:pStyle w:val="Heading3"/>
      </w:pPr>
      <w:r>
        <w:rPr>
          <w:rFonts w:hint="eastAsia"/>
        </w:rPr>
        <w:t xml:space="preserve">（三）监管建议</w:t>
      </w:r>
    </w:p>
    <w:bookmarkStart w:id="47" w:name="强化宏观审慎管理"/>
    <w:p>
      <w:pPr>
        <w:pStyle w:val="Heading4"/>
      </w:pPr>
      <w:r>
        <w:t xml:space="preserve">1. </w:t>
      </w:r>
      <w:r>
        <w:rPr>
          <w:rFonts w:hint="eastAsia"/>
        </w:rPr>
        <w:t xml:space="preserve">强化宏观审慎管理</w:t>
      </w:r>
    </w:p>
    <w:p>
      <w:pPr>
        <w:pStyle w:val="FirstParagraph"/>
      </w:pPr>
      <w:r>
        <w:rPr>
          <w:rFonts w:hint="eastAsia"/>
        </w:rPr>
        <w:t xml:space="preserve">监管部门应在跨境融资宏观审慎框架下，动态评估行业和区域外债杠杆水平，对高外币负债、弱自然对冲和高集中到期行业实施差异化监测。宏观审慎参数的调整不宜只考虑稳增长，也应兼顾金融稳定目标。</w:t>
      </w:r>
    </w:p>
    <w:bookmarkEnd w:id="47"/>
    <w:bookmarkStart w:id="48" w:name="引导企业坚持风险中性"/>
    <w:p>
      <w:pPr>
        <w:pStyle w:val="Heading4"/>
      </w:pPr>
      <w:r>
        <w:t xml:space="preserve">2. </w:t>
      </w:r>
      <w:r>
        <w:rPr>
          <w:rFonts w:hint="eastAsia"/>
        </w:rPr>
        <w:t xml:space="preserve">引导企业坚持风险中性</w:t>
      </w:r>
    </w:p>
    <w:p>
      <w:pPr>
        <w:pStyle w:val="FirstParagraph"/>
      </w:pPr>
      <w:r>
        <w:rPr>
          <w:rFonts w:hint="eastAsia"/>
        </w:rPr>
        <w:t xml:space="preserve">监管应推动企业从“判断汇率”转向“管理敞口”。对高比例美元债主体，要求其披露套保覆盖率、外币收入覆盖倍数、再融资来源结构等关键指标，避免企业以投机性汇率判断替代稳健财务管理。</w:t>
      </w:r>
    </w:p>
    <w:bookmarkEnd w:id="48"/>
    <w:bookmarkStart w:id="49" w:name="防范行业性违约蔓延"/>
    <w:p>
      <w:pPr>
        <w:pStyle w:val="Heading4"/>
      </w:pPr>
      <w:r>
        <w:t xml:space="preserve">3. </w:t>
      </w:r>
      <w:r>
        <w:rPr>
          <w:rFonts w:hint="eastAsia"/>
        </w:rPr>
        <w:t xml:space="preserve">防范行业性违约蔓延</w:t>
      </w:r>
    </w:p>
    <w:p>
      <w:pPr>
        <w:pStyle w:val="FirstParagraph"/>
      </w:pPr>
      <w:r>
        <w:rPr>
          <w:rFonts w:hint="eastAsia"/>
        </w:rPr>
        <w:t xml:space="preserve">对于境外债风险高发行业，应建立重点名单、到期监测、分层预警和分类处置机制，防止个别企业风险演化为行业性风险。对信用资质较好但暂时流动性承压的主体，可通过市场化方式提供合理流动性支持；对经营恶化且无可持续经营基础的主体，应推动有序重组，避免风险长期积累。</w:t>
      </w:r>
    </w:p>
    <w:bookmarkEnd w:id="49"/>
    <w:bookmarkStart w:id="50" w:name="提升跨境资金流动监测能力"/>
    <w:p>
      <w:pPr>
        <w:pStyle w:val="Heading4"/>
      </w:pPr>
      <w:r>
        <w:t xml:space="preserve">4. </w:t>
      </w:r>
      <w:r>
        <w:rPr>
          <w:rFonts w:hint="eastAsia"/>
        </w:rPr>
        <w:t xml:space="preserve">提升跨境资金流动监测能力</w:t>
      </w:r>
    </w:p>
    <w:p>
      <w:pPr>
        <w:pStyle w:val="FirstParagraph"/>
      </w:pPr>
      <w:r>
        <w:rPr>
          <w:rFonts w:hint="eastAsia"/>
        </w:rPr>
        <w:t xml:space="preserve">应强化发改委、人民银行、外汇管理局、证监会和地方金融监管部门之间的数据协同，打通债券发行、资金回流、外汇收支、衍生品套保和兑付安排等信息链条，提高穿透式监测能力。对企业境外债的真实用途、借新还旧比例和对冲覆盖率，应形成持续监测而非一次性审核。</w:t>
      </w:r>
    </w:p>
    <w:bookmarkEnd w:id="50"/>
    <w:bookmarkEnd w:id="51"/>
    <w:bookmarkEnd w:id="52"/>
    <w:bookmarkStart w:id="57" w:name="六结论与建议"/>
    <w:p>
      <w:pPr>
        <w:pStyle w:val="Heading2"/>
      </w:pPr>
      <w:r>
        <w:rPr>
          <w:rFonts w:hint="eastAsia"/>
        </w:rPr>
        <w:t xml:space="preserve">六、结论与建议</w:t>
      </w:r>
    </w:p>
    <w:bookmarkStart w:id="53" w:name="一研究结论"/>
    <w:p>
      <w:pPr>
        <w:pStyle w:val="Heading3"/>
      </w:pPr>
      <w:r>
        <w:rPr>
          <w:rFonts w:hint="eastAsia"/>
        </w:rPr>
        <w:t xml:space="preserve">（一）研究结论</w:t>
      </w:r>
    </w:p>
    <w:p>
      <w:pPr>
        <w:pStyle w:val="FirstParagraph"/>
      </w:pPr>
      <w:r>
        <w:rPr>
          <w:rFonts w:hint="eastAsia"/>
        </w:rPr>
        <w:t xml:space="preserve">本文基于美联储货币政策周期和九龙江集团案例，得到以下结论：</w:t>
      </w:r>
    </w:p>
    <w:p>
      <w:pPr>
        <w:pStyle w:val="Compact"/>
        <w:numPr>
          <w:ilvl w:val="0"/>
          <w:numId w:val="1010"/>
        </w:numPr>
      </w:pPr>
      <w:r>
        <w:rPr>
          <w:rFonts w:hint="eastAsia"/>
        </w:rPr>
        <w:t xml:space="preserve">中资企业境外发债的核心动机并非单一追求低成本，而是融资需求、期限管理、外币配置、国际信用建设和政策环境共同作用的结果。</w:t>
      </w:r>
    </w:p>
    <w:p>
      <w:pPr>
        <w:pStyle w:val="Compact"/>
        <w:numPr>
          <w:ilvl w:val="0"/>
          <w:numId w:val="1010"/>
        </w:numPr>
      </w:pPr>
      <w:r>
        <w:rPr>
          <w:rFonts w:hint="eastAsia"/>
        </w:rPr>
        <w:t xml:space="preserve">美联储量化宽松时期放大了中资企业境外发债意愿，而加息周期则使利率风险、汇率风险和再融资风险成为主导风险，原有“低成本美元债”逻辑显著弱化。</w:t>
      </w:r>
    </w:p>
    <w:p>
      <w:pPr>
        <w:pStyle w:val="Compact"/>
        <w:numPr>
          <w:ilvl w:val="0"/>
          <w:numId w:val="1010"/>
        </w:numPr>
      </w:pPr>
      <w:r>
        <w:rPr>
          <w:rFonts w:hint="eastAsia"/>
        </w:rPr>
        <w:t xml:space="preserve">对九龙江集团这类地方国企而言，境外债更适合作为多元融资体系中的补充性工具，而不宜成为高度依赖的核心融资来源。其价值在于拉长期限、建立国际信用和服务特定外币用途，而风险在于人民币资产与美元负债错配。</w:t>
      </w:r>
    </w:p>
    <w:p>
      <w:pPr>
        <w:pStyle w:val="Compact"/>
        <w:numPr>
          <w:ilvl w:val="0"/>
          <w:numId w:val="1010"/>
        </w:numPr>
      </w:pPr>
      <w:r>
        <w:rPr>
          <w:rFonts w:hint="eastAsia"/>
        </w:rPr>
        <w:t xml:space="preserve">企业风险管理能力决定了境外债融资是“稳定器”还是“放大器”。若缺乏自然对冲、金融对冲和备用流动性安排，境外债融资可能在紧缩周期中显著削弱财务稳健性。</w:t>
      </w:r>
    </w:p>
    <w:p>
      <w:pPr>
        <w:pStyle w:val="Compact"/>
        <w:numPr>
          <w:ilvl w:val="0"/>
          <w:numId w:val="1010"/>
        </w:numPr>
      </w:pPr>
      <w:r>
        <w:rPr>
          <w:rFonts w:hint="eastAsia"/>
        </w:rPr>
        <w:t xml:space="preserve">监管层面必须把企业境外债置于宏观金融稳定框架中观察，重点关注行业集中度、到期高峰、用途真实性和再融资链条。</w:t>
      </w:r>
    </w:p>
    <w:bookmarkEnd w:id="53"/>
    <w:bookmarkStart w:id="54" w:name="二对企业境外发债的建议"/>
    <w:p>
      <w:pPr>
        <w:pStyle w:val="Heading3"/>
      </w:pPr>
      <w:r>
        <w:rPr>
          <w:rFonts w:hint="eastAsia"/>
        </w:rPr>
        <w:t xml:space="preserve">（二）对企业境外发债的建议</w:t>
      </w:r>
    </w:p>
    <w:p>
      <w:pPr>
        <w:pStyle w:val="Compact"/>
        <w:numPr>
          <w:ilvl w:val="0"/>
          <w:numId w:val="1011"/>
        </w:numPr>
      </w:pPr>
      <w:r>
        <w:rPr>
          <w:rFonts w:hint="eastAsia"/>
        </w:rPr>
        <w:t xml:space="preserve">坚持“先识别敞口、后决定发债”。只有当企业明确外币用途、还款来源和对冲方案后，境外债融资才具备合理性。</w:t>
      </w:r>
    </w:p>
    <w:p>
      <w:pPr>
        <w:pStyle w:val="Compact"/>
        <w:numPr>
          <w:ilvl w:val="0"/>
          <w:numId w:val="1011"/>
        </w:numPr>
      </w:pPr>
      <w:r>
        <w:rPr>
          <w:rFonts w:hint="eastAsia"/>
        </w:rPr>
        <w:t xml:space="preserve">不将短期美元债作为长期项目的主要资金来源，避免期限错配和滚续依赖。</w:t>
      </w:r>
    </w:p>
    <w:p>
      <w:pPr>
        <w:pStyle w:val="Compact"/>
        <w:numPr>
          <w:ilvl w:val="0"/>
          <w:numId w:val="1011"/>
        </w:numPr>
      </w:pPr>
      <w:r>
        <w:rPr>
          <w:rFonts w:hint="eastAsia"/>
        </w:rPr>
        <w:t xml:space="preserve">对外币债务实行“全周期预算管理”，将票息、对冲成本、汇率情景和再融资成本纳入统一口径测算。</w:t>
      </w:r>
    </w:p>
    <w:p>
      <w:pPr>
        <w:pStyle w:val="Compact"/>
        <w:numPr>
          <w:ilvl w:val="0"/>
          <w:numId w:val="1011"/>
        </w:numPr>
      </w:pPr>
      <w:r>
        <w:rPr>
          <w:rFonts w:hint="eastAsia"/>
        </w:rPr>
        <w:t xml:space="preserve">强化国际投资者沟通，提升英文披露质量和ESG信息质量，稳定二级市场预期。</w:t>
      </w:r>
    </w:p>
    <w:bookmarkEnd w:id="54"/>
    <w:bookmarkStart w:id="55" w:name="三对监管部门的建议"/>
    <w:p>
      <w:pPr>
        <w:pStyle w:val="Heading3"/>
      </w:pPr>
      <w:r>
        <w:rPr>
          <w:rFonts w:hint="eastAsia"/>
        </w:rPr>
        <w:t xml:space="preserve">（三）对监管部门的建议</w:t>
      </w:r>
    </w:p>
    <w:p>
      <w:pPr>
        <w:pStyle w:val="Compact"/>
        <w:numPr>
          <w:ilvl w:val="0"/>
          <w:numId w:val="1012"/>
        </w:numPr>
      </w:pPr>
      <w:r>
        <w:rPr>
          <w:rFonts w:hint="eastAsia"/>
        </w:rPr>
        <w:t xml:space="preserve">继续完善跨境融资宏观审慎框架，推动外债监管与汇率风险监管协同。</w:t>
      </w:r>
    </w:p>
    <w:p>
      <w:pPr>
        <w:pStyle w:val="Compact"/>
        <w:numPr>
          <w:ilvl w:val="0"/>
          <w:numId w:val="1012"/>
        </w:numPr>
      </w:pPr>
      <w:r>
        <w:rPr>
          <w:rFonts w:hint="eastAsia"/>
        </w:rPr>
        <w:t xml:space="preserve">提高重点行业境外债风险预警频率，对集中到期年份开展前瞻性压力测试。</w:t>
      </w:r>
    </w:p>
    <w:p>
      <w:pPr>
        <w:pStyle w:val="Compact"/>
        <w:numPr>
          <w:ilvl w:val="0"/>
          <w:numId w:val="1012"/>
        </w:numPr>
      </w:pPr>
      <w:r>
        <w:rPr>
          <w:rFonts w:hint="eastAsia"/>
        </w:rPr>
        <w:t xml:space="preserve">对优质产业型国企和真正有境外业务需求的实体企业给予更加稳定、透明的制度预期，避免“一刀切”抑制合理融资。</w:t>
      </w:r>
    </w:p>
    <w:p>
      <w:pPr>
        <w:pStyle w:val="Compact"/>
        <w:numPr>
          <w:ilvl w:val="0"/>
          <w:numId w:val="1012"/>
        </w:numPr>
      </w:pPr>
      <w:r>
        <w:rPr>
          <w:rFonts w:hint="eastAsia"/>
        </w:rPr>
        <w:t xml:space="preserve">对借新还旧比例过高、对冲覆盖不足和募集资金用途不清晰的主体实施更严格穿透监管。</w:t>
      </w:r>
    </w:p>
    <w:bookmarkEnd w:id="55"/>
    <w:bookmarkStart w:id="56" w:name="四研究局限与未来展望"/>
    <w:p>
      <w:pPr>
        <w:pStyle w:val="Heading3"/>
      </w:pPr>
      <w:r>
        <w:rPr>
          <w:rFonts w:hint="eastAsia"/>
        </w:rPr>
        <w:t xml:space="preserve">（四）研究局限与未来展望</w:t>
      </w:r>
    </w:p>
    <w:p>
      <w:pPr>
        <w:pStyle w:val="FirstParagraph"/>
      </w:pPr>
      <w:r>
        <w:rPr>
          <w:rFonts w:hint="eastAsia"/>
        </w:rPr>
        <w:t xml:space="preserve">本文的局限主要体现在：一是案例研究以公开披露资料为主，未能获取企业内部的套保比例、久期管理和银行授信明细；二是单一案例虽有助于深入分析，但在行业外推上仍有限；三是境外债市场变化较快，部分定价与发行窗口具有强时点性。未来研究可进一步构建2015年以来中资企业境外债面板数据，将企业异质性、套保行为与违约概率纳入计量模型，以增强结论的普适性。</w:t>
      </w:r>
    </w:p>
    <w:bookmarkEnd w:id="56"/>
    <w:bookmarkEnd w:id="57"/>
    <w:bookmarkStart w:id="58" w:name="参考文献"/>
    <w:p>
      <w:pPr>
        <w:pStyle w:val="Heading2"/>
      </w:pPr>
      <w:r>
        <w:rPr>
          <w:rFonts w:hint="eastAsia"/>
        </w:rPr>
        <w:t xml:space="preserve">参考文献</w:t>
      </w:r>
    </w:p>
    <w:p>
      <w:pPr>
        <w:pStyle w:val="FirstParagraph"/>
      </w:pPr>
      <w:r>
        <w:t xml:space="preserve">[1] </w:t>
      </w:r>
      <w:r>
        <w:rPr>
          <w:rFonts w:hint="eastAsia"/>
        </w:rPr>
        <w:t xml:space="preserve">王大贤.</w:t>
      </w:r>
      <w:r>
        <w:t xml:space="preserve"> </w:t>
      </w:r>
      <w:r>
        <w:rPr>
          <w:rFonts w:hint="eastAsia"/>
        </w:rPr>
        <w:t xml:space="preserve">中资企业离岸债现状、发展及对策建议[J].</w:t>
      </w:r>
      <w:r>
        <w:t xml:space="preserve"> </w:t>
      </w:r>
      <w:r>
        <w:rPr>
          <w:rFonts w:hint="eastAsia"/>
        </w:rPr>
        <w:t xml:space="preserve">新理财,</w:t>
      </w:r>
      <w:r>
        <w:t xml:space="preserve"> 2023(Z1):33-36.</w:t>
      </w:r>
      <w:r>
        <w:t xml:space="preserve"> </w:t>
      </w:r>
      <w:r>
        <w:t xml:space="preserve">[2] </w:t>
      </w:r>
      <w:r>
        <w:rPr>
          <w:rFonts w:hint="eastAsia"/>
        </w:rPr>
        <w:t xml:space="preserve">张宁静,</w:t>
      </w:r>
      <w:r>
        <w:t xml:space="preserve"> </w:t>
      </w:r>
      <w:r>
        <w:rPr>
          <w:rFonts w:hint="eastAsia"/>
        </w:rPr>
        <w:t xml:space="preserve">周坚,</w:t>
      </w:r>
      <w:r>
        <w:t xml:space="preserve"> </w:t>
      </w:r>
      <w:r>
        <w:rPr>
          <w:rFonts w:hint="eastAsia"/>
        </w:rPr>
        <w:t xml:space="preserve">万魏.</w:t>
      </w:r>
      <w:r>
        <w:t xml:space="preserve"> </w:t>
      </w:r>
      <w:r>
        <w:rPr>
          <w:rFonts w:hint="eastAsia"/>
        </w:rPr>
        <w:t xml:space="preserve">数字普惠金融发展与企业债券融资[J].</w:t>
      </w:r>
      <w:r>
        <w:t xml:space="preserve"> </w:t>
      </w:r>
      <w:r>
        <w:rPr>
          <w:rFonts w:hint="eastAsia"/>
        </w:rPr>
        <w:t xml:space="preserve">金融发展研究,</w:t>
      </w:r>
      <w:r>
        <w:t xml:space="preserve"> 2023(02):54-60.</w:t>
      </w:r>
      <w:r>
        <w:t xml:space="preserve"> </w:t>
      </w:r>
      <w:r>
        <w:t xml:space="preserve">[3] </w:t>
      </w:r>
      <w:r>
        <w:rPr>
          <w:rFonts w:hint="eastAsia"/>
        </w:rPr>
        <w:t xml:space="preserve">唐仁敏.</w:t>
      </w:r>
      <w:r>
        <w:t xml:space="preserve"> </w:t>
      </w:r>
      <w:r>
        <w:rPr>
          <w:rFonts w:hint="eastAsia"/>
        </w:rPr>
        <w:t xml:space="preserve">进一步优化和规范外债管理支持企业境外融资健康有序开展:</w:t>
      </w:r>
      <w:r>
        <w:t xml:space="preserve"> </w:t>
      </w:r>
      <w:r>
        <w:rPr>
          <w:rFonts w:hint="eastAsia"/>
        </w:rPr>
        <w:t xml:space="preserve">国家发展改革委有关负责人就《企业中长期外债审核登记管理办法》答记者问[J].</w:t>
      </w:r>
      <w:r>
        <w:t xml:space="preserve"> </w:t>
      </w:r>
      <w:r>
        <w:rPr>
          <w:rFonts w:hint="eastAsia"/>
        </w:rPr>
        <w:t xml:space="preserve">中国经贸导刊,</w:t>
      </w:r>
      <w:r>
        <w:t xml:space="preserve"> 2023(02):24-25.</w:t>
      </w:r>
      <w:r>
        <w:t xml:space="preserve"> </w:t>
      </w:r>
      <w:r>
        <w:t xml:space="preserve">[4] </w:t>
      </w:r>
      <w:r>
        <w:rPr>
          <w:rFonts w:hint="eastAsia"/>
        </w:rPr>
        <w:t xml:space="preserve">国务院.</w:t>
      </w:r>
      <w:r>
        <w:t xml:space="preserve"> </w:t>
      </w:r>
      <w:r>
        <w:rPr>
          <w:rFonts w:hint="eastAsia"/>
        </w:rPr>
        <w:t xml:space="preserve">企业中长期外债审核登记管理办法[Z].</w:t>
      </w:r>
      <w:r>
        <w:t xml:space="preserve"> 2023.</w:t>
      </w:r>
      <w:r>
        <w:t xml:space="preserve"> </w:t>
      </w:r>
      <w:r>
        <w:t xml:space="preserve">[5] </w:t>
      </w:r>
      <w:r>
        <w:rPr>
          <w:rFonts w:hint="eastAsia"/>
        </w:rPr>
        <w:t xml:space="preserve">法人编辑部.</w:t>
      </w:r>
      <w:r>
        <w:t xml:space="preserve"> </w:t>
      </w:r>
      <w:r>
        <w:rPr>
          <w:rFonts w:hint="eastAsia"/>
        </w:rPr>
        <w:t xml:space="preserve">减少企业中长期外债监管盲区[J].</w:t>
      </w:r>
      <w:r>
        <w:t xml:space="preserve"> </w:t>
      </w:r>
      <w:r>
        <w:rPr>
          <w:rFonts w:hint="eastAsia"/>
        </w:rPr>
        <w:t xml:space="preserve">法人,</w:t>
      </w:r>
      <w:r>
        <w:t xml:space="preserve"> 2023(02):6.</w:t>
      </w:r>
      <w:r>
        <w:t xml:space="preserve"> </w:t>
      </w:r>
      <w:r>
        <w:t xml:space="preserve">[6] </w:t>
      </w:r>
      <w:r>
        <w:rPr>
          <w:rFonts w:hint="eastAsia"/>
        </w:rPr>
        <w:t xml:space="preserve">亓宁.</w:t>
      </w:r>
      <w:r>
        <w:t xml:space="preserve"> </w:t>
      </w:r>
      <w:r>
        <w:rPr>
          <w:rFonts w:hint="eastAsia"/>
        </w:rPr>
        <w:t xml:space="preserve">房企融资迎新变化境外债“开门红”后担忧仍在[N].</w:t>
      </w:r>
      <w:r>
        <w:t xml:space="preserve"> </w:t>
      </w:r>
      <w:r>
        <w:rPr>
          <w:rFonts w:hint="eastAsia"/>
        </w:rPr>
        <w:t xml:space="preserve">第一财经日报,</w:t>
      </w:r>
      <w:r>
        <w:t xml:space="preserve"> 2023-02-10(A01).</w:t>
      </w:r>
      <w:r>
        <w:t xml:space="preserve"> </w:t>
      </w:r>
      <w:r>
        <w:t xml:space="preserve">[7] </w:t>
      </w:r>
      <w:r>
        <w:rPr>
          <w:rFonts w:hint="eastAsia"/>
        </w:rPr>
        <w:t xml:space="preserve">石磊,</w:t>
      </w:r>
      <w:r>
        <w:t xml:space="preserve"> </w:t>
      </w:r>
      <w:r>
        <w:rPr>
          <w:rFonts w:hint="eastAsia"/>
        </w:rPr>
        <w:t xml:space="preserve">张迪,</w:t>
      </w:r>
      <w:r>
        <w:t xml:space="preserve"> </w:t>
      </w:r>
      <w:r>
        <w:rPr>
          <w:rFonts w:hint="eastAsia"/>
        </w:rPr>
        <w:t xml:space="preserve">刘柯含.</w:t>
      </w:r>
      <w:r>
        <w:t xml:space="preserve"> </w:t>
      </w:r>
      <w:r>
        <w:rPr>
          <w:rFonts w:hint="eastAsia"/>
        </w:rPr>
        <w:t xml:space="preserve">ESG表现对企业境外债券融资的影响[J].</w:t>
      </w:r>
      <w:r>
        <w:t xml:space="preserve"> </w:t>
      </w:r>
      <w:r>
        <w:rPr>
          <w:rFonts w:hint="eastAsia"/>
        </w:rPr>
        <w:t xml:space="preserve">财会月刊,</w:t>
      </w:r>
      <w:r>
        <w:t xml:space="preserve"> 2023, 44(03):41-48.</w:t>
      </w:r>
      <w:r>
        <w:t xml:space="preserve"> </w:t>
      </w:r>
      <w:r>
        <w:t xml:space="preserve">[8] </w:t>
      </w:r>
      <w:r>
        <w:rPr>
          <w:rFonts w:hint="eastAsia"/>
        </w:rPr>
        <w:t xml:space="preserve">杨虹.</w:t>
      </w:r>
      <w:r>
        <w:t xml:space="preserve"> </w:t>
      </w:r>
      <w:r>
        <w:rPr>
          <w:rFonts w:hint="eastAsia"/>
        </w:rPr>
        <w:t xml:space="preserve">国家发展改革委完善企业外债管理为市场主体提供更加稳定的制度环境[N].</w:t>
      </w:r>
      <w:r>
        <w:t xml:space="preserve"> </w:t>
      </w:r>
      <w:r>
        <w:rPr>
          <w:rFonts w:hint="eastAsia"/>
        </w:rPr>
        <w:t xml:space="preserve">中国经济导报,</w:t>
      </w:r>
      <w:r>
        <w:t xml:space="preserve"> 2023-01-17(001).</w:t>
      </w:r>
      <w:r>
        <w:t xml:space="preserve"> </w:t>
      </w:r>
      <w:r>
        <w:t xml:space="preserve">[9] </w:t>
      </w:r>
      <w:r>
        <w:rPr>
          <w:rFonts w:hint="eastAsia"/>
        </w:rPr>
        <w:t xml:space="preserve">杜雨萌.</w:t>
      </w:r>
      <w:r>
        <w:t xml:space="preserve"> </w:t>
      </w:r>
      <w:r>
        <w:rPr>
          <w:rFonts w:hint="eastAsia"/>
        </w:rPr>
        <w:t xml:space="preserve">强化外债募集资金用途管理切实服务实体经济发展[N].</w:t>
      </w:r>
      <w:r>
        <w:t xml:space="preserve"> </w:t>
      </w:r>
      <w:r>
        <w:rPr>
          <w:rFonts w:hint="eastAsia"/>
        </w:rPr>
        <w:t xml:space="preserve">证券日报,</w:t>
      </w:r>
      <w:r>
        <w:t xml:space="preserve"> 2023-01-11(A02).</w:t>
      </w:r>
      <w:r>
        <w:t xml:space="preserve"> </w:t>
      </w:r>
      <w:r>
        <w:t xml:space="preserve">[10] </w:t>
      </w:r>
      <w:r>
        <w:rPr>
          <w:rFonts w:hint="eastAsia"/>
        </w:rPr>
        <w:t xml:space="preserve">李媛.</w:t>
      </w:r>
      <w:r>
        <w:t xml:space="preserve"> </w:t>
      </w:r>
      <w:r>
        <w:rPr>
          <w:rFonts w:hint="eastAsia"/>
        </w:rPr>
        <w:t xml:space="preserve">境内企业发行境外可转债融资分析:</w:t>
      </w:r>
      <w:r>
        <w:t xml:space="preserve"> </w:t>
      </w:r>
      <w:r>
        <w:rPr>
          <w:rFonts w:hint="eastAsia"/>
        </w:rPr>
        <w:t xml:space="preserve">以A公司为例[J].</w:t>
      </w:r>
      <w:r>
        <w:t xml:space="preserve"> </w:t>
      </w:r>
      <w:r>
        <w:rPr>
          <w:rFonts w:hint="eastAsia"/>
        </w:rPr>
        <w:t xml:space="preserve">质量与市场,</w:t>
      </w:r>
      <w:r>
        <w:t xml:space="preserve"> 2023(01):34-36.</w:t>
      </w:r>
      <w:r>
        <w:t xml:space="preserve"> </w:t>
      </w:r>
      <w:r>
        <w:t xml:space="preserve">[11] </w:t>
      </w:r>
      <w:r>
        <w:rPr>
          <w:rFonts w:hint="eastAsia"/>
        </w:rPr>
        <w:t xml:space="preserve">唐啸,</w:t>
      </w:r>
      <w:r>
        <w:t xml:space="preserve"> </w:t>
      </w:r>
      <w:r>
        <w:rPr>
          <w:rFonts w:hint="eastAsia"/>
        </w:rPr>
        <w:t xml:space="preserve">郭飞.</w:t>
      </w:r>
      <w:r>
        <w:t xml:space="preserve"> </w:t>
      </w:r>
      <w:r>
        <w:rPr>
          <w:rFonts w:hint="eastAsia"/>
        </w:rPr>
        <w:t xml:space="preserve">人民币国际化背景下跨境人民币直贷融资研究:</w:t>
      </w:r>
      <w:r>
        <w:t xml:space="preserve"> </w:t>
      </w:r>
      <w:r>
        <w:rPr>
          <w:rFonts w:hint="eastAsia"/>
        </w:rPr>
        <w:t xml:space="preserve">以H电力设计院为例[J].</w:t>
      </w:r>
      <w:r>
        <w:t xml:space="preserve"> </w:t>
      </w:r>
      <w:r>
        <w:rPr>
          <w:rFonts w:hint="eastAsia"/>
        </w:rPr>
        <w:t xml:space="preserve">财务管理研究,</w:t>
      </w:r>
      <w:r>
        <w:t xml:space="preserve"> 2023(01):6-13.</w:t>
      </w:r>
      <w:r>
        <w:t xml:space="preserve"> </w:t>
      </w:r>
      <w:r>
        <w:t xml:space="preserve">[12] </w:t>
      </w:r>
      <w:r>
        <w:rPr>
          <w:rFonts w:hint="eastAsia"/>
        </w:rPr>
        <w:t xml:space="preserve">王叙果,</w:t>
      </w:r>
      <w:r>
        <w:t xml:space="preserve"> </w:t>
      </w:r>
      <w:r>
        <w:rPr>
          <w:rFonts w:hint="eastAsia"/>
        </w:rPr>
        <w:t xml:space="preserve">郑蕾.</w:t>
      </w:r>
      <w:r>
        <w:t xml:space="preserve"> </w:t>
      </w:r>
      <w:r>
        <w:rPr>
          <w:rFonts w:hint="eastAsia"/>
        </w:rPr>
        <w:t xml:space="preserve">地方政府外债风险与审计治理[J].</w:t>
      </w:r>
      <w:r>
        <w:t xml:space="preserve"> </w:t>
      </w:r>
      <w:r>
        <w:rPr>
          <w:rFonts w:hint="eastAsia"/>
        </w:rPr>
        <w:t xml:space="preserve">审计研究,</w:t>
      </w:r>
      <w:r>
        <w:t xml:space="preserve"> 2023(04):89-97.</w:t>
      </w:r>
      <w:r>
        <w:t xml:space="preserve"> </w:t>
      </w:r>
      <w:r>
        <w:t xml:space="preserve">[13] </w:t>
      </w:r>
      <w:r>
        <w:rPr>
          <w:rFonts w:hint="eastAsia"/>
        </w:rPr>
        <w:t xml:space="preserve">张弛.</w:t>
      </w:r>
      <w:r>
        <w:t xml:space="preserve"> </w:t>
      </w:r>
      <w:r>
        <w:rPr>
          <w:rFonts w:hint="eastAsia"/>
        </w:rPr>
        <w:t xml:space="preserve">城投企业境外发债风险管理[J].</w:t>
      </w:r>
      <w:r>
        <w:t xml:space="preserve"> </w:t>
      </w:r>
      <w:r>
        <w:rPr>
          <w:rFonts w:hint="eastAsia"/>
        </w:rPr>
        <w:t xml:space="preserve">青海金融,</w:t>
      </w:r>
      <w:r>
        <w:t xml:space="preserve"> 2022(09):46-52.</w:t>
      </w:r>
      <w:r>
        <w:t xml:space="preserve"> </w:t>
      </w:r>
      <w:r>
        <w:t xml:space="preserve">[14] </w:t>
      </w:r>
      <w:r>
        <w:rPr>
          <w:rFonts w:hint="eastAsia"/>
        </w:rPr>
        <w:t xml:space="preserve">黄校徽.</w:t>
      </w:r>
      <w:r>
        <w:t xml:space="preserve"> </w:t>
      </w:r>
      <w:r>
        <w:rPr>
          <w:rFonts w:hint="eastAsia"/>
        </w:rPr>
        <w:t xml:space="preserve">国有企业境外融资汇率风险管理研究[J].</w:t>
      </w:r>
      <w:r>
        <w:t xml:space="preserve"> </w:t>
      </w:r>
      <w:r>
        <w:rPr>
          <w:rFonts w:hint="eastAsia"/>
        </w:rPr>
        <w:t xml:space="preserve">现代营销(下旬刊),</w:t>
      </w:r>
      <w:r>
        <w:t xml:space="preserve"> 2022(08):96-98.</w:t>
      </w:r>
      <w:r>
        <w:t xml:space="preserve"> </w:t>
      </w:r>
      <w:r>
        <w:t xml:space="preserve">[15] </w:t>
      </w:r>
      <w:r>
        <w:rPr>
          <w:rFonts w:hint="eastAsia"/>
        </w:rPr>
        <w:t xml:space="preserve">何迎新,</w:t>
      </w:r>
      <w:r>
        <w:t xml:space="preserve"> </w:t>
      </w:r>
      <w:r>
        <w:rPr>
          <w:rFonts w:hint="eastAsia"/>
        </w:rPr>
        <w:t xml:space="preserve">黄颖.</w:t>
      </w:r>
      <w:r>
        <w:t xml:space="preserve"> </w:t>
      </w:r>
      <w:r>
        <w:rPr>
          <w:rFonts w:hint="eastAsia"/>
        </w:rPr>
        <w:t xml:space="preserve">境内外外债宏观审慎管理比较研究[J].</w:t>
      </w:r>
      <w:r>
        <w:t xml:space="preserve"> </w:t>
      </w:r>
      <w:r>
        <w:rPr>
          <w:rFonts w:hint="eastAsia"/>
        </w:rPr>
        <w:t xml:space="preserve">开发性金融研究,</w:t>
      </w:r>
      <w:r>
        <w:t xml:space="preserve"> 2022(02):34-42.</w:t>
      </w:r>
      <w:r>
        <w:t xml:space="preserve"> </w:t>
      </w:r>
      <w:r>
        <w:t xml:space="preserve">[16] </w:t>
      </w:r>
      <w:r>
        <w:rPr>
          <w:rFonts w:hint="eastAsia"/>
        </w:rPr>
        <w:t xml:space="preserve">金震州.</w:t>
      </w:r>
      <w:r>
        <w:t xml:space="preserve"> </w:t>
      </w:r>
      <w:r>
        <w:rPr>
          <w:rFonts w:hint="eastAsia"/>
        </w:rPr>
        <w:t xml:space="preserve">开拓企业资金新来源降低融资成本新举措:</w:t>
      </w:r>
      <w:r>
        <w:t xml:space="preserve"> </w:t>
      </w:r>
      <w:r>
        <w:rPr>
          <w:rFonts w:hint="eastAsia"/>
        </w:rPr>
        <w:t xml:space="preserve">企业实施中资外债融资产品之我见[J].</w:t>
      </w:r>
      <w:r>
        <w:t xml:space="preserve"> </w:t>
      </w:r>
      <w:r>
        <w:rPr>
          <w:rFonts w:hint="eastAsia"/>
        </w:rPr>
        <w:t xml:space="preserve">财经界,</w:t>
      </w:r>
      <w:r>
        <w:t xml:space="preserve"> 2022(11):32-34.</w:t>
      </w:r>
      <w:r>
        <w:t xml:space="preserve"> </w:t>
      </w:r>
      <w:r>
        <w:t xml:space="preserve">[17] </w:t>
      </w:r>
      <w:r>
        <w:rPr>
          <w:rFonts w:hint="eastAsia"/>
        </w:rPr>
        <w:t xml:space="preserve">胡鹏.</w:t>
      </w:r>
      <w:r>
        <w:t xml:space="preserve"> </w:t>
      </w:r>
      <w:r>
        <w:rPr>
          <w:rFonts w:hint="eastAsia"/>
        </w:rPr>
        <w:t xml:space="preserve">影响中资企业海外美元债发行成本的因素研究[D].</w:t>
      </w:r>
      <w:r>
        <w:t xml:space="preserve"> </w:t>
      </w:r>
      <w:r>
        <w:rPr>
          <w:rFonts w:hint="eastAsia"/>
        </w:rPr>
        <w:t xml:space="preserve">昆明:</w:t>
      </w:r>
      <w:r>
        <w:t xml:space="preserve"> </w:t>
      </w:r>
      <w:r>
        <w:rPr>
          <w:rFonts w:hint="eastAsia"/>
        </w:rPr>
        <w:t xml:space="preserve">云南财经大学,</w:t>
      </w:r>
      <w:r>
        <w:t xml:space="preserve"> 2022.</w:t>
      </w:r>
      <w:r>
        <w:t xml:space="preserve"> </w:t>
      </w:r>
      <w:r>
        <w:t xml:space="preserve">[18] </w:t>
      </w:r>
      <w:r>
        <w:rPr>
          <w:rFonts w:hint="eastAsia"/>
        </w:rPr>
        <w:t xml:space="preserve">代盛,</w:t>
      </w:r>
      <w:r>
        <w:t xml:space="preserve"> </w:t>
      </w:r>
      <w:r>
        <w:rPr>
          <w:rFonts w:hint="eastAsia"/>
        </w:rPr>
        <w:t xml:space="preserve">万翥来.</w:t>
      </w:r>
      <w:r>
        <w:t xml:space="preserve"> </w:t>
      </w:r>
      <w:r>
        <w:rPr>
          <w:rFonts w:hint="eastAsia"/>
        </w:rPr>
        <w:t xml:space="preserve">中美贸易摩擦与我国企业外债融资成本[J].</w:t>
      </w:r>
      <w:r>
        <w:t xml:space="preserve"> </w:t>
      </w:r>
      <w:r>
        <w:rPr>
          <w:rFonts w:hint="eastAsia"/>
        </w:rPr>
        <w:t xml:space="preserve">科学决策,</w:t>
      </w:r>
      <w:r>
        <w:t xml:space="preserve"> 2022(03):89-100.</w:t>
      </w:r>
      <w:r>
        <w:t xml:space="preserve"> </w:t>
      </w:r>
      <w:r>
        <w:t xml:space="preserve">[19] </w:t>
      </w:r>
      <w:r>
        <w:rPr>
          <w:rFonts w:hint="eastAsia"/>
        </w:rPr>
        <w:t xml:space="preserve">田野.</w:t>
      </w:r>
      <w:r>
        <w:t xml:space="preserve"> </w:t>
      </w:r>
      <w:r>
        <w:rPr>
          <w:rFonts w:hint="eastAsia"/>
        </w:rPr>
        <w:t xml:space="preserve">债券融资殊异:</w:t>
      </w:r>
      <w:r>
        <w:t xml:space="preserve"> </w:t>
      </w:r>
      <w:r>
        <w:rPr>
          <w:rFonts w:hint="eastAsia"/>
        </w:rPr>
        <w:t xml:space="preserve">石油央企境外美元债券比较分析[J].</w:t>
      </w:r>
      <w:r>
        <w:t xml:space="preserve"> </w:t>
      </w:r>
      <w:r>
        <w:rPr>
          <w:rFonts w:hint="eastAsia"/>
        </w:rPr>
        <w:t xml:space="preserve">中国石油企业,</w:t>
      </w:r>
      <w:r>
        <w:t xml:space="preserve"> 2022(Z1):145-147,155.</w:t>
      </w:r>
      <w:r>
        <w:t xml:space="preserve"> </w:t>
      </w:r>
      <w:r>
        <w:t xml:space="preserve">[20] </w:t>
      </w:r>
      <w:r>
        <w:rPr>
          <w:rFonts w:hint="eastAsia"/>
        </w:rPr>
        <w:t xml:space="preserve">贾秀彦.</w:t>
      </w:r>
      <w:r>
        <w:t xml:space="preserve"> </w:t>
      </w:r>
      <w:r>
        <w:rPr>
          <w:rFonts w:hint="eastAsia"/>
        </w:rPr>
        <w:t xml:space="preserve">资本市场开放的债务风险治理效应研究[D].</w:t>
      </w:r>
      <w:r>
        <w:t xml:space="preserve"> </w:t>
      </w:r>
      <w:r>
        <w:rPr>
          <w:rFonts w:hint="eastAsia"/>
        </w:rPr>
        <w:t xml:space="preserve">成都:</w:t>
      </w:r>
      <w:r>
        <w:t xml:space="preserve"> </w:t>
      </w:r>
      <w:r>
        <w:rPr>
          <w:rFonts w:hint="eastAsia"/>
        </w:rPr>
        <w:t xml:space="preserve">西南财经大学,</w:t>
      </w:r>
      <w:r>
        <w:t xml:space="preserve"> 2022.</w:t>
      </w:r>
      <w:r>
        <w:t xml:space="preserve"> </w:t>
      </w:r>
      <w:r>
        <w:t xml:space="preserve">[21] </w:t>
      </w:r>
      <w:r>
        <w:rPr>
          <w:rFonts w:hint="eastAsia"/>
        </w:rPr>
        <w:t xml:space="preserve">孙田.</w:t>
      </w:r>
      <w:r>
        <w:t xml:space="preserve"> </w:t>
      </w:r>
      <w:r>
        <w:rPr>
          <w:rFonts w:hint="eastAsia"/>
        </w:rPr>
        <w:t xml:space="preserve">北京市轨道交通境外融资模式探索与创新[J].</w:t>
      </w:r>
      <w:r>
        <w:t xml:space="preserve"> </w:t>
      </w:r>
      <w:r>
        <w:rPr>
          <w:rFonts w:hint="eastAsia"/>
        </w:rPr>
        <w:t xml:space="preserve">工程经济,</w:t>
      </w:r>
      <w:r>
        <w:t xml:space="preserve"> 2022, 32(03):39-45.</w:t>
      </w:r>
      <w:r>
        <w:t xml:space="preserve"> </w:t>
      </w:r>
      <w:r>
        <w:t xml:space="preserve">[22] </w:t>
      </w:r>
      <w:r>
        <w:rPr>
          <w:rFonts w:hint="eastAsia"/>
        </w:rPr>
        <w:t xml:space="preserve">灵果.</w:t>
      </w:r>
      <w:r>
        <w:t xml:space="preserve"> </w:t>
      </w:r>
      <w:r>
        <w:rPr>
          <w:rFonts w:hint="eastAsia"/>
        </w:rPr>
        <w:t xml:space="preserve">宏观审慎政策框架下企业跨境融资路径与效果研究[J].</w:t>
      </w:r>
      <w:r>
        <w:t xml:space="preserve"> </w:t>
      </w:r>
      <w:r>
        <w:rPr>
          <w:rFonts w:hint="eastAsia"/>
        </w:rPr>
        <w:t xml:space="preserve">北方金融,</w:t>
      </w:r>
      <w:r>
        <w:t xml:space="preserve"> 2022(01):99-101.</w:t>
      </w:r>
      <w:r>
        <w:t xml:space="preserve"> </w:t>
      </w:r>
      <w:r>
        <w:t xml:space="preserve">[23] </w:t>
      </w:r>
      <w:r>
        <w:rPr>
          <w:rFonts w:hint="eastAsia"/>
        </w:rPr>
        <w:t xml:space="preserve">王叙果,</w:t>
      </w:r>
      <w:r>
        <w:t xml:space="preserve"> </w:t>
      </w:r>
      <w:r>
        <w:rPr>
          <w:rFonts w:hint="eastAsia"/>
        </w:rPr>
        <w:t xml:space="preserve">何暑子,</w:t>
      </w:r>
      <w:r>
        <w:t xml:space="preserve"> </w:t>
      </w:r>
      <w:r>
        <w:rPr>
          <w:rFonts w:hint="eastAsia"/>
        </w:rPr>
        <w:t xml:space="preserve">隋学深.</w:t>
      </w:r>
      <w:r>
        <w:t xml:space="preserve"> </w:t>
      </w:r>
      <w:r>
        <w:rPr>
          <w:rFonts w:hint="eastAsia"/>
        </w:rPr>
        <w:t xml:space="preserve">我国外债风险形成的管理体制原因及审计监督研究[J].</w:t>
      </w:r>
      <w:r>
        <w:t xml:space="preserve"> </w:t>
      </w:r>
      <w:r>
        <w:rPr>
          <w:rFonts w:hint="eastAsia"/>
        </w:rPr>
        <w:t xml:space="preserve">中国审计评论,</w:t>
      </w:r>
      <w:r>
        <w:t xml:space="preserve"> 2021(02):33-43.</w:t>
      </w:r>
      <w:r>
        <w:t xml:space="preserve"> </w:t>
      </w:r>
      <w:r>
        <w:t xml:space="preserve">[24] </w:t>
      </w:r>
      <w:r>
        <w:rPr>
          <w:rFonts w:hint="eastAsia"/>
        </w:rPr>
        <w:t xml:space="preserve">李晓曦.</w:t>
      </w:r>
      <w:r>
        <w:t xml:space="preserve"> </w:t>
      </w:r>
      <w:r>
        <w:rPr>
          <w:rFonts w:hint="eastAsia"/>
        </w:rPr>
        <w:t xml:space="preserve">非金融企业部门外债变化趋势[J].</w:t>
      </w:r>
      <w:r>
        <w:t xml:space="preserve"> </w:t>
      </w:r>
      <w:r>
        <w:rPr>
          <w:rFonts w:hint="eastAsia"/>
        </w:rPr>
        <w:t xml:space="preserve">新经济,</w:t>
      </w:r>
      <w:r>
        <w:t xml:space="preserve"> 2021(05):60-64.</w:t>
      </w:r>
      <w:r>
        <w:t xml:space="preserve"> </w:t>
      </w:r>
      <w:r>
        <w:t xml:space="preserve">[25] </w:t>
      </w:r>
      <w:r>
        <w:rPr>
          <w:rFonts w:hint="eastAsia"/>
        </w:rPr>
        <w:t xml:space="preserve">李锦涵.</w:t>
      </w:r>
      <w:r>
        <w:t xml:space="preserve"> </w:t>
      </w:r>
      <w:r>
        <w:rPr>
          <w:rFonts w:hint="eastAsia"/>
        </w:rPr>
        <w:t xml:space="preserve">资本项目跨境交易本外币政策比较:</w:t>
      </w:r>
      <w:r>
        <w:t xml:space="preserve"> </w:t>
      </w:r>
      <w:r>
        <w:rPr>
          <w:rFonts w:hint="eastAsia"/>
        </w:rPr>
        <w:t xml:space="preserve">基于银发〔2020〕330号文实施前后的对比分析[J].</w:t>
      </w:r>
      <w:r>
        <w:t xml:space="preserve"> </w:t>
      </w:r>
      <w:r>
        <w:rPr>
          <w:rFonts w:hint="eastAsia"/>
        </w:rPr>
        <w:t xml:space="preserve">中国外资,</w:t>
      </w:r>
      <w:r>
        <w:t xml:space="preserve"> 2021(07):72-75.</w:t>
      </w:r>
      <w:r>
        <w:t xml:space="preserve"> </w:t>
      </w:r>
      <w:r>
        <w:t xml:space="preserve">[26] </w:t>
      </w:r>
      <w:r>
        <w:rPr>
          <w:rFonts w:hint="eastAsia"/>
        </w:rPr>
        <w:t xml:space="preserve">张倩.</w:t>
      </w:r>
      <w:r>
        <w:t xml:space="preserve"> </w:t>
      </w:r>
      <w:r>
        <w:rPr>
          <w:rFonts w:hint="eastAsia"/>
        </w:rPr>
        <w:t xml:space="preserve">广西企业境外发债现状与对策建议[J].</w:t>
      </w:r>
      <w:r>
        <w:t xml:space="preserve"> </w:t>
      </w:r>
      <w:r>
        <w:rPr>
          <w:rFonts w:hint="eastAsia"/>
        </w:rPr>
        <w:t xml:space="preserve">现代营销(下旬刊),</w:t>
      </w:r>
      <w:r>
        <w:t xml:space="preserve"> 2021(02):24-25.</w:t>
      </w:r>
      <w:r>
        <w:t xml:space="preserve"> </w:t>
      </w:r>
      <w:r>
        <w:t xml:space="preserve">[27] </w:t>
      </w:r>
      <w:r>
        <w:rPr>
          <w:rFonts w:hint="eastAsia"/>
        </w:rPr>
        <w:t xml:space="preserve">张国斌.</w:t>
      </w:r>
      <w:r>
        <w:t xml:space="preserve"> </w:t>
      </w:r>
      <w:r>
        <w:rPr>
          <w:rFonts w:hint="eastAsia"/>
        </w:rPr>
        <w:t xml:space="preserve">房地产企业外债融资分析[J].</w:t>
      </w:r>
      <w:r>
        <w:t xml:space="preserve"> </w:t>
      </w:r>
      <w:r>
        <w:rPr>
          <w:rFonts w:hint="eastAsia"/>
        </w:rPr>
        <w:t xml:space="preserve">中国金融,</w:t>
      </w:r>
      <w:r>
        <w:t xml:space="preserve"> 2021(03):62-63.</w:t>
      </w:r>
      <w:r>
        <w:t xml:space="preserve"> </w:t>
      </w:r>
      <w:r>
        <w:t xml:space="preserve">[28] </w:t>
      </w:r>
      <w:r>
        <w:rPr>
          <w:rFonts w:hint="eastAsia"/>
        </w:rPr>
        <w:t xml:space="preserve">田雪彦.</w:t>
      </w:r>
      <w:r>
        <w:t xml:space="preserve"> </w:t>
      </w:r>
      <w:r>
        <w:rPr>
          <w:rFonts w:hint="eastAsia"/>
        </w:rPr>
        <w:t xml:space="preserve">善用外债套期保值会计[J].</w:t>
      </w:r>
      <w:r>
        <w:t xml:space="preserve"> </w:t>
      </w:r>
      <w:r>
        <w:rPr>
          <w:rFonts w:hint="eastAsia"/>
        </w:rPr>
        <w:t xml:space="preserve">中国外汇,</w:t>
      </w:r>
      <w:r>
        <w:t xml:space="preserve"> 2021(02):25-27.</w:t>
      </w:r>
      <w:r>
        <w:t xml:space="preserve"> </w:t>
      </w:r>
      <w:r>
        <w:t xml:space="preserve">[29] </w:t>
      </w:r>
      <w:r>
        <w:rPr>
          <w:rFonts w:hint="eastAsia"/>
        </w:rPr>
        <w:t xml:space="preserve">徐煦人.</w:t>
      </w:r>
      <w:r>
        <w:t xml:space="preserve"> </w:t>
      </w:r>
      <w:r>
        <w:rPr>
          <w:rFonts w:hint="eastAsia"/>
        </w:rPr>
        <w:t xml:space="preserve">出口信用保险在境外项目融资中的价值分析:</w:t>
      </w:r>
      <w:r>
        <w:t xml:space="preserve"> </w:t>
      </w:r>
      <w:r>
        <w:rPr>
          <w:rFonts w:hint="eastAsia"/>
        </w:rPr>
        <w:t xml:space="preserve">以电力项目为例[J].</w:t>
      </w:r>
      <w:r>
        <w:t xml:space="preserve"> </w:t>
      </w:r>
      <w:r>
        <w:rPr>
          <w:rFonts w:hint="eastAsia"/>
        </w:rPr>
        <w:t xml:space="preserve">开发性金融研究,</w:t>
      </w:r>
      <w:r>
        <w:t xml:space="preserve"> 2021(06):40-47.</w:t>
      </w:r>
      <w:r>
        <w:t xml:space="preserve"> </w:t>
      </w:r>
      <w:r>
        <w:t xml:space="preserve">[30] </w:t>
      </w:r>
      <w:r>
        <w:rPr>
          <w:rFonts w:hint="eastAsia"/>
        </w:rPr>
        <w:t xml:space="preserve">傅永双.</w:t>
      </w:r>
      <w:r>
        <w:t xml:space="preserve"> </w:t>
      </w:r>
      <w:r>
        <w:rPr>
          <w:rFonts w:hint="eastAsia"/>
        </w:rPr>
        <w:t xml:space="preserve">中国上市公司举借外币债务的影响因素研究[D].</w:t>
      </w:r>
      <w:r>
        <w:t xml:space="preserve"> </w:t>
      </w:r>
      <w:r>
        <w:rPr>
          <w:rFonts w:hint="eastAsia"/>
        </w:rPr>
        <w:t xml:space="preserve">哈尔滨:</w:t>
      </w:r>
      <w:r>
        <w:t xml:space="preserve"> </w:t>
      </w:r>
      <w:r>
        <w:rPr>
          <w:rFonts w:hint="eastAsia"/>
        </w:rPr>
        <w:t xml:space="preserve">哈尔滨工业大学,</w:t>
      </w:r>
      <w:r>
        <w:t xml:space="preserve"> 2021.</w:t>
      </w:r>
      <w:r>
        <w:t xml:space="preserve"> </w:t>
      </w:r>
      <w:r>
        <w:t xml:space="preserve">[31] </w:t>
      </w:r>
      <w:r>
        <w:rPr>
          <w:rFonts w:hint="eastAsia"/>
        </w:rPr>
        <w:t xml:space="preserve">孟迪.</w:t>
      </w:r>
      <w:r>
        <w:t xml:space="preserve"> </w:t>
      </w:r>
      <w:r>
        <w:rPr>
          <w:rFonts w:hint="eastAsia"/>
        </w:rPr>
        <w:t xml:space="preserve">我国上市公司外债融资对公司绩效的影响研究[D].</w:t>
      </w:r>
      <w:r>
        <w:t xml:space="preserve"> </w:t>
      </w:r>
      <w:r>
        <w:rPr>
          <w:rFonts w:hint="eastAsia"/>
        </w:rPr>
        <w:t xml:space="preserve">济南:</w:t>
      </w:r>
      <w:r>
        <w:t xml:space="preserve"> </w:t>
      </w:r>
      <w:r>
        <w:rPr>
          <w:rFonts w:hint="eastAsia"/>
        </w:rPr>
        <w:t xml:space="preserve">山东大学,</w:t>
      </w:r>
      <w:r>
        <w:t xml:space="preserve"> 2020.</w:t>
      </w:r>
      <w:r>
        <w:t xml:space="preserve"> </w:t>
      </w:r>
      <w:r>
        <w:t xml:space="preserve">[32] </w:t>
      </w:r>
      <w:r>
        <w:rPr>
          <w:rFonts w:hint="eastAsia"/>
        </w:rPr>
        <w:t xml:space="preserve">陈国松,</w:t>
      </w:r>
      <w:r>
        <w:t xml:space="preserve"> </w:t>
      </w:r>
      <w:r>
        <w:rPr>
          <w:rFonts w:hint="eastAsia"/>
        </w:rPr>
        <w:t xml:space="preserve">赵万.</w:t>
      </w:r>
      <w:r>
        <w:t xml:space="preserve"> </w:t>
      </w:r>
      <w:r>
        <w:rPr>
          <w:rFonts w:hint="eastAsia"/>
        </w:rPr>
        <w:t xml:space="preserve">借助外债政策红利主动作为[J].</w:t>
      </w:r>
      <w:r>
        <w:t xml:space="preserve"> </w:t>
      </w:r>
      <w:r>
        <w:rPr>
          <w:rFonts w:hint="eastAsia"/>
        </w:rPr>
        <w:t xml:space="preserve">中国外汇,</w:t>
      </w:r>
      <w:r>
        <w:t xml:space="preserve"> 2020(11):58-60.</w:t>
      </w:r>
      <w:r>
        <w:t xml:space="preserve"> </w:t>
      </w:r>
      <w:r>
        <w:t xml:space="preserve">[33] </w:t>
      </w:r>
      <w:r>
        <w:rPr>
          <w:rFonts w:hint="eastAsia"/>
        </w:rPr>
        <w:t xml:space="preserve">白玉杰.</w:t>
      </w:r>
      <w:r>
        <w:t xml:space="preserve"> </w:t>
      </w:r>
      <w:r>
        <w:rPr>
          <w:rFonts w:hint="eastAsia"/>
        </w:rPr>
        <w:t xml:space="preserve">中关村外债便利化试点政策再升级[J].</w:t>
      </w:r>
      <w:r>
        <w:t xml:space="preserve"> </w:t>
      </w:r>
      <w:r>
        <w:rPr>
          <w:rFonts w:hint="eastAsia"/>
        </w:rPr>
        <w:t xml:space="preserve">中关村,</w:t>
      </w:r>
      <w:r>
        <w:t xml:space="preserve"> 2020(07):13.</w:t>
      </w:r>
      <w:r>
        <w:t xml:space="preserve"> </w:t>
      </w:r>
      <w:r>
        <w:t xml:space="preserve">[34] </w:t>
      </w:r>
      <w:r>
        <w:rPr>
          <w:rFonts w:hint="eastAsia"/>
        </w:rPr>
        <w:t xml:space="preserve">曹姝贤,</w:t>
      </w:r>
      <w:r>
        <w:t xml:space="preserve"> </w:t>
      </w:r>
      <w:r>
        <w:rPr>
          <w:rFonts w:hint="eastAsia"/>
        </w:rPr>
        <w:t xml:space="preserve">陈吟野.</w:t>
      </w:r>
      <w:r>
        <w:t xml:space="preserve"> </w:t>
      </w:r>
      <w:r>
        <w:rPr>
          <w:rFonts w:hint="eastAsia"/>
        </w:rPr>
        <w:t xml:space="preserve">非金融机构国民原则外债统计研究[J].</w:t>
      </w:r>
      <w:r>
        <w:t xml:space="preserve"> </w:t>
      </w:r>
      <w:r>
        <w:rPr>
          <w:rFonts w:hint="eastAsia"/>
        </w:rPr>
        <w:t xml:space="preserve">金融纵横,</w:t>
      </w:r>
      <w:r>
        <w:t xml:space="preserve"> 2020(08):76-84.</w:t>
      </w:r>
      <w:r>
        <w:t xml:space="preserve"> </w:t>
      </w:r>
      <w:r>
        <w:t xml:space="preserve">[35] </w:t>
      </w:r>
      <w:r>
        <w:rPr>
          <w:rFonts w:hint="eastAsia"/>
        </w:rPr>
        <w:t xml:space="preserve">原盼盼.</w:t>
      </w:r>
      <w:r>
        <w:t xml:space="preserve"> </w:t>
      </w:r>
      <w:r>
        <w:rPr>
          <w:rFonts w:hint="eastAsia"/>
        </w:rPr>
        <w:t xml:space="preserve">公司外币债务融资研究[D].</w:t>
      </w:r>
      <w:r>
        <w:t xml:space="preserve"> </w:t>
      </w:r>
      <w:r>
        <w:rPr>
          <w:rFonts w:hint="eastAsia"/>
        </w:rPr>
        <w:t xml:space="preserve">武汉:</w:t>
      </w:r>
      <w:r>
        <w:t xml:space="preserve"> </w:t>
      </w:r>
      <w:r>
        <w:rPr>
          <w:rFonts w:hint="eastAsia"/>
        </w:rPr>
        <w:t xml:space="preserve">中南财经政法大学,</w:t>
      </w:r>
      <w:r>
        <w:t xml:space="preserve"> 2020.</w:t>
      </w:r>
      <w:r>
        <w:t xml:space="preserve"> </w:t>
      </w:r>
      <w:r>
        <w:t xml:space="preserve">[36] </w:t>
      </w:r>
      <w:r>
        <w:rPr>
          <w:rFonts w:hint="eastAsia"/>
        </w:rPr>
        <w:t xml:space="preserve">宋亚楠.</w:t>
      </w:r>
      <w:r>
        <w:t xml:space="preserve"> </w:t>
      </w:r>
      <w:r>
        <w:rPr>
          <w:rFonts w:hint="eastAsia"/>
        </w:rPr>
        <w:t xml:space="preserve">碧桂园海外债风险测度及防范研究[D].</w:t>
      </w:r>
      <w:r>
        <w:t xml:space="preserve"> </w:t>
      </w:r>
      <w:r>
        <w:rPr>
          <w:rFonts w:hint="eastAsia"/>
        </w:rPr>
        <w:t xml:space="preserve">大连:</w:t>
      </w:r>
      <w:r>
        <w:t xml:space="preserve"> </w:t>
      </w:r>
      <w:r>
        <w:rPr>
          <w:rFonts w:hint="eastAsia"/>
        </w:rPr>
        <w:t xml:space="preserve">大连理工大学,</w:t>
      </w:r>
      <w:r>
        <w:t xml:space="preserve"> 2020.</w:t>
      </w:r>
      <w:r>
        <w:t xml:space="preserve"> </w:t>
      </w:r>
      <w:r>
        <w:t xml:space="preserve">[37] </w:t>
      </w:r>
      <w:r>
        <w:rPr>
          <w:rFonts w:hint="eastAsia"/>
        </w:rPr>
        <w:t xml:space="preserve">王蓓琳.</w:t>
      </w:r>
      <w:r>
        <w:t xml:space="preserve"> </w:t>
      </w:r>
      <w:r>
        <w:rPr>
          <w:rFonts w:hint="eastAsia"/>
        </w:rPr>
        <w:t xml:space="preserve">民营企业境外发行债券案例研究[D].</w:t>
      </w:r>
      <w:r>
        <w:t xml:space="preserve"> </w:t>
      </w:r>
      <w:r>
        <w:rPr>
          <w:rFonts w:hint="eastAsia"/>
        </w:rPr>
        <w:t xml:space="preserve">武汉:</w:t>
      </w:r>
      <w:r>
        <w:t xml:space="preserve"> </w:t>
      </w:r>
      <w:r>
        <w:rPr>
          <w:rFonts w:hint="eastAsia"/>
        </w:rPr>
        <w:t xml:space="preserve">中南财经政法大学,</w:t>
      </w:r>
      <w:r>
        <w:t xml:space="preserve"> 2020.</w:t>
      </w:r>
      <w:r>
        <w:t xml:space="preserve"> </w:t>
      </w:r>
      <w:r>
        <w:t xml:space="preserve">[38] </w:t>
      </w:r>
      <w:r>
        <w:rPr>
          <w:rFonts w:hint="eastAsia"/>
        </w:rPr>
        <w:t xml:space="preserve">林昱明.</w:t>
      </w:r>
      <w:r>
        <w:t xml:space="preserve"> </w:t>
      </w:r>
      <w:r>
        <w:rPr>
          <w:rFonts w:hint="eastAsia"/>
        </w:rPr>
        <w:t xml:space="preserve">中国上市制造业企业外汇风险管理措施及效果研究[D].</w:t>
      </w:r>
      <w:r>
        <w:t xml:space="preserve"> </w:t>
      </w:r>
      <w:r>
        <w:rPr>
          <w:rFonts w:hint="eastAsia"/>
        </w:rPr>
        <w:t xml:space="preserve">广州:</w:t>
      </w:r>
      <w:r>
        <w:t xml:space="preserve"> </w:t>
      </w:r>
      <w:r>
        <w:rPr>
          <w:rFonts w:hint="eastAsia"/>
        </w:rPr>
        <w:t xml:space="preserve">华南理工大学,</w:t>
      </w:r>
      <w:r>
        <w:t xml:space="preserve"> 2019.</w:t>
      </w:r>
      <w:r>
        <w:t xml:space="preserve"> </w:t>
      </w:r>
      <w:r>
        <w:t xml:space="preserve">[39] </w:t>
      </w:r>
      <w:r>
        <w:rPr>
          <w:rFonts w:hint="eastAsia"/>
        </w:rPr>
        <w:t xml:space="preserve">胡晓璇.</w:t>
      </w:r>
      <w:r>
        <w:t xml:space="preserve"> </w:t>
      </w:r>
      <w:r>
        <w:rPr>
          <w:rFonts w:hint="eastAsia"/>
        </w:rPr>
        <w:t xml:space="preserve">G银行“跨境直贷”金融产品设计[D].</w:t>
      </w:r>
      <w:r>
        <w:t xml:space="preserve"> </w:t>
      </w:r>
      <w:r>
        <w:rPr>
          <w:rFonts w:hint="eastAsia"/>
        </w:rPr>
        <w:t xml:space="preserve">蚌埠:</w:t>
      </w:r>
      <w:r>
        <w:t xml:space="preserve"> </w:t>
      </w:r>
      <w:r>
        <w:rPr>
          <w:rFonts w:hint="eastAsia"/>
        </w:rPr>
        <w:t xml:space="preserve">安徽财经大学,</w:t>
      </w:r>
      <w:r>
        <w:t xml:space="preserve"> 2019.</w:t>
      </w:r>
      <w:r>
        <w:t xml:space="preserve"> </w:t>
      </w:r>
      <w:r>
        <w:t xml:space="preserve">[40] Allayannis G, Brown G W, Klapper L F. Capital structure and financial risk: Evidence from foreign debt use in East Asia[J]. Journal of Finance, 2003, 58(6):2667-2710.</w:t>
      </w:r>
      <w:r>
        <w:t xml:space="preserve"> </w:t>
      </w:r>
      <w:r>
        <w:t xml:space="preserve">[41] Bruno V, Shin H S. Global dollar credit and carry trades: A firm-level analysis[J]. Review of Financial Studies, 2017, 30(3):703-749.</w:t>
      </w:r>
      <w:r>
        <w:t xml:space="preserve"> </w:t>
      </w:r>
      <w:r>
        <w:t xml:space="preserve">[42] Hofmann B, Shim I, Shin H S. Bond risk premia and the exchange rate[J]. BIS Quarterly Review, 2020(09):45-58.</w:t>
      </w:r>
      <w:r>
        <w:t xml:space="preserve"> </w:t>
      </w:r>
      <w:r>
        <w:t xml:space="preserve">[43] Avdjiev S, McCauley R N, Shin H S. Breaking free of the triple coincidence in international finance[J]. Economic Policy, 2016, 31(87):409-451.</w:t>
      </w:r>
      <w:r>
        <w:t xml:space="preserve"> </w:t>
      </w:r>
      <w:r>
        <w:t xml:space="preserve">[44] Carstens A, Shin H S. Emerging market economies and global financial conditions[Z]. BIS Speeches, 2019.</w:t>
      </w:r>
      <w:r>
        <w:t xml:space="preserve"> </w:t>
      </w:r>
      <w:r>
        <w:t xml:space="preserve">[45] International Monetary Fund. Global Financial Stability Report: Safeguarding Financial Stability Amid High Inflation and Geopolitical Risks[R]. Washington, D.C.: IMF, 2023.</w:t>
      </w:r>
      <w:r>
        <w:t xml:space="preserve"> </w:t>
      </w:r>
      <w:r>
        <w:t xml:space="preserve">[46] International Monetary Fund. Global Financial Stability Report: The Last Mile, Financial Vulnerabilities, and Risks[R]. Washington, D.C.: IMF, 2024.</w:t>
      </w:r>
      <w:r>
        <w:t xml:space="preserve"> </w:t>
      </w:r>
      <w:r>
        <w:t xml:space="preserve">[47] World Bank. International Debt Report 2024[R]. Washington, D.C.: World Bank, 2024.</w:t>
      </w:r>
      <w:r>
        <w:t xml:space="preserve"> </w:t>
      </w:r>
      <w:r>
        <w:t xml:space="preserve">[48] Bank for International Settlements. Quarterly Review: International Banking and Financial Market Developments[R]. Basel: BIS, 2024.</w:t>
      </w:r>
      <w:r>
        <w:t xml:space="preserve"> </w:t>
      </w:r>
      <w:r>
        <w:t xml:space="preserve">[49] Federal Reserve. Federal Open Market Committee issues FOMC statement[EB/OL]. 2022-03-16.</w:t>
      </w:r>
      <w:r>
        <w:t xml:space="preserve"> </w:t>
      </w:r>
      <w:r>
        <w:t xml:space="preserve">[50] Federal Reserve. Federal Open Market Committee issues FOMC statement[EB/OL]. 2023-07-26.</w:t>
      </w:r>
      <w:r>
        <w:t xml:space="preserve"> </w:t>
      </w:r>
      <w:r>
        <w:t xml:space="preserve">[51] </w:t>
      </w:r>
      <w:r>
        <w:rPr>
          <w:rFonts w:hint="eastAsia"/>
        </w:rPr>
        <w:t xml:space="preserve">中国人民银行,</w:t>
      </w:r>
      <w:r>
        <w:t xml:space="preserve"> </w:t>
      </w:r>
      <w:r>
        <w:rPr>
          <w:rFonts w:hint="eastAsia"/>
        </w:rPr>
        <w:t xml:space="preserve">国家外汇管理局.</w:t>
      </w:r>
      <w:r>
        <w:t xml:space="preserve"> </w:t>
      </w:r>
      <w:r>
        <w:rPr>
          <w:rFonts w:hint="eastAsia"/>
        </w:rPr>
        <w:t xml:space="preserve">关于调整全口径跨境融资宏观审慎调节参数的通知[Z].</w:t>
      </w:r>
      <w:r>
        <w:t xml:space="preserve"> 2020.</w:t>
      </w:r>
      <w:r>
        <w:t xml:space="preserve"> </w:t>
      </w:r>
      <w:r>
        <w:t xml:space="preserve">[52] </w:t>
      </w:r>
      <w:r>
        <w:rPr>
          <w:rFonts w:hint="eastAsia"/>
        </w:rPr>
        <w:t xml:space="preserve">国家发展改革委.</w:t>
      </w:r>
      <w:r>
        <w:t xml:space="preserve"> </w:t>
      </w:r>
      <w:r>
        <w:rPr>
          <w:rFonts w:hint="eastAsia"/>
        </w:rPr>
        <w:t xml:space="preserve">关于推进企业发行外债备案登记制管理改革的通知[Z].</w:t>
      </w:r>
      <w:r>
        <w:t xml:space="preserve"> 2015.</w:t>
      </w:r>
      <w:r>
        <w:t xml:space="preserve"> </w:t>
      </w:r>
      <w:r>
        <w:t xml:space="preserve">[53] </w:t>
      </w:r>
      <w:r>
        <w:rPr>
          <w:rFonts w:hint="eastAsia"/>
        </w:rPr>
        <w:t xml:space="preserve">国家发展改革委.</w:t>
      </w:r>
      <w:r>
        <w:t xml:space="preserve"> </w:t>
      </w:r>
      <w:r>
        <w:rPr>
          <w:rFonts w:hint="eastAsia"/>
        </w:rPr>
        <w:t xml:space="preserve">企业中长期外债审核登记管理办法答记者问[EB/OL].</w:t>
      </w:r>
      <w:r>
        <w:t xml:space="preserve"> 2023.</w:t>
      </w:r>
      <w:r>
        <w:t xml:space="preserve"> </w:t>
      </w:r>
      <w:r>
        <w:t xml:space="preserve">[54] </w:t>
      </w:r>
      <w:r>
        <w:rPr>
          <w:rFonts w:hint="eastAsia"/>
        </w:rPr>
        <w:t xml:space="preserve">漳州市九龙江集团有限公司.</w:t>
      </w:r>
      <w:r>
        <w:t xml:space="preserve"> </w:t>
      </w:r>
      <w:r>
        <w:rPr>
          <w:rFonts w:hint="eastAsia"/>
        </w:rPr>
        <w:t xml:space="preserve">2024年年度报告[R].</w:t>
      </w:r>
      <w:r>
        <w:t xml:space="preserve"> 2025.</w:t>
      </w:r>
      <w:r>
        <w:t xml:space="preserve"> </w:t>
      </w:r>
      <w:r>
        <w:t xml:space="preserve">[55] </w:t>
      </w:r>
      <w:r>
        <w:rPr>
          <w:rFonts w:hint="eastAsia"/>
        </w:rPr>
        <w:t xml:space="preserve">漳州市九龙江集团有限公司.</w:t>
      </w:r>
      <w:r>
        <w:t xml:space="preserve"> </w:t>
      </w:r>
      <w:r>
        <w:rPr>
          <w:rFonts w:hint="eastAsia"/>
        </w:rPr>
        <w:t xml:space="preserve">2024年度跟踪评级报告[R].</w:t>
      </w:r>
      <w:r>
        <w:t xml:space="preserve"> 2025.</w:t>
      </w:r>
      <w:r>
        <w:t xml:space="preserve"> </w:t>
      </w:r>
      <w:r>
        <w:t xml:space="preserve">[56] Lianhe Global. Lianhe Global Upgrades Jiulongjiang Group to ‘A-’, Outlook Stable[EB/OL]. 2024.</w:t>
      </w:r>
      <w:r>
        <w:t xml:space="preserve"> </w:t>
      </w:r>
      <w:r>
        <w:t xml:space="preserve">[57] Fitch Ratings. Fitch Rates Jiulongjiang Group Green Bond Issue ‘BBB-(EXP)’[EB/OL]. 2025.</w:t>
      </w:r>
      <w:r>
        <w:t xml:space="preserve"> </w:t>
      </w:r>
      <w:r>
        <w:t xml:space="preserve">[58] S&amp;P Global Ratings. Jiulongjiang Group Proposed Senior Unsecured Notes Rated ‘BBB-’[EB/OL]. 2025.</w:t>
      </w:r>
      <w:r>
        <w:t xml:space="preserve"> </w:t>
      </w:r>
      <w:r>
        <w:t xml:space="preserve">[59] </w:t>
      </w:r>
      <w:r>
        <w:rPr>
          <w:rFonts w:hint="eastAsia"/>
        </w:rPr>
        <w:t xml:space="preserve">邱海峰.</w:t>
      </w:r>
      <w:r>
        <w:t xml:space="preserve"> </w:t>
      </w:r>
      <w:r>
        <w:rPr>
          <w:rFonts w:hint="eastAsia"/>
        </w:rPr>
        <w:t xml:space="preserve">中国外债规模适中[N].</w:t>
      </w:r>
      <w:r>
        <w:t xml:space="preserve"> </w:t>
      </w:r>
      <w:r>
        <w:rPr>
          <w:rFonts w:hint="eastAsia"/>
        </w:rPr>
        <w:t xml:space="preserve">人民日报海外版,</w:t>
      </w:r>
      <w:r>
        <w:t xml:space="preserve"> 2022-04-05(006).</w:t>
      </w:r>
      <w:r>
        <w:t xml:space="preserve"> </w:t>
      </w:r>
      <w:r>
        <w:t xml:space="preserve">[60] </w:t>
      </w:r>
      <w:r>
        <w:rPr>
          <w:rFonts w:hint="eastAsia"/>
        </w:rPr>
        <w:t xml:space="preserve">中信集团在东京市场发行日元债券相关资料[EB/OL].</w:t>
      </w:r>
      <w:r>
        <w:t xml:space="preserve"> </w:t>
      </w:r>
      <w:r>
        <w:rPr>
          <w:rFonts w:hint="eastAsia"/>
        </w:rPr>
        <w:t xml:space="preserve">第一财经研究院,</w:t>
      </w:r>
      <w:r>
        <w:t xml:space="preserve"> 2023.</w:t>
      </w:r>
    </w:p>
    <w:bookmarkEnd w:id="58"/>
    <w:bookmarkStart w:id="61" w:name="附录"/>
    <w:p>
      <w:pPr>
        <w:pStyle w:val="Heading2"/>
      </w:pPr>
      <w:r>
        <w:rPr>
          <w:rFonts w:hint="eastAsia"/>
        </w:rPr>
        <w:t xml:space="preserve">附录</w:t>
      </w:r>
    </w:p>
    <w:bookmarkStart w:id="59" w:name="附录一-九龙江集团财务报表摘要"/>
    <w:p>
      <w:pPr>
        <w:pStyle w:val="Heading3"/>
      </w:pPr>
      <w:r>
        <w:rPr>
          <w:rFonts w:hint="eastAsia"/>
        </w:rPr>
        <w:t xml:space="preserve">附录一</w:t>
      </w:r>
      <w:r>
        <w:t xml:space="preserve"> </w:t>
      </w:r>
      <w:r>
        <w:rPr>
          <w:rFonts w:hint="eastAsia"/>
        </w:rPr>
        <w:t xml:space="preserve">九龙江集团财务报表摘要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jc w:val="right"/>
            </w:pPr>
            <w:r>
              <w:rPr>
                <w:rFonts w:hint="eastAsia"/>
              </w:rPr>
              <w:t xml:space="preserve">2023年</w:t>
            </w:r>
          </w:p>
        </w:tc>
        <w:tc>
          <w:tcPr/>
          <w:p>
            <w:pPr>
              <w:pStyle w:val="Compact"/>
              <w:jc w:val="right"/>
            </w:pPr>
            <w:r>
              <w:rPr>
                <w:rFonts w:hint="eastAsia"/>
              </w:rPr>
              <w:t xml:space="preserve">2024年</w:t>
            </w:r>
          </w:p>
        </w:tc>
      </w:tr>
      <w:tr>
        <w:tc>
          <w:tcPr/>
          <w:p>
            <w:pPr>
              <w:pStyle w:val="Compact"/>
            </w:pPr>
            <w:r>
              <w:rPr>
                <w:rFonts w:hint="eastAsia"/>
              </w:rPr>
              <w:t xml:space="preserve">总资产（亿元）</w:t>
            </w:r>
          </w:p>
        </w:tc>
        <w:tc>
          <w:tcPr/>
          <w:p>
            <w:pPr>
              <w:pStyle w:val="Compact"/>
              <w:jc w:val="right"/>
            </w:pPr>
            <w:r>
              <w:t xml:space="preserve">1245.99</w:t>
            </w:r>
          </w:p>
        </w:tc>
        <w:tc>
          <w:tcPr/>
          <w:p>
            <w:pPr>
              <w:pStyle w:val="Compact"/>
              <w:jc w:val="right"/>
            </w:pPr>
            <w:r>
              <w:t xml:space="preserve">1389.40</w:t>
            </w:r>
          </w:p>
        </w:tc>
      </w:tr>
      <w:tr>
        <w:tc>
          <w:tcPr/>
          <w:p>
            <w:pPr>
              <w:pStyle w:val="Compact"/>
            </w:pPr>
            <w:r>
              <w:rPr>
                <w:rFonts w:hint="eastAsia"/>
              </w:rPr>
              <w:t xml:space="preserve">总负债（亿元）</w:t>
            </w:r>
          </w:p>
        </w:tc>
        <w:tc>
          <w:tcPr/>
          <w:p>
            <w:pPr>
              <w:pStyle w:val="Compact"/>
              <w:jc w:val="right"/>
            </w:pPr>
            <w:r>
              <w:t xml:space="preserve">855.87</w:t>
            </w:r>
          </w:p>
        </w:tc>
        <w:tc>
          <w:tcPr/>
          <w:p>
            <w:pPr>
              <w:pStyle w:val="Compact"/>
              <w:jc w:val="right"/>
            </w:pPr>
            <w:r>
              <w:t xml:space="preserve">956.46</w:t>
            </w:r>
          </w:p>
        </w:tc>
      </w:tr>
      <w:tr>
        <w:tc>
          <w:tcPr/>
          <w:p>
            <w:pPr>
              <w:pStyle w:val="Compact"/>
            </w:pPr>
            <w:r>
              <w:rPr>
                <w:rFonts w:hint="eastAsia"/>
              </w:rPr>
              <w:t xml:space="preserve">所有者权益（亿元）</w:t>
            </w:r>
          </w:p>
        </w:tc>
        <w:tc>
          <w:tcPr/>
          <w:p>
            <w:pPr>
              <w:pStyle w:val="Compact"/>
              <w:jc w:val="right"/>
            </w:pPr>
            <w:r>
              <w:t xml:space="preserve">390.12</w:t>
            </w:r>
          </w:p>
        </w:tc>
        <w:tc>
          <w:tcPr/>
          <w:p>
            <w:pPr>
              <w:pStyle w:val="Compact"/>
              <w:jc w:val="right"/>
            </w:pPr>
            <w:r>
              <w:t xml:space="preserve">432.95</w:t>
            </w:r>
          </w:p>
        </w:tc>
      </w:tr>
      <w:tr>
        <w:tc>
          <w:tcPr/>
          <w:p>
            <w:pPr>
              <w:pStyle w:val="Compact"/>
            </w:pPr>
            <w:r>
              <w:rPr>
                <w:rFonts w:hint="eastAsia"/>
              </w:rPr>
              <w:t xml:space="preserve">营业总收入（亿元）</w:t>
            </w:r>
          </w:p>
        </w:tc>
        <w:tc>
          <w:tcPr/>
          <w:p>
            <w:pPr>
              <w:pStyle w:val="Compact"/>
              <w:jc w:val="right"/>
            </w:pPr>
            <w:r>
              <w:t xml:space="preserve">536.74</w:t>
            </w:r>
          </w:p>
        </w:tc>
        <w:tc>
          <w:tcPr/>
          <w:p>
            <w:pPr>
              <w:pStyle w:val="Compact"/>
              <w:jc w:val="right"/>
            </w:pPr>
            <w:r>
              <w:t xml:space="preserve">763.82</w:t>
            </w:r>
          </w:p>
        </w:tc>
      </w:tr>
      <w:tr>
        <w:tc>
          <w:tcPr/>
          <w:p>
            <w:pPr>
              <w:pStyle w:val="Compact"/>
            </w:pPr>
            <w:r>
              <w:rPr>
                <w:rFonts w:hint="eastAsia"/>
              </w:rPr>
              <w:t xml:space="preserve">利润总额（亿元）</w:t>
            </w:r>
          </w:p>
        </w:tc>
        <w:tc>
          <w:tcPr/>
          <w:p>
            <w:pPr>
              <w:pStyle w:val="Compact"/>
              <w:jc w:val="right"/>
            </w:pPr>
            <w:r>
              <w:t xml:space="preserve">34.30</w:t>
            </w:r>
          </w:p>
        </w:tc>
        <w:tc>
          <w:tcPr/>
          <w:p>
            <w:pPr>
              <w:pStyle w:val="Compact"/>
              <w:jc w:val="right"/>
            </w:pPr>
            <w:r>
              <w:t xml:space="preserve">40.54</w:t>
            </w:r>
          </w:p>
        </w:tc>
      </w:tr>
      <w:tr>
        <w:tc>
          <w:tcPr/>
          <w:p>
            <w:pPr>
              <w:pStyle w:val="Compact"/>
            </w:pPr>
            <w:r>
              <w:rPr>
                <w:rFonts w:hint="eastAsia"/>
              </w:rPr>
              <w:t xml:space="preserve">货币资金（亿元）</w:t>
            </w:r>
          </w:p>
        </w:tc>
        <w:tc>
          <w:tcPr/>
          <w:p>
            <w:pPr>
              <w:pStyle w:val="Compact"/>
              <w:jc w:val="right"/>
            </w:pPr>
            <w:r>
              <w:t xml:space="preserve">104.62</w:t>
            </w:r>
          </w:p>
        </w:tc>
        <w:tc>
          <w:tcPr/>
          <w:p>
            <w:pPr>
              <w:pStyle w:val="Compact"/>
              <w:jc w:val="right"/>
            </w:pPr>
            <w:r>
              <w:t xml:space="preserve">114.64</w:t>
            </w:r>
          </w:p>
        </w:tc>
      </w:tr>
    </w:tbl>
    <w:bookmarkEnd w:id="59"/>
    <w:bookmarkStart w:id="60" w:name="附录二-九龙江集团境外债融资风险识别要点"/>
    <w:p>
      <w:pPr>
        <w:pStyle w:val="Heading3"/>
      </w:pPr>
      <w:r>
        <w:rPr>
          <w:rFonts w:hint="eastAsia"/>
        </w:rPr>
        <w:t xml:space="preserve">附录二</w:t>
      </w:r>
      <w:r>
        <w:t xml:space="preserve"> </w:t>
      </w:r>
      <w:r>
        <w:rPr>
          <w:rFonts w:hint="eastAsia"/>
        </w:rPr>
        <w:t xml:space="preserve">九龙江集团境外债融资风险识别要点</w:t>
      </w:r>
    </w:p>
    <w:p>
      <w:pPr>
        <w:pStyle w:val="Compact"/>
        <w:numPr>
          <w:ilvl w:val="0"/>
          <w:numId w:val="1013"/>
        </w:numPr>
      </w:pPr>
      <w:r>
        <w:rPr>
          <w:rFonts w:hint="eastAsia"/>
        </w:rPr>
        <w:t xml:space="preserve">是否存在与美元债规模相匹配的外币经营现金流。</w:t>
      </w:r>
    </w:p>
    <w:p>
      <w:pPr>
        <w:pStyle w:val="Compact"/>
        <w:numPr>
          <w:ilvl w:val="0"/>
          <w:numId w:val="1013"/>
        </w:numPr>
      </w:pPr>
      <w:r>
        <w:rPr>
          <w:rFonts w:hint="eastAsia"/>
        </w:rPr>
        <w:t xml:space="preserve">是否建立滚动套保机制及明确的套保授权。</w:t>
      </w:r>
    </w:p>
    <w:p>
      <w:pPr>
        <w:pStyle w:val="Compact"/>
        <w:numPr>
          <w:ilvl w:val="0"/>
          <w:numId w:val="1013"/>
        </w:numPr>
      </w:pPr>
      <w:r>
        <w:rPr>
          <w:rFonts w:hint="eastAsia"/>
        </w:rPr>
        <w:t xml:space="preserve">是否拥有境内外双渠道备用流动性安排。</w:t>
      </w:r>
    </w:p>
    <w:p>
      <w:pPr>
        <w:pStyle w:val="Compact"/>
        <w:numPr>
          <w:ilvl w:val="0"/>
          <w:numId w:val="1013"/>
        </w:numPr>
      </w:pPr>
      <w:r>
        <w:rPr>
          <w:rFonts w:hint="eastAsia"/>
        </w:rPr>
        <w:t xml:space="preserve">借新还旧比例是否过高，是否出现到期集中。</w:t>
      </w:r>
    </w:p>
    <w:p>
      <w:pPr>
        <w:pStyle w:val="Compact"/>
        <w:numPr>
          <w:ilvl w:val="0"/>
          <w:numId w:val="1013"/>
        </w:numPr>
      </w:pPr>
      <w:r>
        <w:rPr>
          <w:rFonts w:hint="eastAsia"/>
        </w:rPr>
        <w:t xml:space="preserve">募集资金用途是否与审核登记口径一致，是否留存可穿透核验台账。</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2026-03-09T14:34:07Z</dcterms:created>
  <dcterms:modified xsi:type="dcterms:W3CDTF">2026-03-09T14:34:07Z</dcterms:modified>
</cp:coreProperties>
</file>

<file path=docProps/custom.xml><?xml version="1.0" encoding="utf-8"?>
<Properties xmlns="http://schemas.openxmlformats.org/officeDocument/2006/custom-properties" xmlns:vt="http://schemas.openxmlformats.org/officeDocument/2006/docPropsVTypes"/>
</file>