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37CB8">
      <w:pPr>
        <w:pStyle w:val="2"/>
        <w:rPr>
          <w:rFonts w:ascii="Times New Roman" w:hAnsi="Times New Roman" w:eastAsia="华文宋体"/>
        </w:rPr>
      </w:pPr>
      <w:bookmarkStart w:id="0" w:name="美联储货币政策影响下中资企业境外债券融资动机和风险研究以九龙江集团为例"/>
      <w:r>
        <w:rPr>
          <w:rFonts w:hint="eastAsia" w:ascii="Times New Roman" w:hAnsi="Times New Roman" w:eastAsia="华文宋体"/>
        </w:rPr>
        <w:t>美联储货币政策影响下中资企业境外债券融资动机和风险研究：以九龙江集团为例</w:t>
      </w:r>
    </w:p>
    <w:p w14:paraId="6158428C">
      <w:pPr>
        <w:pStyle w:val="4"/>
        <w:rPr>
          <w:rFonts w:ascii="Times New Roman" w:hAnsi="Times New Roman" w:eastAsia="华文宋体"/>
        </w:rPr>
      </w:pPr>
      <w:bookmarkStart w:id="1" w:name="摘要"/>
      <w:r>
        <w:rPr>
          <w:rFonts w:hint="eastAsia" w:ascii="Times New Roman" w:hAnsi="Times New Roman" w:eastAsia="华文宋体"/>
        </w:rPr>
        <w:t>摘要</w:t>
      </w:r>
    </w:p>
    <w:p w14:paraId="6E31F31C">
      <w:pPr>
        <w:pStyle w:val="23"/>
        <w:rPr>
          <w:rFonts w:ascii="Times New Roman" w:hAnsi="Times New Roman" w:eastAsia="华文宋体"/>
        </w:rPr>
      </w:pPr>
      <w:r>
        <w:rPr>
          <w:rFonts w:hint="eastAsia" w:ascii="Times New Roman" w:hAnsi="Times New Roman" w:eastAsia="华文宋体"/>
        </w:rPr>
        <w:t>2008年国际金融危机爆发后，美联储先后实施零利率政策和多轮量化宽松，通过大规模资产购买压低美国国债收益率并释放美元流动性，全球融资环境由此进入长期低利率阶段。对于中资企业而言，这一阶段不仅意味着境外债券融资基准利率显著下降，也意味着离岸美元市场投资者风险偏好上升、信用利差压缩以及发行窗口增多。在国内经济转型升级、“走出去”战略、产业国际化和资本项目渐进开放等多重因素推动下，中资企业境外债券融资快速发展，发行主体由最初的政策性机构和大型央企逐渐扩展至房地产企业、地方国企、城投平台、制造业龙头以及红筹企业。2022年3月起，美联储为应对高通胀启动新一轮快速加息，并于2023年7月将联邦基金目标利率上调至5.25%-5.50%，叠加美元指数走强、全球避险情绪升温和中资美元债信用分层加剧，中资企业境外债券融资从“成本优势突出、供给快速扩张”的阶段转入“发行难度上升、风险约束强化、结构明显分化”的新阶段。</w:t>
      </w:r>
    </w:p>
    <w:p w14:paraId="5652860A">
      <w:pPr>
        <w:pStyle w:val="3"/>
        <w:rPr>
          <w:rFonts w:ascii="Times New Roman" w:hAnsi="Times New Roman" w:eastAsia="华文宋体"/>
        </w:rPr>
      </w:pPr>
      <w:r>
        <w:rPr>
          <w:rFonts w:hint="eastAsia" w:ascii="Times New Roman" w:hAnsi="Times New Roman" w:eastAsia="华文宋体"/>
        </w:rPr>
        <w:t>本文以“中资企业为何选择境外发债”“在美联储货币政策紧缩背景下面临哪些风险”“企业与监管部门应如何防范相关风险”为核心研究问题，采用文献分析、政策文本分析、市场比较分析与案例研究相结合的方法展开。首先，系统梳理外币债务融资动机、外汇风险管理、国际金融周期与企业外债行为、外债结构与系统性风险等方面的国内外文献；其次，从发行模式、市场发展历程、行业结构、期限结构、融资成本与资金回流路径等维度，对中资企业境外债券融资现状进行整体分析；最后，选取漳州市九龙江集团有限公司作为案例企业，结合其公开年报、债券募集说明书、跟踪评级报告及国际评级公告，对其境外债券融资动机、发债流程、风险暴露、管理措施及政策启示进行深入讨论。</w:t>
      </w:r>
    </w:p>
    <w:p w14:paraId="48B774BD">
      <w:pPr>
        <w:pStyle w:val="3"/>
        <w:rPr>
          <w:rFonts w:ascii="Times New Roman" w:hAnsi="Times New Roman" w:eastAsia="华文宋体"/>
        </w:rPr>
      </w:pPr>
      <w:r>
        <w:rPr>
          <w:rFonts w:hint="eastAsia" w:ascii="Times New Roman" w:hAnsi="Times New Roman" w:eastAsia="华文宋体"/>
        </w:rPr>
        <w:t>研究发现：第一，中资企业境外发债的动机并不局限于追求低成本，而是外币资金需求、期限结构优化、国际信用培育、资本运作安排、境内外政策环境和市场窗口共同作用的结果。第二，在美联储加息周期中，企业境外债面临的主要风险包括利率风险、汇率风险、再融资风险、政策合规风险、流动性风险与声誉风险，其中“人民币资产+美元负债”的货币错配是风险放大的关键机制。第三，九龙江集团作为地方国有资本投资平台，其境外发债更具战略融资和信用建设属性，成功进入国际债券市场有助于完善融资结构、形成国际信用曲线、支持产业国际化布局，但其风险管理成效高度依赖于外币收入匹配、对冲工具运用、到期结构安排与境内外联动流动性储备。第四，监管部门应在宏观审慎框架下加强外债用途穿透监管和跨境资金流监测，引导企业坚持风险中性，防止行业性违约和汇率冲击向国内金融体系传导。基于上述结论，本文从企业和监管两个层面提出完善融资决策、优化套期保值、加强信息披露、健全分类监管与风险预警机制等建议。</w:t>
      </w:r>
    </w:p>
    <w:p w14:paraId="1A29BBA4">
      <w:pPr>
        <w:pStyle w:val="3"/>
        <w:rPr>
          <w:rFonts w:ascii="Times New Roman" w:hAnsi="Times New Roman" w:eastAsia="华文宋体"/>
        </w:rPr>
      </w:pPr>
      <w:r>
        <w:rPr>
          <w:rFonts w:hint="eastAsia" w:ascii="Times New Roman" w:hAnsi="Times New Roman" w:eastAsia="华文宋体"/>
          <w:b/>
          <w:bCs/>
        </w:rPr>
        <w:t>关键词</w:t>
      </w:r>
      <w:r>
        <w:rPr>
          <w:rFonts w:hint="eastAsia" w:ascii="Times New Roman" w:hAnsi="Times New Roman" w:eastAsia="华文宋体"/>
        </w:rPr>
        <w:t>：美联储货币政策；中资企业；境外债券融资；美元债；九龙江集团；外汇风险；宏观审慎管理</w:t>
      </w:r>
    </w:p>
    <w:bookmarkEnd w:id="1"/>
    <w:p w14:paraId="2D14BFC9">
      <w:pPr>
        <w:pStyle w:val="4"/>
        <w:rPr>
          <w:rFonts w:ascii="Times New Roman" w:hAnsi="Times New Roman" w:eastAsia="华文宋体"/>
        </w:rPr>
      </w:pPr>
      <w:bookmarkStart w:id="2" w:name="一绪论"/>
      <w:r>
        <w:rPr>
          <w:rFonts w:hint="eastAsia" w:ascii="Times New Roman" w:hAnsi="Times New Roman" w:eastAsia="华文宋体"/>
        </w:rPr>
        <w:t>一、绪论</w:t>
      </w:r>
    </w:p>
    <w:p w14:paraId="002D6D84">
      <w:pPr>
        <w:pStyle w:val="5"/>
        <w:rPr>
          <w:rFonts w:ascii="Times New Roman" w:hAnsi="Times New Roman" w:eastAsia="华文宋体"/>
        </w:rPr>
      </w:pPr>
      <w:bookmarkStart w:id="3" w:name="一研究背景"/>
      <w:r>
        <w:rPr>
          <w:rFonts w:hint="eastAsia" w:ascii="Times New Roman" w:hAnsi="Times New Roman" w:eastAsia="华文宋体"/>
        </w:rPr>
        <w:t>（一）研究背景</w:t>
      </w:r>
    </w:p>
    <w:p w14:paraId="346BDA44">
      <w:pPr>
        <w:pStyle w:val="6"/>
        <w:rPr>
          <w:rFonts w:ascii="Times New Roman" w:hAnsi="Times New Roman" w:eastAsia="华文宋体"/>
        </w:rPr>
      </w:pPr>
      <w:bookmarkStart w:id="4" w:name="美联储货币政策周期变化重塑全球融资环境"/>
      <w:r>
        <w:rPr>
          <w:rFonts w:ascii="Times New Roman" w:hAnsi="Times New Roman" w:eastAsia="华文宋体"/>
        </w:rPr>
        <w:t xml:space="preserve">1. </w:t>
      </w:r>
      <w:r>
        <w:rPr>
          <w:rFonts w:hint="eastAsia" w:ascii="Times New Roman" w:hAnsi="Times New Roman" w:eastAsia="华文宋体"/>
        </w:rPr>
        <w:t>美联储货币政策周期变化重塑全球融资环境</w:t>
      </w:r>
    </w:p>
    <w:p w14:paraId="76474394">
      <w:pPr>
        <w:pStyle w:val="23"/>
        <w:rPr>
          <w:rFonts w:ascii="Times New Roman" w:hAnsi="Times New Roman" w:eastAsia="华文宋体"/>
        </w:rPr>
      </w:pPr>
      <w:r>
        <w:rPr>
          <w:rFonts w:hint="eastAsia" w:ascii="Times New Roman" w:hAnsi="Times New Roman" w:eastAsia="华文宋体"/>
        </w:rPr>
        <w:t>2008年国际金融危机后，美国金融体系遭受重大冲击，房地产市场调整、信贷收缩与实体经济下滑相互叠加。为稳定金融体系并修复总需求，美联储在传统降息空间迅速耗尽后，转向非常规货币政策工具，实施零利率与多轮量化宽松。2008年12月，美国联邦基金利率目标区间降至0-0.25%；其后，美联储依次实施QE1、QE2与QE3，通过购买国债和机构抵押贷款支持证券压低长期利率，显著提高全球美元流动性供给。对新兴市场企业而言，这一轮宽松政策的外溢效应十分明显：一方面，美国国债收益率下降推低了国际债券定价基准；另一方面，国际投资者在“收益率饥渴”驱动下提高对新兴市场信用资产的配置比例，带动美元债、离岸债与跨境银团融资迅速增长。</w:t>
      </w:r>
    </w:p>
    <w:p w14:paraId="35C0DA32">
      <w:pPr>
        <w:pStyle w:val="3"/>
        <w:rPr>
          <w:rFonts w:ascii="Times New Roman" w:hAnsi="Times New Roman" w:eastAsia="华文宋体"/>
        </w:rPr>
      </w:pPr>
      <w:r>
        <w:rPr>
          <w:rFonts w:hint="eastAsia" w:ascii="Times New Roman" w:hAnsi="Times New Roman" w:eastAsia="华文宋体"/>
        </w:rPr>
        <w:t>在这一时期，中国经济持续增长，外汇储备充足，人民币汇率总体呈现升值预期或双向偏强格局，叠加国内实体企业和地方国企在基础设施、地产开发、制造升级与海外并购中的旺盛融资需求，境外债券融资逐渐从补充性工具演变为重要融资渠道。一些企业通过境外子公司或特殊目的载体（SPV）发行美元债，再通过合规路径将资金用于境外项目、债务置换或符合监管要求的境内用途。尤其在2010年前后至2021年之间，随着离岸人民币市场、香港国际债券市场和亚洲美元债投资者群体快速扩张，中资企业境外发债市场进入高增长阶段。</w:t>
      </w:r>
    </w:p>
    <w:p w14:paraId="34315432">
      <w:pPr>
        <w:pStyle w:val="3"/>
        <w:rPr>
          <w:rFonts w:ascii="Times New Roman" w:hAnsi="Times New Roman" w:eastAsia="华文宋体"/>
        </w:rPr>
      </w:pPr>
      <w:r>
        <w:rPr>
          <w:rFonts w:hint="eastAsia" w:ascii="Times New Roman" w:hAnsi="Times New Roman" w:eastAsia="华文宋体"/>
        </w:rPr>
        <w:t>然而，美联储货币政策并非长期单向宽松。2015年至2018年，美联储曾经历上一轮渐进式加息与缩表；2020年疫情爆发后，又重新回到零利率和超宽松流动性状态。2022年3月16日，为应对美国国内高通胀，美联储再次进入货币紧缩通道，并在2022年内连续多次加息，随后于2023年7月26日将联邦基金利率目标区间提高至5.25%-5.50%。这一轮加息幅度大、节奏快、持续时间长，既抬升了中资企业境外债的基准利率，也改变了国际投资者对新兴市场信用资产的风险偏好。高利率环境下，企业境外债不再天然对应“便宜资金”，而是逐渐暴露出利率、汇率与再融资的复合风险。</w:t>
      </w:r>
    </w:p>
    <w:bookmarkEnd w:id="4"/>
    <w:p w14:paraId="798546A1">
      <w:pPr>
        <w:pStyle w:val="6"/>
        <w:rPr>
          <w:rFonts w:ascii="Times New Roman" w:hAnsi="Times New Roman" w:eastAsia="华文宋体"/>
        </w:rPr>
      </w:pPr>
      <w:bookmarkStart w:id="5" w:name="中资企业境外发债由快速扩张走向结构分化"/>
      <w:r>
        <w:rPr>
          <w:rFonts w:ascii="Times New Roman" w:hAnsi="Times New Roman" w:eastAsia="华文宋体"/>
        </w:rPr>
        <w:t xml:space="preserve">2. </w:t>
      </w:r>
      <w:r>
        <w:rPr>
          <w:rFonts w:hint="eastAsia" w:ascii="Times New Roman" w:hAnsi="Times New Roman" w:eastAsia="华文宋体"/>
        </w:rPr>
        <w:t>中资企业境外发债由快速扩张走向结构分化</w:t>
      </w:r>
    </w:p>
    <w:p w14:paraId="110844FA">
      <w:pPr>
        <w:pStyle w:val="23"/>
        <w:rPr>
          <w:rFonts w:ascii="Times New Roman" w:hAnsi="Times New Roman" w:eastAsia="华文宋体"/>
        </w:rPr>
      </w:pPr>
      <w:r>
        <w:rPr>
          <w:rFonts w:hint="eastAsia" w:ascii="Times New Roman" w:hAnsi="Times New Roman" w:eastAsia="华文宋体"/>
        </w:rPr>
        <w:t>中资企业境外债券融资市场的演进与中国经济发展阶段、金融开放进程和监管制度变迁密切相关。20世纪80年代至本世纪初，中资主体境外发债主要由政策性机构、金融机构和大型央企主导，规模相对有限，更多体现为国际资本市场试水。2001年中国加入世界贸易组织后，企业“走出去”步伐明显加快，离岸金融中心对中资主体的融资支持不断增强。2008年国际金融危机后，美国与全球主要经济体持续宽松，客观上降低了中资企业外币融资成本。至2015年前后，房地产企业、地方国企、城投平台以及部分民营龙头企业纷纷进入美元债市场，形成以香港、新加坡等离岸市场为核心的中资境外债生态。</w:t>
      </w:r>
    </w:p>
    <w:p w14:paraId="331A2BB9">
      <w:pPr>
        <w:pStyle w:val="3"/>
        <w:rPr>
          <w:rFonts w:ascii="Times New Roman" w:hAnsi="Times New Roman" w:eastAsia="华文宋体"/>
        </w:rPr>
      </w:pPr>
      <w:r>
        <w:rPr>
          <w:rFonts w:hint="eastAsia" w:ascii="Times New Roman" w:hAnsi="Times New Roman" w:eastAsia="华文宋体"/>
        </w:rPr>
        <w:t>在快速扩张阶段，中资企业境外发债的优势主要表现为：其一，债券期限通常长于银行短贷和部分非标融资，有助于企业优化久期结构；其二，在利率较低、人民币稳定或偏强时，美元债综合成本在部分时期低于境内非标融资和高成本借款；其三，境外债募集资金在符合政策条件下可支持海外并购、境外项目建设、跨境供应链运营及借新还旧等安排；其四，国际债券发行有助于企业接受国际投资者定价、形成境外信用曲线并提升品牌影响力。</w:t>
      </w:r>
    </w:p>
    <w:p w14:paraId="070F01A1">
      <w:pPr>
        <w:pStyle w:val="3"/>
        <w:rPr>
          <w:rFonts w:ascii="Times New Roman" w:hAnsi="Times New Roman" w:eastAsia="华文宋体"/>
        </w:rPr>
      </w:pPr>
      <w:r>
        <w:rPr>
          <w:rFonts w:hint="eastAsia" w:ascii="Times New Roman" w:hAnsi="Times New Roman" w:eastAsia="华文宋体"/>
        </w:rPr>
        <w:t>但自2021年以来，尤其是2022年后，中资境外债市场内部出现显著分化。一方面，房地产行业美元债违约潮集中爆发，投资者对中资高收益债的容忍度明显下降，市场风险定价快速重估。另一方面，具备较强信用资质、产业基础稳固、现金流相对稳定的央国企、地方国企和优质制造业主体仍能够在适当窗口完成发行，但定价显著高于量化宽松时期，且投资者更关注信息披露质量、资金用途合规性与再融资安排。换言之，中资企业境外发债市场已经从“普遍可用”的阶段转向“资质分层、行业分层和用途分层”的阶段。</w:t>
      </w:r>
    </w:p>
    <w:bookmarkEnd w:id="5"/>
    <w:p w14:paraId="3BFD9E28">
      <w:pPr>
        <w:pStyle w:val="6"/>
        <w:rPr>
          <w:rFonts w:ascii="Times New Roman" w:hAnsi="Times New Roman" w:eastAsia="华文宋体"/>
        </w:rPr>
      </w:pPr>
      <w:bookmarkStart w:id="6" w:name="国内监管制度演变改变了企业跨境融资约束条件"/>
      <w:r>
        <w:rPr>
          <w:rFonts w:ascii="Times New Roman" w:hAnsi="Times New Roman" w:eastAsia="华文宋体"/>
        </w:rPr>
        <w:t xml:space="preserve">3. </w:t>
      </w:r>
      <w:r>
        <w:rPr>
          <w:rFonts w:hint="eastAsia" w:ascii="Times New Roman" w:hAnsi="Times New Roman" w:eastAsia="华文宋体"/>
        </w:rPr>
        <w:t>国内监管制度演变改变了企业跨境融资约束条件</w:t>
      </w:r>
    </w:p>
    <w:p w14:paraId="2D926C7C">
      <w:pPr>
        <w:pStyle w:val="23"/>
        <w:rPr>
          <w:rFonts w:ascii="Times New Roman" w:hAnsi="Times New Roman" w:eastAsia="华文宋体"/>
        </w:rPr>
      </w:pPr>
      <w:r>
        <w:rPr>
          <w:rFonts w:hint="eastAsia" w:ascii="Times New Roman" w:hAnsi="Times New Roman" w:eastAsia="华文宋体"/>
        </w:rPr>
        <w:t>中资企业境外发债不仅受国际市场环境影响，也受到国内跨境融资制度和资本项目管理规则的深刻影响。早期外债管理强调总量控制和审批管理，企业借用中长期外债需经过较为严格的行政审批。2015年，国家发展改革委发布《关于推进企业发行外债备案登记制管理改革的通知》（发改外资〔2015〕2044号），将企业借用中长期外债由审批制转为备案登记制，显著提升了制度透明度和企业融资便利度，成为中资企业境外发债市场快速发展的重要制度拐点。</w:t>
      </w:r>
    </w:p>
    <w:p w14:paraId="2795466C">
      <w:pPr>
        <w:pStyle w:val="3"/>
        <w:rPr>
          <w:rFonts w:ascii="Times New Roman" w:hAnsi="Times New Roman" w:eastAsia="华文宋体"/>
        </w:rPr>
      </w:pPr>
      <w:r>
        <w:rPr>
          <w:rFonts w:hint="eastAsia" w:ascii="Times New Roman" w:hAnsi="Times New Roman" w:eastAsia="华文宋体"/>
        </w:rPr>
        <w:t>2016年起，人民银行在全国范围内推进全口径跨境融资宏观审慎管理框架，将境内机构跨境融资统一纳入宏观审慎参数约束之下，使企业能够在本外币、境内外融资渠道之间进行更加综合的筹划。2020年，为应对疫情冲击、稳定经济和支持企业复工复产，人民银行与国家外汇管理局将跨境融资宏观审慎调节参数阶段性提高至1.25，相当于在一定时期内扩大了企业跨境融资空间。与此同时，外债便利化试点、跨境融资创新安排和部分自贸区制度探索，也为符合条件的企业提供了更加灵活的跨境资金使用路径。</w:t>
      </w:r>
    </w:p>
    <w:p w14:paraId="17F67FFA">
      <w:pPr>
        <w:pStyle w:val="3"/>
        <w:rPr>
          <w:rFonts w:ascii="Times New Roman" w:hAnsi="Times New Roman" w:eastAsia="华文宋体"/>
        </w:rPr>
      </w:pPr>
      <w:r>
        <w:rPr>
          <w:rFonts w:hint="eastAsia" w:ascii="Times New Roman" w:hAnsi="Times New Roman" w:eastAsia="华文宋体"/>
        </w:rPr>
        <w:t>进入2023年后，监管框架进一步从“便利化扩容”转向“便利与规范并重”。《企业中长期外债审核登记管理办法》明确要求企业说明资金用途、偿债安排、风险控制机制及信息报送义务，并对借新还旧、重大风险事项报送和募集资金合规使用提出更高标准。2024年，国家发展改革委又出台支持优质企业借用中长期外债的相关通知，对优质主体给予审核登记便利，同时继续强化事中事后监管。这表明我国外债监管思路正在从单纯扩大融资规模，转向更加重视资金真实用途、偿债能力、风险隔离和系统稳定。</w:t>
      </w:r>
    </w:p>
    <w:bookmarkEnd w:id="6"/>
    <w:p w14:paraId="519E82AA">
      <w:pPr>
        <w:pStyle w:val="6"/>
        <w:rPr>
          <w:rFonts w:ascii="Times New Roman" w:hAnsi="Times New Roman" w:eastAsia="华文宋体"/>
        </w:rPr>
      </w:pPr>
      <w:bookmarkStart w:id="7" w:name="九龙江集团案例具有较强代表性"/>
      <w:r>
        <w:rPr>
          <w:rFonts w:ascii="Times New Roman" w:hAnsi="Times New Roman" w:eastAsia="华文宋体"/>
        </w:rPr>
        <w:t xml:space="preserve">4. </w:t>
      </w:r>
      <w:r>
        <w:rPr>
          <w:rFonts w:hint="eastAsia" w:ascii="Times New Roman" w:hAnsi="Times New Roman" w:eastAsia="华文宋体"/>
        </w:rPr>
        <w:t>九龙江集团案例具有较强代表性</w:t>
      </w:r>
    </w:p>
    <w:p w14:paraId="7B056ECA">
      <w:pPr>
        <w:pStyle w:val="23"/>
        <w:rPr>
          <w:rFonts w:ascii="Times New Roman" w:hAnsi="Times New Roman" w:eastAsia="华文宋体"/>
        </w:rPr>
      </w:pPr>
      <w:r>
        <w:rPr>
          <w:rFonts w:hint="eastAsia" w:ascii="Times New Roman" w:hAnsi="Times New Roman" w:eastAsia="华文宋体"/>
        </w:rPr>
        <w:t>漳州市九龙江集团有限公司是漳州市国资委控制的重要国有资本投资平台，兼具产业经营、资本运营与区域资源整合功能，旗下拥有片仔癀、龙溪股份等上市公司股权，业务涵盖医药大健康、先进制造、供应链、城市开发、产业投资等多个领域。与单一地产企业或纯融资平台不同，九龙江集团的资产结构和业务结构更为多元，既具备地方国企的信用支持背景，又具有一定产业化和国际化经营基础。因此，将其作为案例，一方面有助于观察地方国资平台如何在美联储货币政策变化下调整境外债融资策略，另一方面也有助于分析境外债在“产业型地方国企”中的真实功能究竟是成本套利、期限管理、资本运作，还是国际信用建设。</w:t>
      </w:r>
    </w:p>
    <w:p w14:paraId="4A5515B4">
      <w:pPr>
        <w:pStyle w:val="3"/>
        <w:rPr>
          <w:rFonts w:ascii="Times New Roman" w:hAnsi="Times New Roman" w:eastAsia="华文宋体"/>
        </w:rPr>
      </w:pPr>
      <w:r>
        <w:rPr>
          <w:rFonts w:hint="eastAsia" w:ascii="Times New Roman" w:hAnsi="Times New Roman" w:eastAsia="华文宋体"/>
        </w:rPr>
        <w:t>更重要的是，九龙江集团的境内外评级差异、境内外融资渠道并存、产业资产与政策属性交织等特征，为研究中资企业境外发债动机与风险提供了较好的分析切口。其案例能够帮助揭示：在国际投资者并不完全采信境内评级和地方政府隐性支持的条件下，地方国企如何通过信息披露、业务结构、财务表现、偿债安排和政策合规性来建立境外信用；在美联储加息和美元强势环境下，这类企业的美元债或其他外币债究竟在多大程度上仍具备融资合理性。</w:t>
      </w:r>
    </w:p>
    <w:bookmarkEnd w:id="3"/>
    <w:bookmarkEnd w:id="7"/>
    <w:p w14:paraId="3397AB01">
      <w:pPr>
        <w:pStyle w:val="5"/>
        <w:rPr>
          <w:rFonts w:ascii="Times New Roman" w:hAnsi="Times New Roman" w:eastAsia="华文宋体"/>
        </w:rPr>
      </w:pPr>
      <w:bookmarkStart w:id="8" w:name="二研究问题"/>
      <w:r>
        <w:rPr>
          <w:rFonts w:hint="eastAsia" w:ascii="Times New Roman" w:hAnsi="Times New Roman" w:eastAsia="华文宋体"/>
        </w:rPr>
        <w:t>（二）研究问题</w:t>
      </w:r>
    </w:p>
    <w:p w14:paraId="28606B02">
      <w:pPr>
        <w:pStyle w:val="23"/>
        <w:rPr>
          <w:rFonts w:ascii="Times New Roman" w:hAnsi="Times New Roman" w:eastAsia="华文宋体"/>
        </w:rPr>
      </w:pPr>
      <w:r>
        <w:rPr>
          <w:rFonts w:hint="eastAsia" w:ascii="Times New Roman" w:hAnsi="Times New Roman" w:eastAsia="华文宋体"/>
        </w:rPr>
        <w:t>围绕上述背景，本文聚焦以下三个层层递进的问题展开研究。第一，中资企业为什么会在境内金融市场已经较为成熟、银行授信和债券市场渠道较为丰富的情况下，仍然持续使用境外债券融资？这一问题涉及企业融资理论、外币债务配置、国际化战略、资本项目约束与境内外市场比较。第二，在美联储紧缩周期中，企业境外债券融资面临哪些主要风险？这些风险是如何从国际利率、汇率和投资者偏好变化传导至企业资产负债表、利润表和现金流量表的？第三，以九龙江集团为例，地方国有企业如何识别自身境外发债的真实动机，如何在信用分层和监管趋严背景下安排发债流程、资金回流、汇率对冲和再融资管理，并如何从中提炼出对企业和监管部门均有价值的启示？</w:t>
      </w:r>
    </w:p>
    <w:bookmarkEnd w:id="8"/>
    <w:p w14:paraId="30ADEBD1">
      <w:pPr>
        <w:pStyle w:val="5"/>
        <w:rPr>
          <w:rFonts w:ascii="Times New Roman" w:hAnsi="Times New Roman" w:eastAsia="华文宋体"/>
        </w:rPr>
      </w:pPr>
      <w:bookmarkStart w:id="9" w:name="三研究意义"/>
      <w:r>
        <w:rPr>
          <w:rFonts w:hint="eastAsia" w:ascii="Times New Roman" w:hAnsi="Times New Roman" w:eastAsia="华文宋体"/>
        </w:rPr>
        <w:t>（三）研究意义</w:t>
      </w:r>
    </w:p>
    <w:p w14:paraId="398E535F">
      <w:pPr>
        <w:pStyle w:val="6"/>
        <w:rPr>
          <w:rFonts w:ascii="Times New Roman" w:hAnsi="Times New Roman" w:eastAsia="华文宋体"/>
        </w:rPr>
      </w:pPr>
      <w:bookmarkStart w:id="10" w:name="理论意义"/>
      <w:r>
        <w:rPr>
          <w:rFonts w:ascii="Times New Roman" w:hAnsi="Times New Roman" w:eastAsia="华文宋体"/>
        </w:rPr>
        <w:t xml:space="preserve">1. </w:t>
      </w:r>
      <w:r>
        <w:rPr>
          <w:rFonts w:hint="eastAsia" w:ascii="Times New Roman" w:hAnsi="Times New Roman" w:eastAsia="华文宋体"/>
        </w:rPr>
        <w:t>理论意义</w:t>
      </w:r>
    </w:p>
    <w:p w14:paraId="048BB82D">
      <w:pPr>
        <w:pStyle w:val="23"/>
        <w:rPr>
          <w:rFonts w:ascii="Times New Roman" w:hAnsi="Times New Roman" w:eastAsia="华文宋体"/>
        </w:rPr>
      </w:pPr>
      <w:r>
        <w:rPr>
          <w:rFonts w:hint="eastAsia" w:ascii="Times New Roman" w:hAnsi="Times New Roman" w:eastAsia="华文宋体"/>
        </w:rPr>
        <w:t>从理论层面看，国内关于外债问题的研究长期以宏观外债规模、国际收支平衡、短期外债占比、金融危机风险为重点，而企业微观层面的外币债务融资动机、期限配置、汇率敞口识别及其治理机制研究相对不足。特别是在中国资本项目并未完全开放、境内外融资制度存在差异、地方政府支持与市场化评级并存的条件下，中资企业境外发债行为无法简单套用传统国际金融理论进行解释。本文通过将国际金融周期理论、企业融资理论、风险管理理论与中国式监管制度背景结合起来，有助于丰富企业层面外币债务研究。</w:t>
      </w:r>
    </w:p>
    <w:bookmarkEnd w:id="10"/>
    <w:p w14:paraId="2A0418E8">
      <w:pPr>
        <w:pStyle w:val="6"/>
        <w:rPr>
          <w:rFonts w:ascii="Times New Roman" w:hAnsi="Times New Roman" w:eastAsia="华文宋体"/>
        </w:rPr>
      </w:pPr>
      <w:bookmarkStart w:id="11" w:name="实践意义"/>
      <w:r>
        <w:rPr>
          <w:rFonts w:ascii="Times New Roman" w:hAnsi="Times New Roman" w:eastAsia="华文宋体"/>
        </w:rPr>
        <w:t xml:space="preserve">2. </w:t>
      </w:r>
      <w:r>
        <w:rPr>
          <w:rFonts w:hint="eastAsia" w:ascii="Times New Roman" w:hAnsi="Times New Roman" w:eastAsia="华文宋体"/>
        </w:rPr>
        <w:t>实践意义</w:t>
      </w:r>
    </w:p>
    <w:p w14:paraId="071792B5">
      <w:pPr>
        <w:pStyle w:val="23"/>
        <w:rPr>
          <w:rFonts w:ascii="Times New Roman" w:hAnsi="Times New Roman" w:eastAsia="华文宋体"/>
        </w:rPr>
      </w:pPr>
      <w:r>
        <w:rPr>
          <w:rFonts w:hint="eastAsia" w:ascii="Times New Roman" w:hAnsi="Times New Roman" w:eastAsia="华文宋体"/>
        </w:rPr>
        <w:t>从实践层面看，境外债券融资已成为一部分中资企业的重要融资工具，但其收益与风险并不对称。低利率时期，许多企业更容易看到票息优势，却忽视对冲成本、再融资依赖和本币贬值带来的折算损失。加息周期到来后，这些原本被遮蔽的风险迅速显性化。本文以九龙江集团为案例，从发债动机、发行流程、资金使用和风险管理四个维度进行拆解，可为类似地方国企、产业集团和跨境经营企业开展境外融资提供可操作的经验参考。</w:t>
      </w:r>
    </w:p>
    <w:bookmarkEnd w:id="11"/>
    <w:p w14:paraId="116D1CD0">
      <w:pPr>
        <w:pStyle w:val="6"/>
        <w:rPr>
          <w:rFonts w:ascii="Times New Roman" w:hAnsi="Times New Roman" w:eastAsia="华文宋体"/>
        </w:rPr>
      </w:pPr>
      <w:bookmarkStart w:id="12" w:name="政策意义"/>
      <w:r>
        <w:rPr>
          <w:rFonts w:ascii="Times New Roman" w:hAnsi="Times New Roman" w:eastAsia="华文宋体"/>
        </w:rPr>
        <w:t xml:space="preserve">3. </w:t>
      </w:r>
      <w:r>
        <w:rPr>
          <w:rFonts w:hint="eastAsia" w:ascii="Times New Roman" w:hAnsi="Times New Roman" w:eastAsia="华文宋体"/>
        </w:rPr>
        <w:t>政策意义</w:t>
      </w:r>
    </w:p>
    <w:p w14:paraId="47C8E53B">
      <w:pPr>
        <w:pStyle w:val="23"/>
        <w:rPr>
          <w:rFonts w:ascii="Times New Roman" w:hAnsi="Times New Roman" w:eastAsia="华文宋体"/>
        </w:rPr>
      </w:pPr>
      <w:r>
        <w:rPr>
          <w:rFonts w:hint="eastAsia" w:ascii="Times New Roman" w:hAnsi="Times New Roman" w:eastAsia="华文宋体"/>
        </w:rPr>
        <w:t>从政策层面看，企业境外债券融资既是扩大高水平开放和提升资源配置效率的重要渠道，也可能在外部冲击下成为跨境风险传导的媒介。尤其在房地产美元债违约、部分行业外债滚续困难和汇率波动加大的背景下，如何在支持优质企业合理利用外资与防止系统性风险之间取得平衡，已经成为宏观审慎管理的重要议题。本文将从监管视角分析外债风险传导链条，并据此提出差异化监管、信息穿透和风险中性导向等建议。</w:t>
      </w:r>
    </w:p>
    <w:bookmarkEnd w:id="9"/>
    <w:bookmarkEnd w:id="12"/>
    <w:p w14:paraId="2E714192">
      <w:pPr>
        <w:pStyle w:val="5"/>
        <w:rPr>
          <w:rFonts w:ascii="Times New Roman" w:hAnsi="Times New Roman" w:eastAsia="华文宋体"/>
        </w:rPr>
      </w:pPr>
      <w:bookmarkStart w:id="13" w:name="四研究思路方法与技术路线"/>
      <w:r>
        <w:rPr>
          <w:rFonts w:hint="eastAsia" w:ascii="Times New Roman" w:hAnsi="Times New Roman" w:eastAsia="华文宋体"/>
        </w:rPr>
        <w:t>（四）研究思路、方法与技术路线</w:t>
      </w:r>
    </w:p>
    <w:p w14:paraId="24384E27">
      <w:pPr>
        <w:pStyle w:val="23"/>
        <w:rPr>
          <w:rFonts w:ascii="Times New Roman" w:hAnsi="Times New Roman" w:eastAsia="华文宋体"/>
        </w:rPr>
      </w:pPr>
      <w:r>
        <w:rPr>
          <w:rFonts w:hint="eastAsia" w:ascii="Times New Roman" w:hAnsi="Times New Roman" w:eastAsia="华文宋体"/>
        </w:rPr>
        <w:t>本文总体遵循“宏观政策与市场环境分析—理论与文献梳理—行业现状分析—典型案例研究—政策启示提炼”的研究路径。具体而言，第一步，梳理2008年以来美联储货币政策变化与中资企业境外发债市场的关系，明确宏观外部环境。第二步，总结外币债务融资动机、汇率风险管理、再融资风险和系统性风险等文献，构建研究框架。第三步，从市场发展历程、发行模式、成本结构和期限结构等维度分析中资企业境外债市场现状。第四步，选取九龙江集团作为案例企业，结合公开披露资料进行深入分析。第五步，在案例基础上提炼企业层面与监管层面的政策建议。</w:t>
      </w:r>
    </w:p>
    <w:p w14:paraId="596CBAC9">
      <w:pPr>
        <w:pStyle w:val="3"/>
        <w:rPr>
          <w:rFonts w:ascii="Times New Roman" w:hAnsi="Times New Roman" w:eastAsia="华文宋体"/>
        </w:rPr>
      </w:pPr>
      <w:r>
        <w:rPr>
          <w:rFonts w:hint="eastAsia" w:ascii="Times New Roman" w:hAnsi="Times New Roman" w:eastAsia="华文宋体"/>
        </w:rPr>
        <w:t>本文主要采用以下研究方法：一是文献分析法，对中外研究成果进行系统梳理；二是政策文本分析法，对发改委、人民银行、外汇管理局等部门的制度安排进行分析；三是比较分析法，对境内外融资工具、利率环境、行业结构与风险特征进行对比；四是案例研究法，以九龙江集团为中心，结合其财务数据、评级信息与债券文件展开微观讨论；五是情景分析法，通过设定汇率和利率变动情景，分析外币债务的本币偿付压力。</w:t>
      </w:r>
    </w:p>
    <w:bookmarkEnd w:id="13"/>
    <w:p w14:paraId="49D1BFBE">
      <w:pPr>
        <w:pStyle w:val="5"/>
        <w:rPr>
          <w:rFonts w:ascii="Times New Roman" w:hAnsi="Times New Roman" w:eastAsia="华文宋体"/>
        </w:rPr>
      </w:pPr>
      <w:bookmarkStart w:id="14" w:name="五研究创新点"/>
      <w:r>
        <w:rPr>
          <w:rFonts w:hint="eastAsia" w:ascii="Times New Roman" w:hAnsi="Times New Roman" w:eastAsia="华文宋体"/>
        </w:rPr>
        <w:t>（五）研究创新点</w:t>
      </w:r>
    </w:p>
    <w:p w14:paraId="177E61B4">
      <w:pPr>
        <w:pStyle w:val="23"/>
        <w:rPr>
          <w:rFonts w:ascii="Times New Roman" w:hAnsi="Times New Roman" w:eastAsia="华文宋体"/>
        </w:rPr>
      </w:pPr>
      <w:r>
        <w:rPr>
          <w:rFonts w:hint="eastAsia" w:ascii="Times New Roman" w:hAnsi="Times New Roman" w:eastAsia="华文宋体"/>
        </w:rPr>
        <w:t>与现有研究相比，本文的创新主要体现在以下三个方面。第一，研究对象上，本文选取地方国有资本投资平台九龙江集团作为案例，区别于已有研究中对房地产企业和民营企业的高度集中，有助于补充产业型地方国企境外发债研究。第二，研究视角上，本文将美联储货币政策周期与企业境外发债动机、风险管理放在同一分析框架下，不仅讨论“为什么发”，也讨论“何时发、怎么发、如何管”。第三，研究结论上，本文强调境外债不是简单的低成本融资工具，而是一种兼具期限管理、币种配置、信用建设和国际资本运作功能的复合型融资安排，只有在资金用途明确、风险敞口可控和再融资预案完备的情况下，境外债才具有稳健意义。</w:t>
      </w:r>
    </w:p>
    <w:bookmarkEnd w:id="14"/>
    <w:p w14:paraId="428F8CD8">
      <w:pPr>
        <w:pStyle w:val="5"/>
        <w:rPr>
          <w:rFonts w:ascii="Times New Roman" w:hAnsi="Times New Roman" w:eastAsia="华文宋体"/>
        </w:rPr>
      </w:pPr>
      <w:bookmarkStart w:id="15" w:name="六研究结构安排"/>
      <w:r>
        <w:rPr>
          <w:rFonts w:hint="eastAsia" w:ascii="Times New Roman" w:hAnsi="Times New Roman" w:eastAsia="华文宋体"/>
        </w:rPr>
        <w:t>（六）研究结构安排</w:t>
      </w:r>
    </w:p>
    <w:p w14:paraId="47B7B80B">
      <w:pPr>
        <w:pStyle w:val="23"/>
        <w:rPr>
          <w:rFonts w:ascii="Times New Roman" w:hAnsi="Times New Roman" w:eastAsia="华文宋体"/>
        </w:rPr>
      </w:pPr>
      <w:r>
        <w:rPr>
          <w:rFonts w:hint="eastAsia" w:ascii="Times New Roman" w:hAnsi="Times New Roman" w:eastAsia="华文宋体"/>
        </w:rPr>
        <w:t>全文共分为七个部分。第一部分为绪论，介绍研究背景、研究问题、研究意义、研究方法、创新点与结构安排。第二部分为文献综述，总结企业外币债务融资动机、外汇风险管理和外债宏观后果的研究进展。第三部分分析中资企业境外债券融资现状，包括市场发展历程、发行模式、成本结构与面临挑战。第四部分以九龙江集团为案例，从企业概况、融资动机、发债过程、风险暴露和风险管理等维度展开分析。第五部分从监管视角讨论外债风险传导机制和防范系统性风险的政策思路。第六部分总结研究结论并提出企业和监管建议。第七部分列示参考文献与附录。</w:t>
      </w:r>
    </w:p>
    <w:bookmarkEnd w:id="2"/>
    <w:bookmarkEnd w:id="15"/>
    <w:p w14:paraId="308E52E8">
      <w:pPr>
        <w:pStyle w:val="4"/>
        <w:rPr>
          <w:rFonts w:ascii="Times New Roman" w:hAnsi="Times New Roman" w:eastAsia="华文宋体"/>
        </w:rPr>
      </w:pPr>
      <w:bookmarkStart w:id="16" w:name="二文献综述"/>
      <w:r>
        <w:rPr>
          <w:rFonts w:hint="eastAsia" w:ascii="Times New Roman" w:hAnsi="Times New Roman" w:eastAsia="华文宋体"/>
        </w:rPr>
        <w:t>二、文献综述</w:t>
      </w:r>
    </w:p>
    <w:p w14:paraId="4BFDC1D6">
      <w:pPr>
        <w:pStyle w:val="5"/>
        <w:rPr>
          <w:rFonts w:ascii="Times New Roman" w:hAnsi="Times New Roman" w:eastAsia="华文宋体"/>
        </w:rPr>
      </w:pPr>
      <w:bookmarkStart w:id="17" w:name="一外币债务融资动机研究"/>
      <w:r>
        <w:rPr>
          <w:rFonts w:hint="eastAsia" w:ascii="Times New Roman" w:hAnsi="Times New Roman" w:eastAsia="华文宋体"/>
        </w:rPr>
        <w:t>（一）外币债务融资动机研究</w:t>
      </w:r>
    </w:p>
    <w:p w14:paraId="33E8AA80">
      <w:pPr>
        <w:pStyle w:val="23"/>
        <w:rPr>
          <w:rFonts w:ascii="Times New Roman" w:hAnsi="Times New Roman" w:eastAsia="华文宋体"/>
        </w:rPr>
      </w:pPr>
      <w:r>
        <w:rPr>
          <w:rFonts w:hint="eastAsia" w:ascii="Times New Roman" w:hAnsi="Times New Roman" w:eastAsia="华文宋体"/>
        </w:rPr>
        <w:t>企业为什么会使用外币债务，是国际金融与公司金融交叉研究中的核心议题。早期研究多从传统资本结构理论出发，将外币债务视为债务融资的一种特殊形式，强调其在融资成本、税盾效应和资本结构优化中的作用。随着国际资本流动加快、汇率制度演变以及企业国际化经营程度提高，学者们逐渐认识到，外币债务并非单纯的债务替代工具，而是与企业经营现金流结构、国际业务布局、风险偏好、治理能力和宏观金融条件紧密相关的综合性融资安排。总体来看，现有研究关于外币债务融资动机的解释大致可以归纳为以下几类。</w:t>
      </w:r>
    </w:p>
    <w:p w14:paraId="6A4F8FAA">
      <w:pPr>
        <w:pStyle w:val="6"/>
        <w:rPr>
          <w:rFonts w:ascii="Times New Roman" w:hAnsi="Times New Roman" w:eastAsia="华文宋体"/>
        </w:rPr>
      </w:pPr>
      <w:bookmarkStart w:id="18" w:name="风险对冲动机"/>
      <w:r>
        <w:rPr>
          <w:rFonts w:ascii="Times New Roman" w:hAnsi="Times New Roman" w:eastAsia="华文宋体"/>
        </w:rPr>
        <w:t xml:space="preserve">1. </w:t>
      </w:r>
      <w:r>
        <w:rPr>
          <w:rFonts w:hint="eastAsia" w:ascii="Times New Roman" w:hAnsi="Times New Roman" w:eastAsia="华文宋体"/>
        </w:rPr>
        <w:t>风险对冲动机</w:t>
      </w:r>
    </w:p>
    <w:p w14:paraId="145C7127">
      <w:pPr>
        <w:pStyle w:val="23"/>
        <w:rPr>
          <w:rFonts w:ascii="Times New Roman" w:hAnsi="Times New Roman" w:eastAsia="华文宋体"/>
        </w:rPr>
      </w:pPr>
      <w:r>
        <w:rPr>
          <w:rFonts w:hint="eastAsia" w:ascii="Times New Roman" w:hAnsi="Times New Roman" w:eastAsia="华文宋体"/>
        </w:rPr>
        <w:t>风险对冲动机是外币债务研究中最具代表性的解释之一。Allayannis等较早指出，当企业拥有稳定的外币收入、出口回款、海外资产或外币采购支出时，使用相同币种的债务可以形成自然对冲，从而减轻汇率波动对企业现金流和利润的影响。其基本逻辑在于：若企业未来将收到一定规模的美元现金流，则持有美元债务意味着债务偿付与经营收入在币种上相匹配。这样，当本币贬值时，虽然外币负债折算成本上升，但外币收入折算为本币后的金额也同步增加，二者可形成一定程度的抵消。</w:t>
      </w:r>
    </w:p>
    <w:p w14:paraId="74D5C5A8">
      <w:pPr>
        <w:pStyle w:val="3"/>
        <w:rPr>
          <w:rFonts w:ascii="Times New Roman" w:hAnsi="Times New Roman" w:eastAsia="华文宋体"/>
        </w:rPr>
      </w:pPr>
      <w:r>
        <w:rPr>
          <w:rFonts w:hint="eastAsia" w:ascii="Times New Roman" w:hAnsi="Times New Roman" w:eastAsia="华文宋体"/>
        </w:rPr>
        <w:t>国内学者对这一问题的讨论多结合中国企业的出口导向特征和跨境经营场景展开。部分研究认为，对制造业出口企业、航运企业、航空企业以及具有海外资源资产的企业来说，外币债务具有一定的天然对冲效应。林昱明通过对制造业企业外汇风险管理的研究指出，企业若同时存在外币应收、外币应付与外币债务，则可以通过币种匹配降低净外汇敞口。然而，也有研究指出，中国不少企业发债时并无足够稳定的外币经营现金流，而是将外币债务募集资金最终用于境内投资、项目建设或借新还旧。对于这类主体而言，所谓“自然对冲”往往只是名义上的，真实风险并未得到有效覆盖。</w:t>
      </w:r>
    </w:p>
    <w:p w14:paraId="4F262C4D">
      <w:pPr>
        <w:pStyle w:val="3"/>
        <w:rPr>
          <w:rFonts w:ascii="Times New Roman" w:hAnsi="Times New Roman" w:eastAsia="华文宋体"/>
        </w:rPr>
      </w:pPr>
      <w:r>
        <w:rPr>
          <w:rFonts w:hint="eastAsia" w:ascii="Times New Roman" w:hAnsi="Times New Roman" w:eastAsia="华文宋体"/>
        </w:rPr>
        <w:t>从理论上看，风险对冲动机成立的前提至少包括三个条件：第一，企业存在持续且可预测的外币经营现金流；第二，外币收入与外币债务在期限上能够大致匹配；第三，企业具备将经营和融资纳入统一风险管理框架的能力。如果上述条件不满足，外币债务不仅不能对冲汇率风险，反而可能在本币贬值时放大偿债压力。因此，风险对冲动机虽然解释力较强，但其适用性具有明显的企业异质性。</w:t>
      </w:r>
    </w:p>
    <w:bookmarkEnd w:id="18"/>
    <w:p w14:paraId="6681A3E5">
      <w:pPr>
        <w:pStyle w:val="6"/>
        <w:rPr>
          <w:rFonts w:ascii="Times New Roman" w:hAnsi="Times New Roman" w:eastAsia="华文宋体"/>
        </w:rPr>
      </w:pPr>
      <w:bookmarkStart w:id="19" w:name="投机套利与成本比较动机"/>
      <w:r>
        <w:rPr>
          <w:rFonts w:ascii="Times New Roman" w:hAnsi="Times New Roman" w:eastAsia="华文宋体"/>
        </w:rPr>
        <w:t xml:space="preserve">2. </w:t>
      </w:r>
      <w:r>
        <w:rPr>
          <w:rFonts w:hint="eastAsia" w:ascii="Times New Roman" w:hAnsi="Times New Roman" w:eastAsia="华文宋体"/>
        </w:rPr>
        <w:t>投机套利与成本比较动机</w:t>
      </w:r>
    </w:p>
    <w:p w14:paraId="6654F56B">
      <w:pPr>
        <w:pStyle w:val="23"/>
        <w:rPr>
          <w:rFonts w:ascii="Times New Roman" w:hAnsi="Times New Roman" w:eastAsia="华文宋体"/>
        </w:rPr>
      </w:pPr>
      <w:r>
        <w:rPr>
          <w:rFonts w:hint="eastAsia" w:ascii="Times New Roman" w:hAnsi="Times New Roman" w:eastAsia="华文宋体"/>
        </w:rPr>
        <w:t>在全球金融宽松周期中，外币债务往往伴随明显的成本优势。一方面，美国国债收益率是国际美元债定价的基础，量化宽松时期美国无风险利率大幅下降，降低了中资企业境外债的票息基准。另一方面，若人民币对美元存在升值预期或波动幅度有限，则企业在较长时期内会形成“美元融资便宜、汇率风险可控”的判断。此时，企业可能基于利差、汇差和期限差进行跨市场融资选择。</w:t>
      </w:r>
    </w:p>
    <w:p w14:paraId="2BD21A46">
      <w:pPr>
        <w:pStyle w:val="3"/>
        <w:rPr>
          <w:rFonts w:ascii="Times New Roman" w:hAnsi="Times New Roman" w:eastAsia="华文宋体"/>
        </w:rPr>
      </w:pPr>
      <w:r>
        <w:rPr>
          <w:rFonts w:hint="eastAsia" w:ascii="Times New Roman" w:hAnsi="Times New Roman" w:eastAsia="华文宋体"/>
        </w:rPr>
        <w:t>国内关于中资美元债发行成本的研究较为丰富。胡鹏的研究指出，海外美元债发行成本受到美国基准利率、行业风险、发行人评级、期限结构、市场情绪和境内信用环境等多重因素影响。代盛、万翥来进一步指出，中美贸易摩擦、国际关系变化和投资者风险偏好同样会影响境外融资成本。换言之，企业比较的并非单纯票息，而是境内外融资的综合成本，包括：票面利率、发行费用、外汇套保成本、税费安排、担保费用、回流摩擦成本以及未来再融资不确定性。</w:t>
      </w:r>
    </w:p>
    <w:p w14:paraId="030700DF">
      <w:pPr>
        <w:pStyle w:val="3"/>
        <w:rPr>
          <w:rFonts w:ascii="Times New Roman" w:hAnsi="Times New Roman" w:eastAsia="华文宋体"/>
        </w:rPr>
      </w:pPr>
      <w:r>
        <w:rPr>
          <w:rFonts w:hint="eastAsia" w:ascii="Times New Roman" w:hAnsi="Times New Roman" w:eastAsia="华文宋体"/>
        </w:rPr>
        <w:t>值得注意的是，投机套利动机在不同政策阶段具有截然不同的效果。在低利率、低波动和人民币偏强时期，企业可能通过美元低息融资显著降低财务费用；但在美联储加息和人民币承压时期，原有利差优势可能迅速被对冲成本和汇率损失吞噬。部分企业在宽松时期依赖“未来汇率仍将稳定”的预期扩大美元负债，实际上是一种隐性的汇率投机。当政策环境逆转时，这种策略很容易演变为高风险敞口。房地产美元债市场的剧烈调整，就在很大程度上暴露了这一问题。</w:t>
      </w:r>
    </w:p>
    <w:bookmarkEnd w:id="19"/>
    <w:p w14:paraId="3653ADE5">
      <w:pPr>
        <w:pStyle w:val="6"/>
        <w:rPr>
          <w:rFonts w:ascii="Times New Roman" w:hAnsi="Times New Roman" w:eastAsia="华文宋体"/>
        </w:rPr>
      </w:pPr>
      <w:bookmarkStart w:id="20" w:name="融资约束与长期资金需求动机"/>
      <w:r>
        <w:rPr>
          <w:rFonts w:ascii="Times New Roman" w:hAnsi="Times New Roman" w:eastAsia="华文宋体"/>
        </w:rPr>
        <w:t xml:space="preserve">3. </w:t>
      </w:r>
      <w:r>
        <w:rPr>
          <w:rFonts w:hint="eastAsia" w:ascii="Times New Roman" w:hAnsi="Times New Roman" w:eastAsia="华文宋体"/>
        </w:rPr>
        <w:t>融资约束与长期资金需求动机</w:t>
      </w:r>
    </w:p>
    <w:p w14:paraId="1334347B">
      <w:pPr>
        <w:pStyle w:val="23"/>
        <w:rPr>
          <w:rFonts w:ascii="Times New Roman" w:hAnsi="Times New Roman" w:eastAsia="华文宋体"/>
        </w:rPr>
      </w:pPr>
      <w:r>
        <w:rPr>
          <w:rFonts w:hint="eastAsia" w:ascii="Times New Roman" w:hAnsi="Times New Roman" w:eastAsia="华文宋体"/>
        </w:rPr>
        <w:t>企业使用外币债务的第三类重要动机，是缓解融资约束和满足中长期资金需求。传统公司金融理论认为，企业资本结构决策与内部现金流、投资机会、外部融资可得性和融资成本密切相关。当企业在境内面临长期贷款不足、融资期限偏短、担保要求严格、信用分层明显或融资渠道受限时，境外债券市场可能成为重要补充。</w:t>
      </w:r>
    </w:p>
    <w:p w14:paraId="3EF7B2F6">
      <w:pPr>
        <w:pStyle w:val="3"/>
        <w:rPr>
          <w:rFonts w:ascii="Times New Roman" w:hAnsi="Times New Roman" w:eastAsia="华文宋体"/>
        </w:rPr>
      </w:pPr>
      <w:r>
        <w:rPr>
          <w:rFonts w:hint="eastAsia" w:ascii="Times New Roman" w:hAnsi="Times New Roman" w:eastAsia="华文宋体"/>
        </w:rPr>
        <w:t>在中国金融体系中，银行信贷长期占据核心地位，但银行资金期限较短，且对部分项目融资、海外并购融资和资本运作融资的适配性有限。债券市场虽然近年来发展迅速，但不同类型主体在境内债市场中的融资能力、久期配置和信用利差存在差异。对于需要大额、长期、外币或跨境使用资金的企业而言，境外债券尤其是美元债在某些时期具有期限长、募集用途相对灵活、投资者基础多元等优势。特别是在大型企业海外并购、资源型企业境外项目建设、地方国企优化债务结构以及红筹企业资本运作中，境外债的功能不仅是降低成本，更重要的是提供中长期资金和跨境资金安排。</w:t>
      </w:r>
    </w:p>
    <w:p w14:paraId="61475080">
      <w:pPr>
        <w:pStyle w:val="3"/>
        <w:rPr>
          <w:rFonts w:ascii="Times New Roman" w:hAnsi="Times New Roman" w:eastAsia="华文宋体"/>
        </w:rPr>
      </w:pPr>
      <w:r>
        <w:rPr>
          <w:rFonts w:hint="eastAsia" w:ascii="Times New Roman" w:hAnsi="Times New Roman" w:eastAsia="华文宋体"/>
        </w:rPr>
        <w:t>从案例研究看，许多国企或产业集团在境外发债时并非境内融资完全受阻，而是出于“多渠道储备流动性”和“改善债务结构”的考虑。例如，企业可能拥有充足银行授信，但这些授信多以短期流动资金贷款为主，不适合匹配3年至5年的海外扩张计划；或企业希望在境内债市场波动加大时，通过境外债形成替代性融资来源。这种情况下，外币债务的动机更接近于融资结构优化，而非单纯套利。</w:t>
      </w:r>
    </w:p>
    <w:bookmarkEnd w:id="20"/>
    <w:p w14:paraId="51F8C73B">
      <w:pPr>
        <w:pStyle w:val="6"/>
        <w:rPr>
          <w:rFonts w:ascii="Times New Roman" w:hAnsi="Times New Roman" w:eastAsia="华文宋体"/>
        </w:rPr>
      </w:pPr>
      <w:bookmarkStart w:id="21" w:name="国际化程度信息优势与治理能力动机"/>
      <w:r>
        <w:rPr>
          <w:rFonts w:ascii="Times New Roman" w:hAnsi="Times New Roman" w:eastAsia="华文宋体"/>
        </w:rPr>
        <w:t xml:space="preserve">4. </w:t>
      </w:r>
      <w:r>
        <w:rPr>
          <w:rFonts w:hint="eastAsia" w:ascii="Times New Roman" w:hAnsi="Times New Roman" w:eastAsia="华文宋体"/>
        </w:rPr>
        <w:t>国际化程度、信息优势与治理能力动机</w:t>
      </w:r>
    </w:p>
    <w:p w14:paraId="527B1714">
      <w:pPr>
        <w:pStyle w:val="23"/>
        <w:rPr>
          <w:rFonts w:ascii="Times New Roman" w:hAnsi="Times New Roman" w:eastAsia="华文宋体"/>
        </w:rPr>
      </w:pPr>
      <w:r>
        <w:rPr>
          <w:rFonts w:hint="eastAsia" w:ascii="Times New Roman" w:hAnsi="Times New Roman" w:eastAsia="华文宋体"/>
        </w:rPr>
        <w:t>随着企业国际化经营程度提升，其信息披露能力、治理结构和投资者关系管理水平也会影响外币债务选择。一些研究指出，拥有海外业务、国际客户、境外子公司和海外上市平台的企业，更容易满足国际债券发行的披露要求，也更容易被国际投资者理解和接受。企业治理水平越高、英文披露越规范、财务透明度越强，越有可能在国际市场上获得较低信用利差。</w:t>
      </w:r>
    </w:p>
    <w:p w14:paraId="4DA4D455">
      <w:pPr>
        <w:pStyle w:val="3"/>
        <w:rPr>
          <w:rFonts w:ascii="Times New Roman" w:hAnsi="Times New Roman" w:eastAsia="华文宋体"/>
        </w:rPr>
      </w:pPr>
      <w:r>
        <w:rPr>
          <w:rFonts w:hint="eastAsia" w:ascii="Times New Roman" w:hAnsi="Times New Roman" w:eastAsia="华文宋体"/>
        </w:rPr>
        <w:t>石磊等关于ESG表现与企业境外债券融资的研究表明，较好的ESG表现能够提升国际投资者信任度，从而增强企业获取境外融资的能力。这说明，境外债券发行不仅是财务决策，也是一种治理能力和市场沟通能力的体现。对许多中资企业而言，成功发行境外债本身就具有“信用认证”意义，意味着企业能够接受国际评级机构、国际律师事务所、会计师事务所、投资者和交易所的多重审视。</w:t>
      </w:r>
    </w:p>
    <w:p w14:paraId="15DEBE1C">
      <w:pPr>
        <w:pStyle w:val="3"/>
        <w:rPr>
          <w:rFonts w:ascii="Times New Roman" w:hAnsi="Times New Roman" w:eastAsia="华文宋体"/>
        </w:rPr>
      </w:pPr>
      <w:r>
        <w:rPr>
          <w:rFonts w:hint="eastAsia" w:ascii="Times New Roman" w:hAnsi="Times New Roman" w:eastAsia="华文宋体"/>
        </w:rPr>
        <w:t>此外，信息优势还体现在企业对国际资本市场运行机制的熟悉程度上。大型央企、头部民企、成熟红筹企业和部分地方国企通常具备更丰富的境外融资经验，更善于选择发行窗口、安排条款设计和组织投资者路演。相较之下，缺乏国际融资经验的企业即便基本面不差，也可能因披露准备不足、投资者沟通能力弱或条款设计不当而无法实现理想定价。因此，国际化程度和治理能力不仅影响能否发债，也影响发债成本和后续市场表现。</w:t>
      </w:r>
    </w:p>
    <w:bookmarkEnd w:id="21"/>
    <w:p w14:paraId="58033984">
      <w:pPr>
        <w:pStyle w:val="6"/>
        <w:rPr>
          <w:rFonts w:ascii="Times New Roman" w:hAnsi="Times New Roman" w:eastAsia="华文宋体"/>
        </w:rPr>
      </w:pPr>
      <w:bookmarkStart w:id="22" w:name="宏观金融周期和制度环境动机"/>
      <w:r>
        <w:rPr>
          <w:rFonts w:ascii="Times New Roman" w:hAnsi="Times New Roman" w:eastAsia="华文宋体"/>
        </w:rPr>
        <w:t xml:space="preserve">5. </w:t>
      </w:r>
      <w:r>
        <w:rPr>
          <w:rFonts w:hint="eastAsia" w:ascii="Times New Roman" w:hAnsi="Times New Roman" w:eastAsia="华文宋体"/>
        </w:rPr>
        <w:t>宏观金融周期和制度环境动机</w:t>
      </w:r>
    </w:p>
    <w:p w14:paraId="17454FBD">
      <w:pPr>
        <w:pStyle w:val="23"/>
        <w:rPr>
          <w:rFonts w:ascii="Times New Roman" w:hAnsi="Times New Roman" w:eastAsia="华文宋体"/>
        </w:rPr>
      </w:pPr>
      <w:r>
        <w:rPr>
          <w:rFonts w:hint="eastAsia" w:ascii="Times New Roman" w:hAnsi="Times New Roman" w:eastAsia="华文宋体"/>
        </w:rPr>
        <w:t>越来越多研究强调，企业外币债务行为不能脱离宏观金融周期与制度环境来解释。Bruno与Shin从全球美元信用扩张视角指出，在美国货币宽松和全球风险偏好上升时期，新兴市场企业更容易通过境外融资增加杠杆；而在货币政策转向、美元走强和风险偏好下降阶段，这些企业将面临更强的再融资压力。Avdjiev等提出国际金融中的“打破三重巧合”观点，强调企业经营所在地、会计记账货币和融资货币之间并不必然一致，这使得企业外币债务决策更容易受到国际美元体系波动影响。</w:t>
      </w:r>
    </w:p>
    <w:p w14:paraId="401452F7">
      <w:pPr>
        <w:pStyle w:val="3"/>
        <w:rPr>
          <w:rFonts w:ascii="Times New Roman" w:hAnsi="Times New Roman" w:eastAsia="华文宋体"/>
        </w:rPr>
      </w:pPr>
      <w:r>
        <w:rPr>
          <w:rFonts w:hint="eastAsia" w:ascii="Times New Roman" w:hAnsi="Times New Roman" w:eastAsia="华文宋体"/>
        </w:rPr>
        <w:t>对中国企业而言，宏观制度环境还包括资本项目管理、跨境融资规则、汇率制度安排和监管政策变化。发改外资〔2015〕2044号文将中长期外债管理由审批制转为备案登记制，显著提高了制度可预期性；全口径跨境融资宏观审慎管理将企业外债纳入统一口径测算，影响企业跨境融资上限和币种结构；2023年出台的《企业中长期外债审核登记管理办法》又强化了用途监管和风险报送。制度环境的变化不仅决定企业能否进入境外债市场，也影响其发债时机、资金回流方式和再融资安排。因此，宏观金融周期与制度环境构成企业外币债务决策的重要外部约束。</w:t>
      </w:r>
    </w:p>
    <w:bookmarkEnd w:id="17"/>
    <w:bookmarkEnd w:id="22"/>
    <w:p w14:paraId="0CFB8B01">
      <w:pPr>
        <w:pStyle w:val="5"/>
        <w:rPr>
          <w:rFonts w:ascii="Times New Roman" w:hAnsi="Times New Roman" w:eastAsia="华文宋体"/>
        </w:rPr>
      </w:pPr>
      <w:bookmarkStart w:id="23" w:name="二外币债务与外汇风险研究"/>
      <w:r>
        <w:rPr>
          <w:rFonts w:hint="eastAsia" w:ascii="Times New Roman" w:hAnsi="Times New Roman" w:eastAsia="华文宋体"/>
        </w:rPr>
        <w:t>（二）外币债务与外汇风险研究</w:t>
      </w:r>
    </w:p>
    <w:p w14:paraId="352F40A7">
      <w:pPr>
        <w:pStyle w:val="23"/>
        <w:rPr>
          <w:rFonts w:ascii="Times New Roman" w:hAnsi="Times New Roman" w:eastAsia="华文宋体"/>
        </w:rPr>
      </w:pPr>
      <w:r>
        <w:rPr>
          <w:rFonts w:hint="eastAsia" w:ascii="Times New Roman" w:hAnsi="Times New Roman" w:eastAsia="华文宋体"/>
        </w:rPr>
        <w:t>外币债务一旦进入企业资本结构，外汇风险便成为不可回避的核心议题。学界围绕外汇风险的界定、测度方法、管理工具和管理效果形成了较为丰富的研究成果。</w:t>
      </w:r>
    </w:p>
    <w:p w14:paraId="059B6A6A">
      <w:pPr>
        <w:pStyle w:val="6"/>
        <w:rPr>
          <w:rFonts w:ascii="Times New Roman" w:hAnsi="Times New Roman" w:eastAsia="华文宋体"/>
        </w:rPr>
      </w:pPr>
      <w:bookmarkStart w:id="24" w:name="外汇风险的内涵及分类"/>
      <w:r>
        <w:rPr>
          <w:rFonts w:ascii="Times New Roman" w:hAnsi="Times New Roman" w:eastAsia="华文宋体"/>
        </w:rPr>
        <w:t xml:space="preserve">1. </w:t>
      </w:r>
      <w:r>
        <w:rPr>
          <w:rFonts w:hint="eastAsia" w:ascii="Times New Roman" w:hAnsi="Times New Roman" w:eastAsia="华文宋体"/>
        </w:rPr>
        <w:t>外汇风险的内涵及分类</w:t>
      </w:r>
    </w:p>
    <w:p w14:paraId="4AA63C71">
      <w:pPr>
        <w:pStyle w:val="23"/>
        <w:rPr>
          <w:rFonts w:ascii="Times New Roman" w:hAnsi="Times New Roman" w:eastAsia="华文宋体"/>
        </w:rPr>
      </w:pPr>
      <w:r>
        <w:rPr>
          <w:rFonts w:hint="eastAsia" w:ascii="Times New Roman" w:hAnsi="Times New Roman" w:eastAsia="华文宋体"/>
        </w:rPr>
        <w:t>一般而言，企业外汇风险可分为交易风险、折算风险和经济风险。交易风险是指企业在未来某一时点以外币支付或收取现金时，由于汇率变化导致本币价值发生波动的风险。对境外债而言，交易风险最为直接，因为债券利息和本金支付通常以美元、欧元或港元等外币计价，企业必须在支付时将本币兑换为外币或动用外币资金偿付。折算风险是指企业在编制财务报表时，将外币资产、负债、收入和费用折算为本币时产生的账面波动，它会影响资产负债率、利润波动和净资产规模。经济风险则是更深层次的风险，指汇率变化对企业未来市场竞争力、产品价格、原材料成本、海外投资收益和整体现金流稳定性带来的持续影响。</w:t>
      </w:r>
    </w:p>
    <w:p w14:paraId="4D5FD6EC">
      <w:pPr>
        <w:pStyle w:val="3"/>
        <w:rPr>
          <w:rFonts w:ascii="Times New Roman" w:hAnsi="Times New Roman" w:eastAsia="华文宋体"/>
        </w:rPr>
      </w:pPr>
      <w:r>
        <w:rPr>
          <w:rFonts w:hint="eastAsia" w:ascii="Times New Roman" w:hAnsi="Times New Roman" w:eastAsia="华文宋体"/>
        </w:rPr>
        <w:t>在中资企业境外债研究中，交易风险和折算风险最容易被量化，也最容易在短期内显现。例如，人民币对美元贬值会直接提高企业的本币偿债成本，并可能在财务报表中形成汇兑损失；若企业外币负债规模较大，则资产负债率也可能因汇率波动而被动抬升。经济风险则更难测量，但其影响往往更持久。以制造业出口企业为例，人民币贬值可能有利于出口收入，却也可能抬升进口设备和原材料成本；对以国内市场为主的城投平台或区域国企而言，美元债并不会带来经营层面的汇率收益，因而经济风险更偏向负面。</w:t>
      </w:r>
    </w:p>
    <w:bookmarkEnd w:id="24"/>
    <w:p w14:paraId="3D20E486">
      <w:pPr>
        <w:pStyle w:val="6"/>
        <w:rPr>
          <w:rFonts w:ascii="Times New Roman" w:hAnsi="Times New Roman" w:eastAsia="华文宋体"/>
        </w:rPr>
      </w:pPr>
      <w:bookmarkStart w:id="25" w:name="外汇风险的测度方法"/>
      <w:r>
        <w:rPr>
          <w:rFonts w:ascii="Times New Roman" w:hAnsi="Times New Roman" w:eastAsia="华文宋体"/>
        </w:rPr>
        <w:t xml:space="preserve">2. </w:t>
      </w:r>
      <w:r>
        <w:rPr>
          <w:rFonts w:hint="eastAsia" w:ascii="Times New Roman" w:hAnsi="Times New Roman" w:eastAsia="华文宋体"/>
        </w:rPr>
        <w:t>外汇风险的测度方法</w:t>
      </w:r>
    </w:p>
    <w:p w14:paraId="037DBD3E">
      <w:pPr>
        <w:pStyle w:val="23"/>
        <w:rPr>
          <w:rFonts w:ascii="Times New Roman" w:hAnsi="Times New Roman" w:eastAsia="华文宋体"/>
        </w:rPr>
      </w:pPr>
      <w:r>
        <w:rPr>
          <w:rFonts w:hint="eastAsia" w:ascii="Times New Roman" w:hAnsi="Times New Roman" w:eastAsia="华文宋体"/>
        </w:rPr>
        <w:t>关于外汇风险的测度，学术研究和实务操作中主要有三类方法。第一类是基于财务报表的敞口测度，如计算外币资产负债净头寸、外币收入与支出的币种匹配程度、外币债务占总负债比重等。第二类是基于市场数据的敏感性分析，如通过回归方法考察汇率变动对企业股票收益、现金流或财务指标的影响。第三类是情景分析和压力测试，即设定不同汇率情景，测算企业在极端情况下的利息支付、本金兑付和杠杆水平变化。</w:t>
      </w:r>
    </w:p>
    <w:p w14:paraId="3A93A4DC">
      <w:pPr>
        <w:pStyle w:val="3"/>
        <w:rPr>
          <w:rFonts w:ascii="Times New Roman" w:hAnsi="Times New Roman" w:eastAsia="华文宋体"/>
        </w:rPr>
      </w:pPr>
      <w:r>
        <w:rPr>
          <w:rFonts w:hint="eastAsia" w:ascii="Times New Roman" w:hAnsi="Times New Roman" w:eastAsia="华文宋体"/>
        </w:rPr>
        <w:t>对境外债发行企业而言，最实用的仍是敞口测度与情景分析相结合。一方面，企业应识别自身外币净负债规模，明确不同币种的利息和本金支付时点；另一方面，还需评估在人民币升值、稳定、贬值等不同情景下，本币偿债负担如何变化。若企业存在滚续融资需求，则还需把未来融资利率变化纳入测算。当前不少企业在外币债务管理中存在的一个突出问题是，只关注存量债务名义余额，而忽视久期、再融资需求和对冲比例，这导致风险识别不完整。</w:t>
      </w:r>
    </w:p>
    <w:bookmarkEnd w:id="25"/>
    <w:p w14:paraId="1D522A23">
      <w:pPr>
        <w:pStyle w:val="6"/>
        <w:rPr>
          <w:rFonts w:ascii="Times New Roman" w:hAnsi="Times New Roman" w:eastAsia="华文宋体"/>
        </w:rPr>
      </w:pPr>
      <w:bookmarkStart w:id="26" w:name="外汇风险管理方式"/>
      <w:r>
        <w:rPr>
          <w:rFonts w:ascii="Times New Roman" w:hAnsi="Times New Roman" w:eastAsia="华文宋体"/>
        </w:rPr>
        <w:t xml:space="preserve">3. </w:t>
      </w:r>
      <w:r>
        <w:rPr>
          <w:rFonts w:hint="eastAsia" w:ascii="Times New Roman" w:hAnsi="Times New Roman" w:eastAsia="华文宋体"/>
        </w:rPr>
        <w:t>外汇风险管理方式</w:t>
      </w:r>
    </w:p>
    <w:p w14:paraId="52BE0A09">
      <w:pPr>
        <w:pStyle w:val="23"/>
        <w:rPr>
          <w:rFonts w:ascii="Times New Roman" w:hAnsi="Times New Roman" w:eastAsia="华文宋体"/>
        </w:rPr>
      </w:pPr>
      <w:r>
        <w:rPr>
          <w:rFonts w:hint="eastAsia" w:ascii="Times New Roman" w:hAnsi="Times New Roman" w:eastAsia="华文宋体"/>
        </w:rPr>
        <w:t>围绕企业如何管理外汇风险，文献通常将其分为经营对冲、金融对冲和财务报表管理三类路径。</w:t>
      </w:r>
    </w:p>
    <w:p w14:paraId="5DD1748F">
      <w:pPr>
        <w:pStyle w:val="3"/>
        <w:rPr>
          <w:rFonts w:ascii="Times New Roman" w:hAnsi="Times New Roman" w:eastAsia="华文宋体"/>
        </w:rPr>
      </w:pPr>
      <w:r>
        <w:rPr>
          <w:rFonts w:hint="eastAsia" w:ascii="Times New Roman" w:hAnsi="Times New Roman" w:eastAsia="华文宋体"/>
        </w:rPr>
        <w:t>第一，经营对冲，又称自然对冲。其核心在于通过经营活动本身降低净外汇敞口。例如，拥有美元债务的企业尽量增加美元收入、将进口采购与出口回款安排在同一币种、在海外配置资产或通过境外业务形成稳定现金流。经营对冲的优点在于不需要持续支付衍生品成本，且更符合风险中性的长期思路；缺点在于建立周期长、可控性有限，且并非所有企业都具备相应业务基础。</w:t>
      </w:r>
    </w:p>
    <w:p w14:paraId="3DD3BB94">
      <w:pPr>
        <w:pStyle w:val="3"/>
        <w:rPr>
          <w:rFonts w:ascii="Times New Roman" w:hAnsi="Times New Roman" w:eastAsia="华文宋体"/>
        </w:rPr>
      </w:pPr>
      <w:r>
        <w:rPr>
          <w:rFonts w:hint="eastAsia" w:ascii="Times New Roman" w:hAnsi="Times New Roman" w:eastAsia="华文宋体"/>
        </w:rPr>
        <w:t>第二，金融对冲。企业可以通过远期结售汇、外汇掉期、货币互换、交叉货币互换、外汇期权等金融工具，将未来汇率波动风险部分锁定。金融对冲的优点是灵活度高、针对性强，可根据偿债时点和金额进行定制；缺点是需要承担对冲成本、保证金要求和套期会计处理复杂性。对于长期美元债而言，完全静态对冲往往成本较高，因此实务中更多采取滚动对冲和分层对冲的方式。</w:t>
      </w:r>
    </w:p>
    <w:p w14:paraId="4F66C828">
      <w:pPr>
        <w:pStyle w:val="3"/>
        <w:rPr>
          <w:rFonts w:ascii="Times New Roman" w:hAnsi="Times New Roman" w:eastAsia="华文宋体"/>
        </w:rPr>
      </w:pPr>
      <w:r>
        <w:rPr>
          <w:rFonts w:hint="eastAsia" w:ascii="Times New Roman" w:hAnsi="Times New Roman" w:eastAsia="华文宋体"/>
        </w:rPr>
        <w:t>第三，财务与会计管理。企业可通过套期保值会计、久期管理、流动性储备、资金池统筹等方式，降低汇率和利率波动对报表和现金流的冲击。例如，田雪彦指出，合理使用外债套期保值会计有助于减少利润表的大幅波动，增强投资者对财务报表的可理解性。但如果企业没有形成完整的风险授权体系和内部控制机制，仅从会计处理角度“平滑利润”，则可能掩盖真实风险。</w:t>
      </w:r>
    </w:p>
    <w:bookmarkEnd w:id="26"/>
    <w:p w14:paraId="1143A240">
      <w:pPr>
        <w:pStyle w:val="6"/>
        <w:rPr>
          <w:rFonts w:ascii="Times New Roman" w:hAnsi="Times New Roman" w:eastAsia="华文宋体"/>
        </w:rPr>
      </w:pPr>
      <w:bookmarkStart w:id="27" w:name="外币债务风险管理效果的争议"/>
      <w:r>
        <w:rPr>
          <w:rFonts w:ascii="Times New Roman" w:hAnsi="Times New Roman" w:eastAsia="华文宋体"/>
        </w:rPr>
        <w:t xml:space="preserve">4. </w:t>
      </w:r>
      <w:r>
        <w:rPr>
          <w:rFonts w:hint="eastAsia" w:ascii="Times New Roman" w:hAnsi="Times New Roman" w:eastAsia="华文宋体"/>
        </w:rPr>
        <w:t>外币债务风险管理效果的争议</w:t>
      </w:r>
    </w:p>
    <w:p w14:paraId="3C91F631">
      <w:pPr>
        <w:pStyle w:val="23"/>
        <w:rPr>
          <w:rFonts w:ascii="Times New Roman" w:hAnsi="Times New Roman" w:eastAsia="华文宋体"/>
        </w:rPr>
      </w:pPr>
      <w:r>
        <w:rPr>
          <w:rFonts w:hint="eastAsia" w:ascii="Times New Roman" w:hAnsi="Times New Roman" w:eastAsia="华文宋体"/>
        </w:rPr>
        <w:t>尽管外币债务被一些研究视为有效的风险管理工具，但关于其实际效果，文献始终存在争议。支持者认为，在企业存在外币经营现金流、套保机制健全和长期外币资产配置的前提下，外币债务能够显著降低资金成本并提高资金配置效率。反对者则指出，在很多新兴市场企业中，外币债务的真实动机并非风险对冲，而是利差套利、杠杆扩张或监管套利，因此外币债务经常在本币贬值和融资收紧时成为风险放大器。</w:t>
      </w:r>
    </w:p>
    <w:p w14:paraId="655C2B15">
      <w:pPr>
        <w:pStyle w:val="3"/>
        <w:rPr>
          <w:rFonts w:ascii="Times New Roman" w:hAnsi="Times New Roman" w:eastAsia="华文宋体"/>
        </w:rPr>
      </w:pPr>
      <w:r>
        <w:rPr>
          <w:rFonts w:hint="eastAsia" w:ascii="Times New Roman" w:hAnsi="Times New Roman" w:eastAsia="华文宋体"/>
        </w:rPr>
        <w:t>国内房地产美元债危机使这一争议更加突出。一些房企在宽松周期大量发行美元债，但其核心资产和销售收入主要以人民币计价，且外币经营现金流极其有限。短期内，美元债确实降低了名义融资成本并支持规模扩张；但在汇率贬值、行业政策收紧和美元利率上升后，企业面临境外再融资失败、境内销售回款下降和汇率损失叠加，最终风险集中爆发。由此可见，外币债务能否发挥“风险对冲”效果，不取决于工具本身，而取决于企业融资动机是否稳健、资产负债结构是否匹配以及风险治理机制是否有效。</w:t>
      </w:r>
    </w:p>
    <w:bookmarkEnd w:id="23"/>
    <w:bookmarkEnd w:id="27"/>
    <w:p w14:paraId="09096AD0">
      <w:pPr>
        <w:pStyle w:val="5"/>
        <w:rPr>
          <w:rFonts w:ascii="Times New Roman" w:hAnsi="Times New Roman" w:eastAsia="华文宋体"/>
        </w:rPr>
      </w:pPr>
      <w:bookmarkStart w:id="28" w:name="三外币债务与宏观经济后果研究"/>
      <w:r>
        <w:rPr>
          <w:rFonts w:hint="eastAsia" w:ascii="Times New Roman" w:hAnsi="Times New Roman" w:eastAsia="华文宋体"/>
        </w:rPr>
        <w:t>（三）外币债务与宏观经济后果研究</w:t>
      </w:r>
    </w:p>
    <w:p w14:paraId="32A3069B">
      <w:pPr>
        <w:pStyle w:val="23"/>
        <w:rPr>
          <w:rFonts w:ascii="Times New Roman" w:hAnsi="Times New Roman" w:eastAsia="华文宋体"/>
        </w:rPr>
      </w:pPr>
      <w:r>
        <w:rPr>
          <w:rFonts w:hint="eastAsia" w:ascii="Times New Roman" w:hAnsi="Times New Roman" w:eastAsia="华文宋体"/>
        </w:rPr>
        <w:t>外币债务不仅影响单个企业，也可能通过资本流动、信用周期和金融传染机制影响宏观经济稳定。关于这一问题，国际组织和国内学术界均进行了大量研究。</w:t>
      </w:r>
    </w:p>
    <w:p w14:paraId="6C8A026A">
      <w:pPr>
        <w:pStyle w:val="6"/>
        <w:rPr>
          <w:rFonts w:ascii="Times New Roman" w:hAnsi="Times New Roman" w:eastAsia="华文宋体"/>
        </w:rPr>
      </w:pPr>
      <w:bookmarkStart w:id="29" w:name="外债与金融危机的关系"/>
      <w:r>
        <w:rPr>
          <w:rFonts w:ascii="Times New Roman" w:hAnsi="Times New Roman" w:eastAsia="华文宋体"/>
        </w:rPr>
        <w:t xml:space="preserve">1. </w:t>
      </w:r>
      <w:r>
        <w:rPr>
          <w:rFonts w:hint="eastAsia" w:ascii="Times New Roman" w:hAnsi="Times New Roman" w:eastAsia="华文宋体"/>
        </w:rPr>
        <w:t>外债与金融危机的关系</w:t>
      </w:r>
    </w:p>
    <w:p w14:paraId="6E415590">
      <w:pPr>
        <w:pStyle w:val="23"/>
        <w:rPr>
          <w:rFonts w:ascii="Times New Roman" w:hAnsi="Times New Roman" w:eastAsia="华文宋体"/>
        </w:rPr>
      </w:pPr>
      <w:r>
        <w:rPr>
          <w:rFonts w:hint="eastAsia" w:ascii="Times New Roman" w:hAnsi="Times New Roman" w:eastAsia="华文宋体"/>
        </w:rPr>
        <w:t>从国际经验看，新兴市场金融危机往往与外币债务累积、短期外债占比过高以及资本流动逆转密切相关。20世纪90年代的墨西哥危机、东南亚金融危机和阿根廷危机都表明，当企业和金融机构持有大量外币债务，但外汇收入不足、汇率制度脆弱或外汇储备不足时，一旦美元升值或外部融资中断，本币贬值会迅速放大债务负担，进而诱发系统性危机。BIS和IMF在多份报告中均指出，全球美元信用扩张会在宽松时期鼓励新兴市场企业加杠杆，而在紧缩时期触发“美元短缺”和资产负债表衰退。</w:t>
      </w:r>
    </w:p>
    <w:p w14:paraId="7CFAEFA2">
      <w:pPr>
        <w:pStyle w:val="3"/>
        <w:rPr>
          <w:rFonts w:ascii="Times New Roman" w:hAnsi="Times New Roman" w:eastAsia="华文宋体"/>
        </w:rPr>
      </w:pPr>
      <w:r>
        <w:rPr>
          <w:rFonts w:hint="eastAsia" w:ascii="Times New Roman" w:hAnsi="Times New Roman" w:eastAsia="华文宋体"/>
        </w:rPr>
        <w:t>对中国而言，虽然拥有较大的外汇储备和相对完善的资本项目管理体系，不易复制典型新兴市场危机路径，但企业部门外币债务的结构性风险仍不容忽视。尤其当外币债务集中于少数行业、少数地区或少数高杠杆主体时，其风险可能通过信用市场、银行体系和地方财政间接传导。</w:t>
      </w:r>
    </w:p>
    <w:bookmarkEnd w:id="29"/>
    <w:p w14:paraId="27120D22">
      <w:pPr>
        <w:pStyle w:val="6"/>
        <w:rPr>
          <w:rFonts w:ascii="Times New Roman" w:hAnsi="Times New Roman" w:eastAsia="华文宋体"/>
        </w:rPr>
      </w:pPr>
      <w:bookmarkStart w:id="30" w:name="外债规模结构与系统性风险"/>
      <w:r>
        <w:rPr>
          <w:rFonts w:ascii="Times New Roman" w:hAnsi="Times New Roman" w:eastAsia="华文宋体"/>
        </w:rPr>
        <w:t xml:space="preserve">2. </w:t>
      </w:r>
      <w:r>
        <w:rPr>
          <w:rFonts w:hint="eastAsia" w:ascii="Times New Roman" w:hAnsi="Times New Roman" w:eastAsia="华文宋体"/>
        </w:rPr>
        <w:t>外债规模、结构与系统性风险</w:t>
      </w:r>
    </w:p>
    <w:p w14:paraId="3173AC4D">
      <w:pPr>
        <w:pStyle w:val="23"/>
        <w:rPr>
          <w:rFonts w:ascii="Times New Roman" w:hAnsi="Times New Roman" w:eastAsia="华文宋体"/>
        </w:rPr>
      </w:pPr>
      <w:r>
        <w:rPr>
          <w:rFonts w:hint="eastAsia" w:ascii="Times New Roman" w:hAnsi="Times New Roman" w:eastAsia="华文宋体"/>
        </w:rPr>
        <w:t>越来越多研究表明，外债风险并不简单取决于总量，而更多取决于结构。第一，期限结构决定风险脆弱性。短期外债占比越高，再融资风险越大；即使企业现金流正常，也可能在外部市场短期关闭时陷入流动性困境。第二，币种结构决定汇率脆弱性。若企业主要持有美元债但缺乏美元收入，则本币贬值将显著抬升偿债成本。第三，主体结构决定风险外溢性。若外债主要集中于房地产、城投、平台公司等高杠杆领域，其违约更容易引发行业和区域信用重估。第四，用途结构决定风险的真实程度。若外债用于能够形成现金流回报的海外项目或外币经营活动，则风险可相对内生化；若外债主要用于借新还旧、期限错配或非生产性扩张，则风险更可能累积。</w:t>
      </w:r>
    </w:p>
    <w:p w14:paraId="11896C40">
      <w:pPr>
        <w:pStyle w:val="3"/>
        <w:rPr>
          <w:rFonts w:ascii="Times New Roman" w:hAnsi="Times New Roman" w:eastAsia="华文宋体"/>
        </w:rPr>
      </w:pPr>
      <w:r>
        <w:rPr>
          <w:rFonts w:hint="eastAsia" w:ascii="Times New Roman" w:hAnsi="Times New Roman" w:eastAsia="华文宋体"/>
        </w:rPr>
        <w:t>国内一些学者从审计监督和宏观审慎视角出发，认为外债监管需要从总量控制转向“总量+结构+用途+偿还来源”的综合治理。王叙果等指出，若监管过于关注发行环节，而忽视存续期监测和用途穿透，则外债风险难以及时识别。张弛关于城投企业境外发债风险的研究也表明，在地方财政约束趋严和隐性担保预期下降的背景下，地方国企和平台企业的境外债风险管理必须更强调现金流覆盖和市场化约束。</w:t>
      </w:r>
    </w:p>
    <w:bookmarkEnd w:id="30"/>
    <w:p w14:paraId="60A9B1FA">
      <w:pPr>
        <w:pStyle w:val="6"/>
        <w:rPr>
          <w:rFonts w:ascii="Times New Roman" w:hAnsi="Times New Roman" w:eastAsia="华文宋体"/>
        </w:rPr>
      </w:pPr>
      <w:bookmarkStart w:id="31" w:name="全球金融周期资本流动与企业外债行为"/>
      <w:r>
        <w:rPr>
          <w:rFonts w:ascii="Times New Roman" w:hAnsi="Times New Roman" w:eastAsia="华文宋体"/>
        </w:rPr>
        <w:t xml:space="preserve">3. </w:t>
      </w:r>
      <w:r>
        <w:rPr>
          <w:rFonts w:hint="eastAsia" w:ascii="Times New Roman" w:hAnsi="Times New Roman" w:eastAsia="华文宋体"/>
        </w:rPr>
        <w:t>全球金融周期、资本流动与企业外债行为</w:t>
      </w:r>
    </w:p>
    <w:p w14:paraId="186C4BEF">
      <w:pPr>
        <w:pStyle w:val="23"/>
        <w:rPr>
          <w:rFonts w:ascii="Times New Roman" w:hAnsi="Times New Roman" w:eastAsia="华文宋体"/>
        </w:rPr>
      </w:pPr>
      <w:r>
        <w:rPr>
          <w:rFonts w:hint="eastAsia" w:ascii="Times New Roman" w:hAnsi="Times New Roman" w:eastAsia="华文宋体"/>
        </w:rPr>
        <w:t>全球金融周期理论为理解企业外债行为提供了重要框架。该理论认为，全球风险偏好、美国货币政策、美元汇率和跨境资本流动存在强烈联动。宽松时期，资本涌向新兴市场，风险溢价下降，企业更容易发行外币债务并扩大投资；紧缩时期，资本回流美国、美元升值、信用利差走阔，企业则面临流动性收缩和再融资压力。由于企业资产和负债币种不匹配，全球金融周期往往通过资产负债表效应放大冲击。</w:t>
      </w:r>
    </w:p>
    <w:p w14:paraId="700D4AB9">
      <w:pPr>
        <w:pStyle w:val="3"/>
        <w:rPr>
          <w:rFonts w:ascii="Times New Roman" w:hAnsi="Times New Roman" w:eastAsia="华文宋体"/>
        </w:rPr>
      </w:pPr>
      <w:r>
        <w:rPr>
          <w:rFonts w:hint="eastAsia" w:ascii="Times New Roman" w:hAnsi="Times New Roman" w:eastAsia="华文宋体"/>
        </w:rPr>
        <w:t>在中国背景下，资本项目管理和宏观审慎制度在一定程度上减弱了全球金融周期的直接冲击，但并未完全消除外溢效应。中资企业境外债市场仍然高度依赖国际美元流动性和离岸投资者配置偏好。当美债收益率抬升、国际投资者降低亚洲信用债敞口时，即便中国国内流动性充裕，企业境外债定价也可能显著恶化。因此，研究中资企业境外发债不能只看国内货币环境，还必须把美联储政策周期纳入分析。</w:t>
      </w:r>
    </w:p>
    <w:bookmarkEnd w:id="28"/>
    <w:bookmarkEnd w:id="31"/>
    <w:p w14:paraId="45E6AB34">
      <w:pPr>
        <w:pStyle w:val="5"/>
        <w:rPr>
          <w:rFonts w:ascii="Times New Roman" w:hAnsi="Times New Roman" w:eastAsia="华文宋体"/>
        </w:rPr>
      </w:pPr>
      <w:bookmarkStart w:id="32" w:name="四文献评述"/>
      <w:r>
        <w:rPr>
          <w:rFonts w:hint="eastAsia" w:ascii="Times New Roman" w:hAnsi="Times New Roman" w:eastAsia="华文宋体"/>
        </w:rPr>
        <w:t>（四）文献评述</w:t>
      </w:r>
    </w:p>
    <w:p w14:paraId="6F55D5AE">
      <w:pPr>
        <w:pStyle w:val="23"/>
        <w:rPr>
          <w:rFonts w:ascii="Times New Roman" w:hAnsi="Times New Roman" w:eastAsia="华文宋体"/>
        </w:rPr>
      </w:pPr>
      <w:r>
        <w:rPr>
          <w:rFonts w:hint="eastAsia" w:ascii="Times New Roman" w:hAnsi="Times New Roman" w:eastAsia="华文宋体"/>
        </w:rPr>
        <w:t>总体来看，现有文献为本文研究提供了较为坚实的理论和经验基础，但仍存在以下四方面不足。</w:t>
      </w:r>
    </w:p>
    <w:p w14:paraId="5F7AD022">
      <w:pPr>
        <w:pStyle w:val="3"/>
        <w:rPr>
          <w:rFonts w:ascii="Times New Roman" w:hAnsi="Times New Roman" w:eastAsia="华文宋体"/>
        </w:rPr>
      </w:pPr>
      <w:r>
        <w:rPr>
          <w:rFonts w:hint="eastAsia" w:ascii="Times New Roman" w:hAnsi="Times New Roman" w:eastAsia="华文宋体"/>
        </w:rPr>
        <w:t>第一，关于企业外币债务融资动机的研究较多集中于上市公司样本、房地产企业或出口型制造企业，对地方国有资本投资平台、产业型地方国企等主体关注不足。事实上，这类企业在中资境外债市场中占有重要地位，其融资逻辑兼具市场化融资与政策功能双重特征，值得单独分析。</w:t>
      </w:r>
    </w:p>
    <w:p w14:paraId="4269C51F">
      <w:pPr>
        <w:pStyle w:val="3"/>
        <w:rPr>
          <w:rFonts w:ascii="Times New Roman" w:hAnsi="Times New Roman" w:eastAsia="华文宋体"/>
        </w:rPr>
      </w:pPr>
      <w:r>
        <w:rPr>
          <w:rFonts w:hint="eastAsia" w:ascii="Times New Roman" w:hAnsi="Times New Roman" w:eastAsia="华文宋体"/>
        </w:rPr>
        <w:t>第二，现有研究对外币债务风险的讨论多在静态框架下展开，侧重识别某一时点的汇率风险或融资成本差异，而对货币政策周期切换下企业融资动机和风险暴露如何动态演化讨论不够。尤其是“量化宽松时期为何积极发行”“加息周期中为何仍有主体继续发行”“企业如何从低利率思维切换到高利率风险管理逻辑”等问题，研究仍显不足。</w:t>
      </w:r>
    </w:p>
    <w:p w14:paraId="0DD8C060">
      <w:pPr>
        <w:pStyle w:val="3"/>
        <w:rPr>
          <w:rFonts w:ascii="Times New Roman" w:hAnsi="Times New Roman" w:eastAsia="华文宋体"/>
        </w:rPr>
      </w:pPr>
      <w:r>
        <w:rPr>
          <w:rFonts w:hint="eastAsia" w:ascii="Times New Roman" w:hAnsi="Times New Roman" w:eastAsia="华文宋体"/>
        </w:rPr>
        <w:t>第三，关于企业风险管理的讨论往往集中于工具层面，如是否使用远期、掉期或套期保值会计，而对企业内部治理结构、授权体系、信息披露能力、投资者关系管理等制度性因素考虑不足。实际上，境外债成功发行及其后续稳定存续，不仅取决于是否买了对冲工具，更取决于企业是否建立了全流程风险治理体系。</w:t>
      </w:r>
    </w:p>
    <w:p w14:paraId="796F563D">
      <w:pPr>
        <w:pStyle w:val="3"/>
        <w:rPr>
          <w:rFonts w:ascii="Times New Roman" w:hAnsi="Times New Roman" w:eastAsia="华文宋体"/>
        </w:rPr>
      </w:pPr>
      <w:r>
        <w:rPr>
          <w:rFonts w:hint="eastAsia" w:ascii="Times New Roman" w:hAnsi="Times New Roman" w:eastAsia="华文宋体"/>
        </w:rPr>
        <w:t>第四，宏观层面的外债风险研究与微观层面的企业案例研究之间仍存在脱节。宏观研究强调系统性风险、资本流动和政策约束，微观研究强调企业融资与财务管理，但二者缺少有机衔接。本文试图以九龙江集团为例，在美联储货币政策外溢、中资境外债市场演变和企业微观决策之间建立联系，从而弥补上述不足。</w:t>
      </w:r>
    </w:p>
    <w:p w14:paraId="7B6BCA00">
      <w:pPr>
        <w:pStyle w:val="3"/>
        <w:rPr>
          <w:rFonts w:ascii="Times New Roman" w:hAnsi="Times New Roman" w:eastAsia="华文宋体"/>
        </w:rPr>
      </w:pPr>
      <w:r>
        <w:rPr>
          <w:rFonts w:hint="eastAsia" w:ascii="Times New Roman" w:hAnsi="Times New Roman" w:eastAsia="华文宋体"/>
        </w:rPr>
        <w:t>基于以上文献评述，本文构建如下分析框架：以美联储货币政策变化作为外部冲击变量，以国内跨境融资制度作为制度约束，以企业融资动机、资产负债结构、外币现金流、发债流程和风险管理能力作为内部决定因素，考察这些因素如何共同影响中资企业境外债券融资行为，并通过九龙江集团案例加以验证。</w:t>
      </w:r>
    </w:p>
    <w:bookmarkEnd w:id="16"/>
    <w:bookmarkEnd w:id="32"/>
    <w:p w14:paraId="2DC07ECA">
      <w:pPr>
        <w:pStyle w:val="4"/>
        <w:rPr>
          <w:rFonts w:ascii="Times New Roman" w:hAnsi="Times New Roman" w:eastAsia="华文宋体"/>
        </w:rPr>
      </w:pPr>
      <w:bookmarkStart w:id="33" w:name="三中资企业境外债券融资现状分析"/>
      <w:r>
        <w:rPr>
          <w:rFonts w:hint="eastAsia" w:ascii="Times New Roman" w:hAnsi="Times New Roman" w:eastAsia="华文宋体"/>
        </w:rPr>
        <w:t>三、中资企业境外债券融资现状分析</w:t>
      </w:r>
    </w:p>
    <w:p w14:paraId="7206395E">
      <w:pPr>
        <w:pStyle w:val="5"/>
        <w:rPr>
          <w:rFonts w:ascii="Times New Roman" w:hAnsi="Times New Roman" w:eastAsia="华文宋体"/>
        </w:rPr>
      </w:pPr>
      <w:bookmarkStart w:id="34" w:name="一中资企业境外债券融资的基本模式"/>
      <w:r>
        <w:rPr>
          <w:rFonts w:hint="eastAsia" w:ascii="Times New Roman" w:hAnsi="Times New Roman" w:eastAsia="华文宋体"/>
        </w:rPr>
        <w:t>（一）中资企业境外债券融资的基本模式</w:t>
      </w:r>
    </w:p>
    <w:p w14:paraId="2B590DBD">
      <w:pPr>
        <w:pStyle w:val="23"/>
        <w:rPr>
          <w:rFonts w:ascii="Times New Roman" w:hAnsi="Times New Roman" w:eastAsia="华文宋体"/>
        </w:rPr>
      </w:pPr>
      <w:r>
        <w:rPr>
          <w:rFonts w:hint="eastAsia" w:ascii="Times New Roman" w:hAnsi="Times New Roman" w:eastAsia="华文宋体"/>
        </w:rPr>
        <w:t>从实践看，中资企业境外债券融资并不存在单一模式，而是在监管框架、企业组织架构、投资者偏好和资金使用安排共同作用下形成多种结构。概括而言，主要有以下几类。</w:t>
      </w:r>
    </w:p>
    <w:p w14:paraId="602C5D38">
      <w:pPr>
        <w:pStyle w:val="3"/>
        <w:rPr>
          <w:rFonts w:ascii="Times New Roman" w:hAnsi="Times New Roman" w:eastAsia="华文宋体"/>
        </w:rPr>
      </w:pPr>
      <w:r>
        <w:rPr>
          <w:rFonts w:hint="eastAsia" w:ascii="Times New Roman" w:hAnsi="Times New Roman" w:eastAsia="华文宋体"/>
        </w:rPr>
        <w:t>第一，境内主体直接发行模式。该模式下，境内企业作为直接发行人面向境外市场发行债券，通常适用于治理规范、国际化程度较高、具备较强信息披露能力的大型企业或金融机构。直接发行的优点是法律关系相对简单、投资者容易识别债务主体、信息披露链条较短；缺点是对主体本身的合规性、披露能力和国际评级要求较高，且募集资金用途和跨境流转路径需严格匹配监管要求。</w:t>
      </w:r>
    </w:p>
    <w:p w14:paraId="05570CD3">
      <w:pPr>
        <w:pStyle w:val="3"/>
        <w:rPr>
          <w:rFonts w:ascii="Times New Roman" w:hAnsi="Times New Roman" w:eastAsia="华文宋体"/>
        </w:rPr>
      </w:pPr>
      <w:r>
        <w:rPr>
          <w:rFonts w:hint="eastAsia" w:ascii="Times New Roman" w:hAnsi="Times New Roman" w:eastAsia="华文宋体"/>
        </w:rPr>
        <w:t>第二，境外子公司或特殊目的载体（SPV）发行模式。这是中资企业境外发债中最常见的结构。企业通常在香港、英属维尔京群岛、开曼群岛或其他常见离岸司法辖区设立融资平台，由该平台作为发行主体发行债券，境内母公司通过担保、维好协议、流动性支持函、股权质押或其他增信安排提升债券信用。该模式的优点在于操作成熟、便于适配国际投资者习惯、灵活性较高；但同时会带来跨境担保、资金回流、增信有效性和信息披露协调等问题。</w:t>
      </w:r>
    </w:p>
    <w:p w14:paraId="331A2498">
      <w:pPr>
        <w:pStyle w:val="3"/>
        <w:rPr>
          <w:rFonts w:ascii="Times New Roman" w:hAnsi="Times New Roman" w:eastAsia="华文宋体"/>
        </w:rPr>
      </w:pPr>
      <w:r>
        <w:rPr>
          <w:rFonts w:hint="eastAsia" w:ascii="Times New Roman" w:hAnsi="Times New Roman" w:eastAsia="华文宋体"/>
        </w:rPr>
        <w:t>第三，红筹架构发行模式。对于在境外上市或采用红筹架构运营的企业，境外控股主体通常直接成为发债主体。这类企业的投资者基础更国际化，披露框架也较成熟，但其发债信用更多取决于境外上市实体本身的财务状况和股权结构，而非境内资产单独信用。</w:t>
      </w:r>
    </w:p>
    <w:p w14:paraId="72988949">
      <w:pPr>
        <w:pStyle w:val="3"/>
        <w:rPr>
          <w:rFonts w:ascii="Times New Roman" w:hAnsi="Times New Roman" w:eastAsia="华文宋体"/>
        </w:rPr>
      </w:pPr>
      <w:r>
        <w:rPr>
          <w:rFonts w:hint="eastAsia" w:ascii="Times New Roman" w:hAnsi="Times New Roman" w:eastAsia="华文宋体"/>
        </w:rPr>
        <w:t>第四，项目融资或专项融资模式。部分中资企业境外发债并非以一般公司信用为基础，而是围绕海外基础设施项目、绿色项目、可持续发展项目或特定资产组合展开。此类模式在大型央企和基础设施企业中较常见，募集资金用途相对明确，条款设计也更强调项目现金流支持和专项监督。</w:t>
      </w:r>
    </w:p>
    <w:p w14:paraId="6F3A49F3">
      <w:pPr>
        <w:pStyle w:val="3"/>
        <w:rPr>
          <w:rFonts w:ascii="Times New Roman" w:hAnsi="Times New Roman" w:eastAsia="华文宋体"/>
        </w:rPr>
      </w:pPr>
      <w:r>
        <w:rPr>
          <w:rFonts w:hint="eastAsia" w:ascii="Times New Roman" w:hAnsi="Times New Roman" w:eastAsia="华文宋体"/>
        </w:rPr>
        <w:t>从市场接受度看，国际投资者通常更关注两个问题：一是最终偿债主体是谁；二是发行结构是否能够有效隔离风险并保证偿债安排的可执行性。因此，企业在选择发行模式时，必须综合考虑自身组织架构、资金用途、国际评级需求和监管要求，不能简单照搬其他企业经验。</w:t>
      </w:r>
    </w:p>
    <w:bookmarkEnd w:id="34"/>
    <w:p w14:paraId="21CAF58C">
      <w:pPr>
        <w:pStyle w:val="5"/>
        <w:rPr>
          <w:rFonts w:ascii="Times New Roman" w:hAnsi="Times New Roman" w:eastAsia="华文宋体"/>
        </w:rPr>
      </w:pPr>
      <w:bookmarkStart w:id="35" w:name="二境外发债流程与中介体系"/>
      <w:r>
        <w:rPr>
          <w:rFonts w:hint="eastAsia" w:ascii="Times New Roman" w:hAnsi="Times New Roman" w:eastAsia="华文宋体"/>
        </w:rPr>
        <w:t>（二）境外发债流程与中介体系</w:t>
      </w:r>
    </w:p>
    <w:p w14:paraId="047DAD10">
      <w:pPr>
        <w:pStyle w:val="23"/>
        <w:rPr>
          <w:rFonts w:ascii="Times New Roman" w:hAnsi="Times New Roman" w:eastAsia="华文宋体"/>
        </w:rPr>
      </w:pPr>
      <w:r>
        <w:rPr>
          <w:rFonts w:hint="eastAsia" w:ascii="Times New Roman" w:hAnsi="Times New Roman" w:eastAsia="华文宋体"/>
        </w:rPr>
        <w:t>中资企业境外债券发行流程通常包括前期论证、监管程序、中介聘请、评级尽调、路演簿记、发行交割和存续期管理七个主要环节。</w:t>
      </w:r>
    </w:p>
    <w:p w14:paraId="1A1F94F5">
      <w:pPr>
        <w:pStyle w:val="3"/>
        <w:rPr>
          <w:rFonts w:ascii="Times New Roman" w:hAnsi="Times New Roman" w:eastAsia="华文宋体"/>
        </w:rPr>
      </w:pPr>
      <w:r>
        <w:rPr>
          <w:rFonts w:hint="eastAsia" w:ascii="Times New Roman" w:hAnsi="Times New Roman" w:eastAsia="华文宋体"/>
        </w:rPr>
        <w:t>在前期论证阶段，企业需首先明确发债目的、币种、规模、期限、是否需要担保、资金用途以及回流路径等核心问题。若企业发债动机不清晰，往往会在后续监管沟通和投资者询价环节受到质疑。尤其在美联储加息背景下，企业更需要比较境内贷款、境内债券、境外银团、境外债券等多种融资工具的综合成本，而不能仅以名义票息作为决策依据。</w:t>
      </w:r>
    </w:p>
    <w:p w14:paraId="2E85A35D">
      <w:pPr>
        <w:pStyle w:val="3"/>
        <w:rPr>
          <w:rFonts w:ascii="Times New Roman" w:hAnsi="Times New Roman" w:eastAsia="华文宋体"/>
        </w:rPr>
      </w:pPr>
      <w:r>
        <w:rPr>
          <w:rFonts w:hint="eastAsia" w:ascii="Times New Roman" w:hAnsi="Times New Roman" w:eastAsia="华文宋体"/>
        </w:rPr>
        <w:t>监管程序是中资企业境外发债的关键前置步骤。按照现行制度，企业借用中长期外债通常需依据国家发展改革委相关规则履行审核登记程序，同时根据资金流向、担保结构和主体安排配合办理外汇登记、跨境担保、统计申报等事项。对于涉及借新还旧、境内用途、资本金注入或境外并购的项目，监管部门会更加关注其合规性、真实性和偿债安排。</w:t>
      </w:r>
    </w:p>
    <w:p w14:paraId="13C4D488">
      <w:pPr>
        <w:pStyle w:val="3"/>
        <w:rPr>
          <w:rFonts w:ascii="Times New Roman" w:hAnsi="Times New Roman" w:eastAsia="华文宋体"/>
        </w:rPr>
      </w:pPr>
      <w:r>
        <w:rPr>
          <w:rFonts w:hint="eastAsia" w:ascii="Times New Roman" w:hAnsi="Times New Roman" w:eastAsia="华文宋体"/>
        </w:rPr>
        <w:t>中介机构方面，境外债发行通常需要承销商、国际律师、境内律师、审计机构、受托人、财务顾问、评级机构和上市代理人等多方参与。承销商负责发行结构设计、投资者路演、簿记定价和市场沟通；律师负责出具法律意见、审查合同条款和合规结构；审计机构负责财务报表审阅；评级机构则通过国际评级帮助投资者判断信用风险。对首次发债企业而言，中介机构的专业能力和经验直接影响发行效率和定价效果。</w:t>
      </w:r>
    </w:p>
    <w:p w14:paraId="5293A405">
      <w:pPr>
        <w:pStyle w:val="3"/>
        <w:rPr>
          <w:rFonts w:ascii="Times New Roman" w:hAnsi="Times New Roman" w:eastAsia="华文宋体"/>
        </w:rPr>
      </w:pPr>
      <w:r>
        <w:rPr>
          <w:rFonts w:hint="eastAsia" w:ascii="Times New Roman" w:hAnsi="Times New Roman" w:eastAsia="华文宋体"/>
        </w:rPr>
        <w:t>路演簿记阶段是市场化定价的核心环节。企业需要通过投资者推介准确传达自身业务结构、财务表现、偿债能力和政策边界。国际投资者通常会重点关注企业与地方政府的关系、经营现金流质量、资产可变现能力、外币收入来源、短期债务压力以及是否存在重大或有负债。若企业回答含糊、披露不足或逻辑不清，往往会导致订单质量下降、利差走阔甚至发行失败。</w:t>
      </w:r>
    </w:p>
    <w:p w14:paraId="797087A5">
      <w:pPr>
        <w:pStyle w:val="3"/>
        <w:rPr>
          <w:rFonts w:ascii="Times New Roman" w:hAnsi="Times New Roman" w:eastAsia="华文宋体"/>
        </w:rPr>
      </w:pPr>
      <w:r>
        <w:rPr>
          <w:rFonts w:hint="eastAsia" w:ascii="Times New Roman" w:hAnsi="Times New Roman" w:eastAsia="华文宋体"/>
        </w:rPr>
        <w:t>债券发行后并不意味着风险终结。存续期管理同样重要，具体包括募集资金用途跟踪、利息支付安排、投资者沟通、评级维护、定期信息披露、再融资准备以及重大事项报送。境外债市场对发行人持续透明度要求较高，很多企业的问题并非出现在发行环节，而是出现在存续期内的披露不足、资金用途偏离或流动性安排不足上。</w:t>
      </w:r>
    </w:p>
    <w:bookmarkEnd w:id="35"/>
    <w:p w14:paraId="7A067BF1">
      <w:pPr>
        <w:pStyle w:val="5"/>
        <w:rPr>
          <w:rFonts w:ascii="Times New Roman" w:hAnsi="Times New Roman" w:eastAsia="华文宋体"/>
        </w:rPr>
      </w:pPr>
      <w:bookmarkStart w:id="36" w:name="三中资美元债市场发展历程"/>
      <w:r>
        <w:rPr>
          <w:rFonts w:hint="eastAsia" w:ascii="Times New Roman" w:hAnsi="Times New Roman" w:eastAsia="华文宋体"/>
        </w:rPr>
        <w:t>（三）中资美元债市场发展历程</w:t>
      </w:r>
    </w:p>
    <w:p w14:paraId="11CA2674">
      <w:pPr>
        <w:pStyle w:val="23"/>
        <w:rPr>
          <w:rFonts w:ascii="Times New Roman" w:hAnsi="Times New Roman" w:eastAsia="华文宋体"/>
        </w:rPr>
      </w:pPr>
      <w:r>
        <w:rPr>
          <w:rFonts w:hint="eastAsia" w:ascii="Times New Roman" w:hAnsi="Times New Roman" w:eastAsia="华文宋体"/>
        </w:rPr>
        <w:t>若从历史脉络观察，中资企业境外债券市场大体经历了四个发展阶段。</w:t>
      </w:r>
    </w:p>
    <w:p w14:paraId="559CB55D">
      <w:pPr>
        <w:pStyle w:val="6"/>
        <w:rPr>
          <w:rFonts w:ascii="Times New Roman" w:hAnsi="Times New Roman" w:eastAsia="华文宋体"/>
        </w:rPr>
      </w:pPr>
      <w:bookmarkStart w:id="37" w:name="起步探索阶段1986年至2001年"/>
      <w:r>
        <w:rPr>
          <w:rFonts w:ascii="Times New Roman" w:hAnsi="Times New Roman" w:eastAsia="华文宋体"/>
        </w:rPr>
        <w:t xml:space="preserve">1. </w:t>
      </w:r>
      <w:r>
        <w:rPr>
          <w:rFonts w:hint="eastAsia" w:ascii="Times New Roman" w:hAnsi="Times New Roman" w:eastAsia="华文宋体"/>
        </w:rPr>
        <w:t>起步探索阶段：1986年至2001年</w:t>
      </w:r>
    </w:p>
    <w:p w14:paraId="220C6841">
      <w:pPr>
        <w:pStyle w:val="23"/>
        <w:rPr>
          <w:rFonts w:ascii="Times New Roman" w:hAnsi="Times New Roman" w:eastAsia="华文宋体"/>
        </w:rPr>
      </w:pPr>
      <w:r>
        <w:rPr>
          <w:rFonts w:hint="eastAsia" w:ascii="Times New Roman" w:hAnsi="Times New Roman" w:eastAsia="华文宋体"/>
        </w:rPr>
        <w:t>这一阶段可视为中资境外债市场的萌芽期。中资机构在东京、香港等市场少量发行日元债或美元债，发行主体以窗口企业、政策性金融机构和大型央企为主，发行目的多在于探索国际资本市场规则、积累境外融资经验。由于彼时中国资本项目管理相对严格、企业国际化程度有限，境外债市场规模较小，尚未形成持续扩张的市场生态。</w:t>
      </w:r>
    </w:p>
    <w:bookmarkEnd w:id="37"/>
    <w:p w14:paraId="70C735CA">
      <w:pPr>
        <w:pStyle w:val="6"/>
        <w:rPr>
          <w:rFonts w:ascii="Times New Roman" w:hAnsi="Times New Roman" w:eastAsia="华文宋体"/>
        </w:rPr>
      </w:pPr>
      <w:bookmarkStart w:id="38" w:name="逐步扩张阶段2002年至2008年"/>
      <w:r>
        <w:rPr>
          <w:rFonts w:ascii="Times New Roman" w:hAnsi="Times New Roman" w:eastAsia="华文宋体"/>
        </w:rPr>
        <w:t xml:space="preserve">2. </w:t>
      </w:r>
      <w:r>
        <w:rPr>
          <w:rFonts w:hint="eastAsia" w:ascii="Times New Roman" w:hAnsi="Times New Roman" w:eastAsia="华文宋体"/>
        </w:rPr>
        <w:t>逐步扩张阶段：2002年至2008年</w:t>
      </w:r>
    </w:p>
    <w:p w14:paraId="3F1056CD">
      <w:pPr>
        <w:pStyle w:val="23"/>
        <w:rPr>
          <w:rFonts w:ascii="Times New Roman" w:hAnsi="Times New Roman" w:eastAsia="华文宋体"/>
        </w:rPr>
      </w:pPr>
      <w:r>
        <w:rPr>
          <w:rFonts w:hint="eastAsia" w:ascii="Times New Roman" w:hAnsi="Times New Roman" w:eastAsia="华文宋体"/>
        </w:rPr>
        <w:t>中国加入世界贸易组织后，外贸快速增长，企业“走出去”步伐加快，国际金融机构和投资者对中国企业认知显著提升。香港作为离岸人民币和美元债市场的重要枢纽，逐渐成为中资企业境外发债的核心市场。这一时期，金融机构、大型央企和部分产业龙头开始较频繁地使用境外债进行融资，但整体仍以高资质主体为主。</w:t>
      </w:r>
    </w:p>
    <w:bookmarkEnd w:id="38"/>
    <w:p w14:paraId="5824F25C">
      <w:pPr>
        <w:pStyle w:val="6"/>
        <w:rPr>
          <w:rFonts w:ascii="Times New Roman" w:hAnsi="Times New Roman" w:eastAsia="华文宋体"/>
        </w:rPr>
      </w:pPr>
      <w:bookmarkStart w:id="39" w:name="快速繁荣阶段2009年至2021年"/>
      <w:r>
        <w:rPr>
          <w:rFonts w:ascii="Times New Roman" w:hAnsi="Times New Roman" w:eastAsia="华文宋体"/>
        </w:rPr>
        <w:t xml:space="preserve">3. </w:t>
      </w:r>
      <w:r>
        <w:rPr>
          <w:rFonts w:hint="eastAsia" w:ascii="Times New Roman" w:hAnsi="Times New Roman" w:eastAsia="华文宋体"/>
        </w:rPr>
        <w:t>快速繁荣阶段：2009年至2021年</w:t>
      </w:r>
    </w:p>
    <w:p w14:paraId="0B0DFEE1">
      <w:pPr>
        <w:pStyle w:val="23"/>
        <w:rPr>
          <w:rFonts w:ascii="Times New Roman" w:hAnsi="Times New Roman" w:eastAsia="华文宋体"/>
        </w:rPr>
      </w:pPr>
      <w:r>
        <w:rPr>
          <w:rFonts w:hint="eastAsia" w:ascii="Times New Roman" w:hAnsi="Times New Roman" w:eastAsia="华文宋体"/>
        </w:rPr>
        <w:t>国际金融危机后，美联储持续量化宽松带来的低利率和高流动性，成为中资美元债快速繁荣的关键外部条件。与此同时，中国经济保持较高增长，地方建设投资、房地产开发、产业升级和海外并购活跃，企业对中长期资金的需求大幅上升。2015年发改外资〔2015〕2044号文发布后，企业中长期外债管理由审批制转向备案登记制，制度便利度显著提升，进一步推动中资境外债市场扩容。</w:t>
      </w:r>
    </w:p>
    <w:p w14:paraId="4CBBEDC0">
      <w:pPr>
        <w:pStyle w:val="3"/>
        <w:rPr>
          <w:rFonts w:ascii="Times New Roman" w:hAnsi="Times New Roman" w:eastAsia="华文宋体"/>
        </w:rPr>
      </w:pPr>
      <w:r>
        <w:rPr>
          <w:rFonts w:hint="eastAsia" w:ascii="Times New Roman" w:hAnsi="Times New Roman" w:eastAsia="华文宋体"/>
        </w:rPr>
        <w:t>在这一阶段，房地产企业成为中资高收益美元债的核心发行群体，地方国企和城投平台也借助离岸市场拓宽融资来源。大量企业将境外债用于借新还旧、项目建设、境外投资和债务结构优化，市场规模快速上升，投资者群体也从少数国际机构扩展到亚洲私人银行、资产管理机构、保险资金和专项基金。可以说，2009年至2021年是中资境外债市场的“黄金扩张期”。</w:t>
      </w:r>
    </w:p>
    <w:bookmarkEnd w:id="39"/>
    <w:p w14:paraId="5061DF78">
      <w:pPr>
        <w:pStyle w:val="6"/>
        <w:rPr>
          <w:rFonts w:ascii="Times New Roman" w:hAnsi="Times New Roman" w:eastAsia="华文宋体"/>
        </w:rPr>
      </w:pPr>
      <w:bookmarkStart w:id="40" w:name="调整分化阶段2022年至今"/>
      <w:r>
        <w:rPr>
          <w:rFonts w:ascii="Times New Roman" w:hAnsi="Times New Roman" w:eastAsia="华文宋体"/>
        </w:rPr>
        <w:t xml:space="preserve">4. </w:t>
      </w:r>
      <w:r>
        <w:rPr>
          <w:rFonts w:hint="eastAsia" w:ascii="Times New Roman" w:hAnsi="Times New Roman" w:eastAsia="华文宋体"/>
        </w:rPr>
        <w:t>调整分化阶段：2022年至今</w:t>
      </w:r>
    </w:p>
    <w:p w14:paraId="6BF6CD2D">
      <w:pPr>
        <w:pStyle w:val="23"/>
        <w:rPr>
          <w:rFonts w:ascii="Times New Roman" w:hAnsi="Times New Roman" w:eastAsia="华文宋体"/>
        </w:rPr>
      </w:pPr>
      <w:r>
        <w:rPr>
          <w:rFonts w:hint="eastAsia" w:ascii="Times New Roman" w:hAnsi="Times New Roman" w:eastAsia="华文宋体"/>
        </w:rPr>
        <w:t>2022年起，中资境外债市场进入深度调整。美联储快速加息抬升了国际债券市场无风险利率，美元指数走强使人民币口径偿债压力增加，国际投资者对新兴市场和高收益信用债持更审慎态度。与此同时，房地产行业信用事件集中暴露，导致中资高收益美元债市场几乎陷入停滞。市场开始出现显著分层：央企、金融机构、地方优质国企和龙头制造业企业仍具备一定发行能力，而信用资质较弱或行业景气度下降的主体则面临再融资困难。</w:t>
      </w:r>
    </w:p>
    <w:p w14:paraId="4AAC0631">
      <w:pPr>
        <w:pStyle w:val="3"/>
        <w:rPr>
          <w:rFonts w:ascii="Times New Roman" w:hAnsi="Times New Roman" w:eastAsia="华文宋体"/>
        </w:rPr>
      </w:pPr>
      <w:r>
        <w:rPr>
          <w:rFonts w:hint="eastAsia" w:ascii="Times New Roman" w:hAnsi="Times New Roman" w:eastAsia="华文宋体"/>
        </w:rPr>
        <w:t>这一阶段的重要特征是，国际投资者不再基于“中国概念”给予普遍溢价，而是更加细致地区分主体性质、行业属性、现金流来源、政府支持边界和用途合规性。市场对“谁在真正创造现金流、谁能够持续再融资、谁只是依赖高杠杆滚续”的识别能力显著提高，中资境外债由此从扩张逻辑转向筛选逻辑。</w:t>
      </w:r>
    </w:p>
    <w:bookmarkEnd w:id="36"/>
    <w:bookmarkEnd w:id="40"/>
    <w:p w14:paraId="72636404">
      <w:pPr>
        <w:pStyle w:val="5"/>
        <w:rPr>
          <w:rFonts w:ascii="Times New Roman" w:hAnsi="Times New Roman" w:eastAsia="华文宋体"/>
        </w:rPr>
      </w:pPr>
      <w:bookmarkStart w:id="41" w:name="四发行成本构成与比较"/>
      <w:r>
        <w:rPr>
          <w:rFonts w:hint="eastAsia" w:ascii="Times New Roman" w:hAnsi="Times New Roman" w:eastAsia="华文宋体"/>
        </w:rPr>
        <w:t>（四）发行成本构成与比较</w:t>
      </w:r>
    </w:p>
    <w:p w14:paraId="507A0678">
      <w:pPr>
        <w:pStyle w:val="23"/>
        <w:rPr>
          <w:rFonts w:ascii="Times New Roman" w:hAnsi="Times New Roman" w:eastAsia="华文宋体"/>
        </w:rPr>
      </w:pPr>
      <w:r>
        <w:rPr>
          <w:rFonts w:hint="eastAsia" w:ascii="Times New Roman" w:hAnsi="Times New Roman" w:eastAsia="华文宋体"/>
        </w:rPr>
        <w:t>企业判断境外债是否具有融资优势，必须准确理解其成本构成。境外债综合成本主要由以下部分组成。</w:t>
      </w:r>
    </w:p>
    <w:p w14:paraId="0790B000">
      <w:pPr>
        <w:pStyle w:val="3"/>
        <w:rPr>
          <w:rFonts w:ascii="Times New Roman" w:hAnsi="Times New Roman" w:eastAsia="华文宋体"/>
        </w:rPr>
      </w:pPr>
      <w:r>
        <w:rPr>
          <w:rFonts w:hint="eastAsia" w:ascii="Times New Roman" w:hAnsi="Times New Roman" w:eastAsia="华文宋体"/>
        </w:rPr>
        <w:t>第一，无风险利率成本。美元债定价通常以美国国债收益率为基础，因此美联储货币政策对这一部分成本具有直接决定作用。量化宽松时期，美国国债收益率显著下降，企业发行美元债的基础成本较低；加息周期中，国债收益率抬升则直接推高票息。</w:t>
      </w:r>
    </w:p>
    <w:p w14:paraId="22EF2FEF">
      <w:pPr>
        <w:pStyle w:val="3"/>
        <w:rPr>
          <w:rFonts w:ascii="Times New Roman" w:hAnsi="Times New Roman" w:eastAsia="华文宋体"/>
        </w:rPr>
      </w:pPr>
      <w:r>
        <w:rPr>
          <w:rFonts w:hint="eastAsia" w:ascii="Times New Roman" w:hAnsi="Times New Roman" w:eastAsia="华文宋体"/>
        </w:rPr>
        <w:t>第二，信用利差成本。信用利差反映市场对发行人信用风险的定价，与主体评级、行业属性、财务表现、市场情绪和投资者偏好高度相关。在风险偏好高的时期，信用利差可能被显著压缩；一旦行业出现违约事件或国际市场情绪转弱，信用利差会迅速走阔。</w:t>
      </w:r>
    </w:p>
    <w:p w14:paraId="260A9CC2">
      <w:pPr>
        <w:pStyle w:val="3"/>
        <w:rPr>
          <w:rFonts w:ascii="Times New Roman" w:hAnsi="Times New Roman" w:eastAsia="华文宋体"/>
        </w:rPr>
      </w:pPr>
      <w:r>
        <w:rPr>
          <w:rFonts w:hint="eastAsia" w:ascii="Times New Roman" w:hAnsi="Times New Roman" w:eastAsia="华文宋体"/>
        </w:rPr>
        <w:t>第三，发行费用。包括承销费、律师费、审计费、评级费、上市费、受托管理费等。对于首次发债企业而言，前期准备成本往往较高。</w:t>
      </w:r>
    </w:p>
    <w:p w14:paraId="6C360E3D">
      <w:pPr>
        <w:pStyle w:val="3"/>
        <w:rPr>
          <w:rFonts w:ascii="Times New Roman" w:hAnsi="Times New Roman" w:eastAsia="华文宋体"/>
        </w:rPr>
      </w:pPr>
      <w:r>
        <w:rPr>
          <w:rFonts w:hint="eastAsia" w:ascii="Times New Roman" w:hAnsi="Times New Roman" w:eastAsia="华文宋体"/>
        </w:rPr>
        <w:t>第四，汇率和套保成本。若企业需要将募集资金兑换为人民币使用，或未来以人民币现金流偿还外币债务，则必须考虑远期购汇、掉期或其他套期保值安排的成本。加息周期中，中美利差和美元利率上升使对冲成本明显增加，这往往是企业在比较境内外融资时最容易低估的一项支出。</w:t>
      </w:r>
    </w:p>
    <w:p w14:paraId="7EE5B802">
      <w:pPr>
        <w:pStyle w:val="3"/>
        <w:rPr>
          <w:rFonts w:ascii="Times New Roman" w:hAnsi="Times New Roman" w:eastAsia="华文宋体"/>
        </w:rPr>
      </w:pPr>
      <w:r>
        <w:rPr>
          <w:rFonts w:hint="eastAsia" w:ascii="Times New Roman" w:hAnsi="Times New Roman" w:eastAsia="华文宋体"/>
        </w:rPr>
        <w:t>第五，资金回流和制度摩擦成本。境外资金若用于境内，还需考虑回流路径、审批或登记流程、资金到账时间以及可能的用途限制。这些并非直接表现为票息，但会影响资金可得性和整体融资效率。</w:t>
      </w:r>
    </w:p>
    <w:p w14:paraId="0D2FEA03">
      <w:pPr>
        <w:pStyle w:val="3"/>
        <w:rPr>
          <w:rFonts w:ascii="Times New Roman" w:hAnsi="Times New Roman" w:eastAsia="华文宋体"/>
        </w:rPr>
      </w:pPr>
      <w:r>
        <w:rPr>
          <w:rFonts w:hint="eastAsia" w:ascii="Times New Roman" w:hAnsi="Times New Roman" w:eastAsia="华文宋体"/>
        </w:rPr>
        <w:t>因此，所谓“境外债便宜”通常只在特定条件下成立：如美债利率较低、企业信用利差稳定、汇率风险较小、资金用途以境外为主或具备自然对冲。如果这些条件发生变化，境外债综合成本可能高于境内债务融资。</w:t>
      </w:r>
    </w:p>
    <w:bookmarkEnd w:id="41"/>
    <w:p w14:paraId="2740F110">
      <w:pPr>
        <w:pStyle w:val="5"/>
        <w:rPr>
          <w:rFonts w:ascii="Times New Roman" w:hAnsi="Times New Roman" w:eastAsia="华文宋体"/>
        </w:rPr>
      </w:pPr>
      <w:bookmarkStart w:id="42" w:name="五资金回流路径及其约束"/>
      <w:r>
        <w:rPr>
          <w:rFonts w:hint="eastAsia" w:ascii="Times New Roman" w:hAnsi="Times New Roman" w:eastAsia="华文宋体"/>
        </w:rPr>
        <w:t>（五）资金回流路径及其约束</w:t>
      </w:r>
    </w:p>
    <w:p w14:paraId="768033A4">
      <w:pPr>
        <w:pStyle w:val="23"/>
        <w:rPr>
          <w:rFonts w:ascii="Times New Roman" w:hAnsi="Times New Roman" w:eastAsia="华文宋体"/>
        </w:rPr>
      </w:pPr>
      <w:r>
        <w:rPr>
          <w:rFonts w:hint="eastAsia" w:ascii="Times New Roman" w:hAnsi="Times New Roman" w:eastAsia="华文宋体"/>
        </w:rPr>
        <w:t>中资企业境外发债募集的资金并不总是直接在境外使用，许多企业希望将部分资金回流境内，以支持境内项目建设、补充流动性或置换既有债务。在现行监管框架下，资金回流的常见路径包括：外债借入后由境内主体按照规定办理登记并结汇使用；境外子公司以股东借款形式向境内子公司提供资金；通过资本金注入、增资扩股等方式将境外募集资金转化为境内权益资金；在符合政策条件下，通过内保外贷替换、跨境直贷或自贸区便利化安排实现跨境资金调拨。</w:t>
      </w:r>
    </w:p>
    <w:p w14:paraId="7746A16E">
      <w:pPr>
        <w:pStyle w:val="3"/>
        <w:rPr>
          <w:rFonts w:ascii="Times New Roman" w:hAnsi="Times New Roman" w:eastAsia="华文宋体"/>
        </w:rPr>
      </w:pPr>
      <w:r>
        <w:rPr>
          <w:rFonts w:hint="eastAsia" w:ascii="Times New Roman" w:hAnsi="Times New Roman" w:eastAsia="华文宋体"/>
        </w:rPr>
        <w:t>资金回流路径的设计受到三类约束。第一，真实性约束。监管部门要求募集资金用途真实、明确、可追溯，企业不能以“境外项目”名义实际投向受限领域。第二，一致性约束。发行时在审核登记、募集说明文件和投资者材料中承诺的用途，应与后续实际使用保持一致。第三，期限和币种匹配约束。若企业通过短期外债支持长期境内项目，或形成大规模本币资产与外币负债错配，则即使表面上合规，也可能积累财务风险。</w:t>
      </w:r>
    </w:p>
    <w:p w14:paraId="7F792BD7">
      <w:pPr>
        <w:pStyle w:val="3"/>
        <w:rPr>
          <w:rFonts w:ascii="Times New Roman" w:hAnsi="Times New Roman" w:eastAsia="华文宋体"/>
        </w:rPr>
      </w:pPr>
      <w:r>
        <w:rPr>
          <w:rFonts w:hint="eastAsia" w:ascii="Times New Roman" w:hAnsi="Times New Roman" w:eastAsia="华文宋体"/>
        </w:rPr>
        <w:t>由于这些约束的存在，境外债并不适合所有境内用途。对于真正存在海外并购、海外采购、外币项目支出或外币经营需求的企业，境外债的效率和合理性更高；而对于完全以内需业务为主、几乎没有外币经营现金流的企业，境外债在资金回流后很容易转化为纯粹的汇率敞口。因此，企业在设计发债结构时，必须把回流路径与用途匹配问题纳入决策核心，而不能等发行完成后再被动寻找使用安排。</w:t>
      </w:r>
    </w:p>
    <w:bookmarkEnd w:id="42"/>
    <w:p w14:paraId="795A889D">
      <w:pPr>
        <w:pStyle w:val="5"/>
        <w:rPr>
          <w:rFonts w:ascii="Times New Roman" w:hAnsi="Times New Roman" w:eastAsia="华文宋体"/>
        </w:rPr>
      </w:pPr>
      <w:bookmarkStart w:id="43" w:name="六发行主体的行业分布与信用分层"/>
      <w:r>
        <w:rPr>
          <w:rFonts w:hint="eastAsia" w:ascii="Times New Roman" w:hAnsi="Times New Roman" w:eastAsia="华文宋体"/>
        </w:rPr>
        <w:t>（六）发行主体的行业分布与信用分层</w:t>
      </w:r>
    </w:p>
    <w:p w14:paraId="7ECB2AD7">
      <w:pPr>
        <w:pStyle w:val="23"/>
        <w:rPr>
          <w:rFonts w:ascii="Times New Roman" w:hAnsi="Times New Roman" w:eastAsia="华文宋体"/>
        </w:rPr>
      </w:pPr>
      <w:r>
        <w:rPr>
          <w:rFonts w:hint="eastAsia" w:ascii="Times New Roman" w:hAnsi="Times New Roman" w:eastAsia="华文宋体"/>
        </w:rPr>
        <w:t>在中资境外债市场的发展过程中，不同行业的发债逻辑和风险特征差异明显。</w:t>
      </w:r>
    </w:p>
    <w:p w14:paraId="195A5C49">
      <w:pPr>
        <w:pStyle w:val="6"/>
        <w:rPr>
          <w:rFonts w:ascii="Times New Roman" w:hAnsi="Times New Roman" w:eastAsia="华文宋体"/>
        </w:rPr>
      </w:pPr>
      <w:bookmarkStart w:id="44" w:name="房地产行业"/>
      <w:r>
        <w:rPr>
          <w:rFonts w:ascii="Times New Roman" w:hAnsi="Times New Roman" w:eastAsia="华文宋体"/>
        </w:rPr>
        <w:t xml:space="preserve">1. </w:t>
      </w:r>
      <w:r>
        <w:rPr>
          <w:rFonts w:hint="eastAsia" w:ascii="Times New Roman" w:hAnsi="Times New Roman" w:eastAsia="华文宋体"/>
        </w:rPr>
        <w:t>房地产行业</w:t>
      </w:r>
    </w:p>
    <w:p w14:paraId="2469016E">
      <w:pPr>
        <w:pStyle w:val="23"/>
        <w:rPr>
          <w:rFonts w:ascii="Times New Roman" w:hAnsi="Times New Roman" w:eastAsia="华文宋体"/>
        </w:rPr>
      </w:pPr>
      <w:r>
        <w:rPr>
          <w:rFonts w:hint="eastAsia" w:ascii="Times New Roman" w:hAnsi="Times New Roman" w:eastAsia="华文宋体"/>
        </w:rPr>
        <w:t>房地产企业曾是中资高收益美元债最主要的发行群体，原因在于其资金需求大、开发周期长、境内融资约束较多，且美元债在一段时期内成本较低、用途相对灵活。许多房企通过美元债支持土地储备、项目开发和借新还旧。然而，房地产行业天然存在高杠杆、强周期和高度依赖销售回款的特征，一旦行业景气度下行、境内政策收紧和美元利率抬升，美元债风险便会快速暴露。2021年以来房企美元债违约潮，深刻改变了国际投资者对中资信用债的风险认知。</w:t>
      </w:r>
    </w:p>
    <w:bookmarkEnd w:id="44"/>
    <w:p w14:paraId="0F128D38">
      <w:pPr>
        <w:pStyle w:val="6"/>
        <w:rPr>
          <w:rFonts w:ascii="Times New Roman" w:hAnsi="Times New Roman" w:eastAsia="华文宋体"/>
        </w:rPr>
      </w:pPr>
      <w:bookmarkStart w:id="45" w:name="金融机构"/>
      <w:r>
        <w:rPr>
          <w:rFonts w:ascii="Times New Roman" w:hAnsi="Times New Roman" w:eastAsia="华文宋体"/>
        </w:rPr>
        <w:t xml:space="preserve">2. </w:t>
      </w:r>
      <w:r>
        <w:rPr>
          <w:rFonts w:hint="eastAsia" w:ascii="Times New Roman" w:hAnsi="Times New Roman" w:eastAsia="华文宋体"/>
        </w:rPr>
        <w:t>金融机构</w:t>
      </w:r>
    </w:p>
    <w:p w14:paraId="1962C188">
      <w:pPr>
        <w:pStyle w:val="23"/>
        <w:rPr>
          <w:rFonts w:ascii="Times New Roman" w:hAnsi="Times New Roman" w:eastAsia="华文宋体"/>
        </w:rPr>
      </w:pPr>
      <w:r>
        <w:rPr>
          <w:rFonts w:hint="eastAsia" w:ascii="Times New Roman" w:hAnsi="Times New Roman" w:eastAsia="华文宋体"/>
        </w:rPr>
        <w:t>金融机构境外发债通常服务于补充资本、优化负债结构、支持跨境业务和提升国际市场影响力。与一般企业相比，金融机构在信息披露、监管协调和投资者基础方面更为成熟，信用资质也通常较高，因此在境外债市场具备更稳定的发行能力。其风险更多体现在监管资本要求、利率风险和全球金融市场波动的传导上。</w:t>
      </w:r>
    </w:p>
    <w:bookmarkEnd w:id="45"/>
    <w:p w14:paraId="20AE730E">
      <w:pPr>
        <w:pStyle w:val="6"/>
        <w:rPr>
          <w:rFonts w:ascii="Times New Roman" w:hAnsi="Times New Roman" w:eastAsia="华文宋体"/>
        </w:rPr>
      </w:pPr>
      <w:bookmarkStart w:id="46" w:name="地方国企与城投平台"/>
      <w:r>
        <w:rPr>
          <w:rFonts w:ascii="Times New Roman" w:hAnsi="Times New Roman" w:eastAsia="华文宋体"/>
        </w:rPr>
        <w:t xml:space="preserve">3. </w:t>
      </w:r>
      <w:r>
        <w:rPr>
          <w:rFonts w:hint="eastAsia" w:ascii="Times New Roman" w:hAnsi="Times New Roman" w:eastAsia="华文宋体"/>
        </w:rPr>
        <w:t>地方国企与城投平台</w:t>
      </w:r>
    </w:p>
    <w:p w14:paraId="41B30AA3">
      <w:pPr>
        <w:pStyle w:val="23"/>
        <w:rPr>
          <w:rFonts w:ascii="Times New Roman" w:hAnsi="Times New Roman" w:eastAsia="华文宋体"/>
        </w:rPr>
      </w:pPr>
      <w:r>
        <w:rPr>
          <w:rFonts w:hint="eastAsia" w:ascii="Times New Roman" w:hAnsi="Times New Roman" w:eastAsia="华文宋体"/>
        </w:rPr>
        <w:t>地方国企和城投平台是近年中资境外债的重要发行主体。其发行动机包括拓宽融资渠道、优化债务结构、支持基础设施和产业投资，以及建立境外信用曲线。投资者通常会给予地方国企一定支持预期，但这种预期并非无条件。随着地方债务监管趋严和“打破刚兑”理念强化，国际投资者越来越关注平台企业自身经营能力、现金流质量和显性支持机制。优质地方国企仍可发债，但资质分层明显加剧。</w:t>
      </w:r>
    </w:p>
    <w:bookmarkEnd w:id="46"/>
    <w:p w14:paraId="4F61FD3A">
      <w:pPr>
        <w:pStyle w:val="6"/>
        <w:rPr>
          <w:rFonts w:ascii="Times New Roman" w:hAnsi="Times New Roman" w:eastAsia="华文宋体"/>
        </w:rPr>
      </w:pPr>
      <w:bookmarkStart w:id="47" w:name="制造业与产业集团"/>
      <w:r>
        <w:rPr>
          <w:rFonts w:ascii="Times New Roman" w:hAnsi="Times New Roman" w:eastAsia="华文宋体"/>
        </w:rPr>
        <w:t xml:space="preserve">4. </w:t>
      </w:r>
      <w:r>
        <w:rPr>
          <w:rFonts w:hint="eastAsia" w:ascii="Times New Roman" w:hAnsi="Times New Roman" w:eastAsia="华文宋体"/>
        </w:rPr>
        <w:t>制造业与产业集团</w:t>
      </w:r>
    </w:p>
    <w:p w14:paraId="500796D6">
      <w:pPr>
        <w:pStyle w:val="23"/>
        <w:rPr>
          <w:rFonts w:ascii="Times New Roman" w:hAnsi="Times New Roman" w:eastAsia="华文宋体"/>
        </w:rPr>
      </w:pPr>
      <w:r>
        <w:rPr>
          <w:rFonts w:hint="eastAsia" w:ascii="Times New Roman" w:hAnsi="Times New Roman" w:eastAsia="华文宋体"/>
        </w:rPr>
        <w:t>优质制造业企业和产业集团近年来在境外债市场中的地位上升。与高杠杆房地产企业不同，这类企业往往拥有一定出口收入、海外客户和全球供应链布局，更容易形成自然对冲，也更容易获得国际投资者认可。特别是医药、汽车零部件、新材料、装备制造等领域的龙头企业，在境外融资中更容易将资金需求与国际业务扩张对应起来，因而风险逻辑相对更稳健。</w:t>
      </w:r>
    </w:p>
    <w:bookmarkEnd w:id="47"/>
    <w:p w14:paraId="337B74E0">
      <w:pPr>
        <w:pStyle w:val="6"/>
        <w:rPr>
          <w:rFonts w:ascii="Times New Roman" w:hAnsi="Times New Roman" w:eastAsia="华文宋体"/>
        </w:rPr>
      </w:pPr>
      <w:bookmarkStart w:id="48" w:name="绿色债与可持续发展债发行主体"/>
      <w:r>
        <w:rPr>
          <w:rFonts w:ascii="Times New Roman" w:hAnsi="Times New Roman" w:eastAsia="华文宋体"/>
        </w:rPr>
        <w:t xml:space="preserve">5. </w:t>
      </w:r>
      <w:r>
        <w:rPr>
          <w:rFonts w:hint="eastAsia" w:ascii="Times New Roman" w:hAnsi="Times New Roman" w:eastAsia="华文宋体"/>
        </w:rPr>
        <w:t>绿色债与可持续发展债发行主体</w:t>
      </w:r>
    </w:p>
    <w:p w14:paraId="2FE48B81">
      <w:pPr>
        <w:pStyle w:val="23"/>
        <w:rPr>
          <w:rFonts w:ascii="Times New Roman" w:hAnsi="Times New Roman" w:eastAsia="华文宋体"/>
        </w:rPr>
      </w:pPr>
      <w:r>
        <w:rPr>
          <w:rFonts w:hint="eastAsia" w:ascii="Times New Roman" w:hAnsi="Times New Roman" w:eastAsia="华文宋体"/>
        </w:rPr>
        <w:t>随着国际ESG投资趋势升温，一部分中资企业开始在境外发行绿色债券、可持续发展债券和可持续发展挂钩债券。这类债券对信息披露、项目认定和持续报告要求较高，但有助于扩大投资者基础，提升企业国际品牌形象。优质地方国企和产业集团若具备环保、绿色基础设施、清洁能源或绿色制造项目，也可以借助这类工具改善境外融资结构。</w:t>
      </w:r>
    </w:p>
    <w:bookmarkEnd w:id="43"/>
    <w:bookmarkEnd w:id="48"/>
    <w:p w14:paraId="6B4806D5">
      <w:pPr>
        <w:pStyle w:val="5"/>
        <w:rPr>
          <w:rFonts w:ascii="Times New Roman" w:hAnsi="Times New Roman" w:eastAsia="华文宋体"/>
        </w:rPr>
      </w:pPr>
      <w:bookmarkStart w:id="49" w:name="七期限结构再融资压力与违约风险"/>
      <w:r>
        <w:rPr>
          <w:rFonts w:hint="eastAsia" w:ascii="Times New Roman" w:hAnsi="Times New Roman" w:eastAsia="华文宋体"/>
        </w:rPr>
        <w:t>（七）期限结构、再融资压力与违约风险</w:t>
      </w:r>
    </w:p>
    <w:p w14:paraId="66F4C72D">
      <w:pPr>
        <w:pStyle w:val="23"/>
        <w:rPr>
          <w:rFonts w:ascii="Times New Roman" w:hAnsi="Times New Roman" w:eastAsia="华文宋体"/>
        </w:rPr>
      </w:pPr>
      <w:r>
        <w:rPr>
          <w:rFonts w:hint="eastAsia" w:ascii="Times New Roman" w:hAnsi="Times New Roman" w:eastAsia="华文宋体"/>
        </w:rPr>
        <w:t>境外债券融资最大的潜在风险之一在于期限结构安排。中资境外债中，3年期和5年期债券最为常见，少数高资质主体可以发行7年期、10年期甚至永续债。量化宽松时期，部分企业倾向于依赖3年左右中短期美元债循环滚续，以维持较低票息水平。这种策略在市场窗口充足时看似高效，但其本质上将未来融资可得性视为既定条件。一旦市场环境恶化，企业便会面临集中到期与再融资失败的双重压力。</w:t>
      </w:r>
    </w:p>
    <w:p w14:paraId="7D594E73">
      <w:pPr>
        <w:pStyle w:val="3"/>
        <w:rPr>
          <w:rFonts w:ascii="Times New Roman" w:hAnsi="Times New Roman" w:eastAsia="华文宋体"/>
        </w:rPr>
      </w:pPr>
      <w:r>
        <w:rPr>
          <w:rFonts w:hint="eastAsia" w:ascii="Times New Roman" w:hAnsi="Times New Roman" w:eastAsia="华文宋体"/>
        </w:rPr>
        <w:t>房地产美元债危机充分证明了这一点。许多房企并不是在单笔债券利息支付上出现问题，而是在多个到期日集中来临时，因境外市场关闭、境内销售下滑和汇率贬值而失去滚续能力。地方国企和产业集团虽然信用状况通常好于房企，但如果同样依赖短期外债、缺乏备用流动性和对冲安排，也可能在高利率环境下承受较大再融资压力。</w:t>
      </w:r>
    </w:p>
    <w:p w14:paraId="528C35D3">
      <w:pPr>
        <w:pStyle w:val="3"/>
        <w:rPr>
          <w:rFonts w:ascii="Times New Roman" w:hAnsi="Times New Roman" w:eastAsia="华文宋体"/>
        </w:rPr>
      </w:pPr>
      <w:r>
        <w:rPr>
          <w:rFonts w:hint="eastAsia" w:ascii="Times New Roman" w:hAnsi="Times New Roman" w:eastAsia="华文宋体"/>
        </w:rPr>
        <w:t>因此，企业应从静态“能否发行”转向动态“能否持续融资”。评估境外债安全性时，不能只看当前票息和订单情况，还要看未来三到五年的到期峰值、备用授信、境内替代融资能力、资产可变现能力和投资者信心稳定度。</w:t>
      </w:r>
    </w:p>
    <w:bookmarkEnd w:id="49"/>
    <w:p w14:paraId="2E9FA466">
      <w:pPr>
        <w:pStyle w:val="5"/>
        <w:rPr>
          <w:rFonts w:ascii="Times New Roman" w:hAnsi="Times New Roman" w:eastAsia="华文宋体"/>
        </w:rPr>
      </w:pPr>
      <w:bookmarkStart w:id="50" w:name="八当前市场环境下面临的主要挑战"/>
      <w:r>
        <w:rPr>
          <w:rFonts w:hint="eastAsia" w:ascii="Times New Roman" w:hAnsi="Times New Roman" w:eastAsia="华文宋体"/>
        </w:rPr>
        <w:t>（八）当前市场环境下面临的主要挑战</w:t>
      </w:r>
    </w:p>
    <w:p w14:paraId="1176F757">
      <w:pPr>
        <w:pStyle w:val="23"/>
        <w:rPr>
          <w:rFonts w:ascii="Times New Roman" w:hAnsi="Times New Roman" w:eastAsia="华文宋体"/>
        </w:rPr>
      </w:pPr>
      <w:r>
        <w:rPr>
          <w:rFonts w:hint="eastAsia" w:ascii="Times New Roman" w:hAnsi="Times New Roman" w:eastAsia="华文宋体"/>
        </w:rPr>
        <w:t>结合美联储加息、中资美元债信用调整和国内监管趋严的现实背景，当前中资企业境外债券融资主要面临以下挑战。</w:t>
      </w:r>
    </w:p>
    <w:p w14:paraId="2BDDE90A">
      <w:pPr>
        <w:pStyle w:val="3"/>
        <w:rPr>
          <w:rFonts w:ascii="Times New Roman" w:hAnsi="Times New Roman" w:eastAsia="华文宋体"/>
        </w:rPr>
      </w:pPr>
      <w:r>
        <w:rPr>
          <w:rFonts w:hint="eastAsia" w:ascii="Times New Roman" w:hAnsi="Times New Roman" w:eastAsia="华文宋体"/>
        </w:rPr>
        <w:t>第一，高利率长期化挑战。即使加息节奏放缓，高利率环境仍可能持续一段时期。对企业而言，这意味着未来一段时间境外债的票息中枢将高于过去十余年的平均水平，低成本滚续模式难以为继。</w:t>
      </w:r>
    </w:p>
    <w:p w14:paraId="7AAA5D19">
      <w:pPr>
        <w:pStyle w:val="3"/>
        <w:rPr>
          <w:rFonts w:ascii="Times New Roman" w:hAnsi="Times New Roman" w:eastAsia="华文宋体"/>
        </w:rPr>
      </w:pPr>
      <w:r>
        <w:rPr>
          <w:rFonts w:hint="eastAsia" w:ascii="Times New Roman" w:hAnsi="Times New Roman" w:eastAsia="华文宋体"/>
        </w:rPr>
        <w:t>第二，汇率波动常态化挑战。人民币汇率双向波动日益明显，企业难以再依靠单边预期来安排外币债务。凡是缺乏外币收入和套保安排的企业，都面临更大的资产负债表压力。</w:t>
      </w:r>
    </w:p>
    <w:p w14:paraId="07724CA1">
      <w:pPr>
        <w:pStyle w:val="3"/>
        <w:rPr>
          <w:rFonts w:ascii="Times New Roman" w:hAnsi="Times New Roman" w:eastAsia="华文宋体"/>
        </w:rPr>
      </w:pPr>
      <w:r>
        <w:rPr>
          <w:rFonts w:hint="eastAsia" w:ascii="Times New Roman" w:hAnsi="Times New Roman" w:eastAsia="华文宋体"/>
        </w:rPr>
        <w:t>第三，信用分层深化挑战。国际投资者对中资企业的识别更加细致，不同地区、行业、所有制和业务模式的主体面临完全不同的利差定价。过去依赖“中资背景”获得统一溢价的做法已不可持续。</w:t>
      </w:r>
    </w:p>
    <w:p w14:paraId="2B10522C">
      <w:pPr>
        <w:pStyle w:val="3"/>
        <w:rPr>
          <w:rFonts w:ascii="Times New Roman" w:hAnsi="Times New Roman" w:eastAsia="华文宋体"/>
        </w:rPr>
      </w:pPr>
      <w:r>
        <w:rPr>
          <w:rFonts w:hint="eastAsia" w:ascii="Times New Roman" w:hAnsi="Times New Roman" w:eastAsia="华文宋体"/>
        </w:rPr>
        <w:t>第四，监管精细化挑战。用途穿透监管、借新还旧限制、重大风险事项报送和信息披露要求的提高，使企业必须在发债前就设计好合规路径。合规不再是辅助工作，而是决定融资能否完成的重要变量。</w:t>
      </w:r>
    </w:p>
    <w:p w14:paraId="638D9B74">
      <w:pPr>
        <w:pStyle w:val="3"/>
        <w:rPr>
          <w:rFonts w:ascii="Times New Roman" w:hAnsi="Times New Roman" w:eastAsia="华文宋体"/>
        </w:rPr>
      </w:pPr>
      <w:r>
        <w:rPr>
          <w:rFonts w:hint="eastAsia" w:ascii="Times New Roman" w:hAnsi="Times New Roman" w:eastAsia="华文宋体"/>
        </w:rPr>
        <w:t>第五，市场声誉修复挑战。房地产美元债违约事件使国际投资者对中资发行人保持更高警惕。优质企业若想重新获得较好定价，需要用更高透明度、更扎实的财务表现和更清晰的资金用途来重建市场信任。</w:t>
      </w:r>
    </w:p>
    <w:p w14:paraId="2C524F6F">
      <w:pPr>
        <w:pStyle w:val="3"/>
        <w:rPr>
          <w:rFonts w:ascii="Times New Roman" w:hAnsi="Times New Roman" w:eastAsia="华文宋体"/>
        </w:rPr>
      </w:pPr>
      <w:r>
        <w:rPr>
          <w:rFonts w:hint="eastAsia" w:ascii="Times New Roman" w:hAnsi="Times New Roman" w:eastAsia="华文宋体"/>
        </w:rPr>
        <w:t>综上所述，中资企业境外债券融资已经进入一个“高门槛、强约束、重管理”的新阶段。对企业来说，境外债依然是有价值的融资工具，但只有在动机真实、结构合理、风险可控的前提下，境外发债才具有稳健意义。下文将以九龙江集团为例，对上述逻辑进行微观层面的验证和展开。</w:t>
      </w:r>
    </w:p>
    <w:bookmarkEnd w:id="33"/>
    <w:bookmarkEnd w:id="50"/>
    <w:p w14:paraId="48BC1058">
      <w:pPr>
        <w:pStyle w:val="4"/>
        <w:rPr>
          <w:rFonts w:ascii="Times New Roman" w:hAnsi="Times New Roman" w:eastAsia="华文宋体"/>
        </w:rPr>
      </w:pPr>
      <w:bookmarkStart w:id="51" w:name="四案例分析九龙江集团"/>
      <w:r>
        <w:rPr>
          <w:rFonts w:hint="eastAsia" w:ascii="Times New Roman" w:hAnsi="Times New Roman" w:eastAsia="华文宋体"/>
        </w:rPr>
        <w:t>四、案例分析：九龙江集团</w:t>
      </w:r>
    </w:p>
    <w:p w14:paraId="4882A2EF">
      <w:pPr>
        <w:pStyle w:val="5"/>
        <w:rPr>
          <w:rFonts w:ascii="Times New Roman" w:hAnsi="Times New Roman" w:eastAsia="华文宋体"/>
        </w:rPr>
      </w:pPr>
      <w:bookmarkStart w:id="52" w:name="一企业概况与案例选择依据"/>
      <w:r>
        <w:rPr>
          <w:rFonts w:hint="eastAsia" w:ascii="Times New Roman" w:hAnsi="Times New Roman" w:eastAsia="华文宋体"/>
        </w:rPr>
        <w:t>（一）企业概况与案例选择依据</w:t>
      </w:r>
    </w:p>
    <w:p w14:paraId="2DDABDD5">
      <w:pPr>
        <w:pStyle w:val="6"/>
        <w:rPr>
          <w:rFonts w:ascii="Times New Roman" w:hAnsi="Times New Roman" w:eastAsia="华文宋体"/>
        </w:rPr>
      </w:pPr>
      <w:bookmarkStart w:id="53" w:name="企业性质与股权背景"/>
      <w:r>
        <w:rPr>
          <w:rFonts w:ascii="Times New Roman" w:hAnsi="Times New Roman" w:eastAsia="华文宋体"/>
        </w:rPr>
        <w:t xml:space="preserve">1. </w:t>
      </w:r>
      <w:r>
        <w:rPr>
          <w:rFonts w:hint="eastAsia" w:ascii="Times New Roman" w:hAnsi="Times New Roman" w:eastAsia="华文宋体"/>
        </w:rPr>
        <w:t>企业性质与股权背景</w:t>
      </w:r>
    </w:p>
    <w:p w14:paraId="3B4A32B8">
      <w:pPr>
        <w:pStyle w:val="23"/>
        <w:rPr>
          <w:rFonts w:ascii="Times New Roman" w:hAnsi="Times New Roman" w:eastAsia="华文宋体"/>
        </w:rPr>
      </w:pPr>
      <w:r>
        <w:rPr>
          <w:rFonts w:hint="eastAsia" w:ascii="Times New Roman" w:hAnsi="Times New Roman" w:eastAsia="华文宋体"/>
        </w:rPr>
        <w:t>漳州市九龙江集团有限公司是漳州市国资委控股的重要国有资本投资平台，在区域经济中承担产业投资、资本运营、园区建设、国有资产整合和重点项目推进等多重职能。与典型单一融资平台不同，九龙江集团一方面承担地方国企的政策功能，另一方面又拥有较强的产业经营基础和上市公司资源，具有明显的“投资平台+产业集团”双重属性。从地方国资改革视角看，这类企业通常被寄予推动区域产业升级、培育新兴产业、整合国有资产和保障重大项目落地的任务；从资本市场视角看，其信用评价又不能仅依赖地方政府隐性支持，而必须接受市场化定价和国际投资者审视。</w:t>
      </w:r>
    </w:p>
    <w:p w14:paraId="1261D347">
      <w:pPr>
        <w:pStyle w:val="3"/>
        <w:rPr>
          <w:rFonts w:ascii="Times New Roman" w:hAnsi="Times New Roman" w:eastAsia="华文宋体"/>
        </w:rPr>
      </w:pPr>
      <w:r>
        <w:rPr>
          <w:rFonts w:hint="eastAsia" w:ascii="Times New Roman" w:hAnsi="Times New Roman" w:eastAsia="华文宋体"/>
        </w:rPr>
        <w:t>九龙江集团的控股地位和战略属性，使其在区域国企体系中具备较强的资源整合能力。一方面，地方政府在资本注入、重大项目安排、国资划转和税费优惠等方面能够给予支持；另一方面，集团也需要承担古雷石化、园区开发、产业基金和产业招商等中长期投入任务。这意味着其融资行为既受商业逻辑驱动，也受区域发展战略影响。因此，从研究企业境外发债动机与风险的角度看，九龙江集团比单一行业企业更能体现中国地方国企在国际融资中的复杂性。</w:t>
      </w:r>
    </w:p>
    <w:bookmarkEnd w:id="53"/>
    <w:p w14:paraId="52C11382">
      <w:pPr>
        <w:pStyle w:val="6"/>
        <w:rPr>
          <w:rFonts w:ascii="Times New Roman" w:hAnsi="Times New Roman" w:eastAsia="华文宋体"/>
        </w:rPr>
      </w:pPr>
      <w:bookmarkStart w:id="54" w:name="产业布局与业务结构"/>
      <w:r>
        <w:rPr>
          <w:rFonts w:ascii="Times New Roman" w:hAnsi="Times New Roman" w:eastAsia="华文宋体"/>
        </w:rPr>
        <w:t xml:space="preserve">2. </w:t>
      </w:r>
      <w:r>
        <w:rPr>
          <w:rFonts w:hint="eastAsia" w:ascii="Times New Roman" w:hAnsi="Times New Roman" w:eastAsia="华文宋体"/>
        </w:rPr>
        <w:t>产业布局与业务结构</w:t>
      </w:r>
    </w:p>
    <w:p w14:paraId="5D509636">
      <w:pPr>
        <w:pStyle w:val="23"/>
        <w:rPr>
          <w:rFonts w:ascii="Times New Roman" w:hAnsi="Times New Roman" w:eastAsia="华文宋体"/>
        </w:rPr>
      </w:pPr>
      <w:r>
        <w:rPr>
          <w:rFonts w:hint="eastAsia" w:ascii="Times New Roman" w:hAnsi="Times New Roman" w:eastAsia="华文宋体"/>
        </w:rPr>
        <w:t>根据公开评级报告，九龙江集团目前主要从事药业、机械制造、资金管理、贸易及其他业务，形成了较为多元的产业结构。其核心优势来自两个方面：一是拥有片仔癀、龙溪股份两家上市公司股权，具备医药和制造业优质资产支撑；二是作为地方国资平台，深度参与漳州市重点产业园区、古雷港经济开发区和圆山高新区等区域发展项目。</w:t>
      </w:r>
    </w:p>
    <w:p w14:paraId="642CB70B">
      <w:pPr>
        <w:pStyle w:val="3"/>
        <w:rPr>
          <w:rFonts w:ascii="Times New Roman" w:hAnsi="Times New Roman" w:eastAsia="华文宋体"/>
        </w:rPr>
      </w:pPr>
      <w:r>
        <w:rPr>
          <w:rFonts w:hint="eastAsia" w:ascii="Times New Roman" w:hAnsi="Times New Roman" w:eastAsia="华文宋体"/>
        </w:rPr>
        <w:t>从2024年业务构成看，贸易业务在收入端占比较高，是规模扩张的重要来源，但毛利率极低；药业板块收入占比虽不高，却贡献了绝大部分毛利润，是集团利润和信用的重要稳定器。根据2025年度跟踪评级报告披露，2024年集团营业收入为763.82亿元，其中贸易业务收入602.52亿元，占比78.88%；药业收入107.56亿元，占比14.08%；资金管理收入28.39亿元，占比3.72%；机械制造收入9.59亿元，占比1.26%；其他业务收入15.75亿元，占比2.06%。在毛利润结构上，药业贡献46.08亿元，占66.15亿元总毛利润的69.66%，贸易业务毛利润仅3.51亿元，显示出集团盈利质量高度依赖高毛利药业板块，而收入规模更多依赖低毛利贸易板块。</w:t>
      </w:r>
    </w:p>
    <w:p w14:paraId="57EF2F95">
      <w:pPr>
        <w:pStyle w:val="3"/>
        <w:rPr>
          <w:rFonts w:ascii="Times New Roman" w:hAnsi="Times New Roman" w:eastAsia="华文宋体"/>
        </w:rPr>
      </w:pPr>
      <w:r>
        <w:rPr>
          <w:rFonts w:hint="eastAsia" w:ascii="Times New Roman" w:hAnsi="Times New Roman" w:eastAsia="华文宋体"/>
        </w:rPr>
        <w:t>这一结构具有双重含义。其一，集团营业收入规模大、业务面广，有利于在评级中体现多元经营和区域资源整合能力；其二，集团整体毛利率并不高，2024年综合毛利率为8.66%，远低于药业板块本身的42.84%，说明集团在扩大收入规模的同时，也承担了较重的贸易和投资类业务特征。对国际投资者而言，这意味着九龙江集团不是一个典型高盈利产业公司，而是兼具稳利润资产和大规模低毛利业务的平台型国企，其信用评价必须同时考虑盈利能力和政府支持能力。</w:t>
      </w:r>
    </w:p>
    <w:bookmarkEnd w:id="54"/>
    <w:p w14:paraId="6F2858F2">
      <w:pPr>
        <w:pStyle w:val="6"/>
        <w:rPr>
          <w:rFonts w:ascii="Times New Roman" w:hAnsi="Times New Roman" w:eastAsia="华文宋体"/>
        </w:rPr>
      </w:pPr>
      <w:bookmarkStart w:id="55" w:name="财务规模与偿债基础"/>
      <w:r>
        <w:rPr>
          <w:rFonts w:ascii="Times New Roman" w:hAnsi="Times New Roman" w:eastAsia="华文宋体"/>
        </w:rPr>
        <w:t xml:space="preserve">3. </w:t>
      </w:r>
      <w:r>
        <w:rPr>
          <w:rFonts w:hint="eastAsia" w:ascii="Times New Roman" w:hAnsi="Times New Roman" w:eastAsia="华文宋体"/>
        </w:rPr>
        <w:t>财务规模与偿债基础</w:t>
      </w:r>
    </w:p>
    <w:p w14:paraId="1C62DA5D">
      <w:pPr>
        <w:pStyle w:val="23"/>
        <w:rPr>
          <w:rFonts w:ascii="Times New Roman" w:hAnsi="Times New Roman" w:eastAsia="华文宋体"/>
        </w:rPr>
      </w:pPr>
      <w:r>
        <w:rPr>
          <w:rFonts w:hint="eastAsia" w:ascii="Times New Roman" w:hAnsi="Times New Roman" w:eastAsia="华文宋体"/>
        </w:rPr>
        <w:t>九龙江集团近年来资产规模持续增长。根据2025年度跟踪评级报告，2022年至2024年末，集团总资产分别为1183.56亿元、1245.99亿元和1389.41亿元；所有者权益分别为389.55亿元、431.25亿元和432.95亿元；营业收入分别为584.56亿元、704.21亿元和763.82亿元；净利润分别为22.44亿元、36.16亿元和33.29亿元。2024年末资产负债率为68.84%，较2023年65.39%有所回升；2025年3月末总资产进一步增至1459.88亿元，资产负债率为67.24%。</w:t>
      </w:r>
    </w:p>
    <w:p w14:paraId="205EAE81">
      <w:pPr>
        <w:pStyle w:val="3"/>
        <w:rPr>
          <w:rFonts w:ascii="Times New Roman" w:hAnsi="Times New Roman" w:eastAsia="华文宋体"/>
        </w:rPr>
      </w:pPr>
      <w:r>
        <w:rPr>
          <w:rFonts w:hint="eastAsia" w:ascii="Times New Roman" w:hAnsi="Times New Roman" w:eastAsia="华文宋体"/>
        </w:rPr>
        <w:t>从债务特征看，九龙江集团有息债务规模较大。大公国际2025年度跟踪评级报告显示，2024年末公司总有息债务为845.10亿元；而公开募集说明书口径下，2024年末全部债务约为908.77亿元。这一差异反映出不同披露文件在债务口径上的差别，但无论采用哪一口径，都足以说明集团杠杆水平不低、融资持续性要求较强。评级机构在肯定其多元业务和政府支持的同时，也明确提示“债务仍集中于本部、偿债压力仍较大”。</w:t>
      </w:r>
    </w:p>
    <w:p w14:paraId="3A244194">
      <w:pPr>
        <w:pStyle w:val="3"/>
        <w:rPr>
          <w:rFonts w:ascii="Times New Roman" w:hAnsi="Times New Roman" w:eastAsia="华文宋体"/>
        </w:rPr>
      </w:pPr>
      <w:r>
        <w:rPr>
          <w:rFonts w:hint="eastAsia" w:ascii="Times New Roman" w:hAnsi="Times New Roman" w:eastAsia="华文宋体"/>
        </w:rPr>
        <w:t>在现金流方面，九龙江集团表现出地方国企常见特征：经营现金流受贸易波动和投资安排影响较大，但整体融资渠道较为多元。2024年经营活动产生的现金流净额为27.35亿元，较2023年的-5.87亿元明显改善；但投资活动现金流长期为负，表明集团持续承担较强的投资支出功能。对境外债投资者而言，这意味着其偿债来源不能仅看单一经营现金流，而需综合考虑上市子公司分红能力、资产变现能力、境内融资能力和政府支持背景。</w:t>
      </w:r>
    </w:p>
    <w:bookmarkEnd w:id="55"/>
    <w:p w14:paraId="4BEF07E9">
      <w:pPr>
        <w:pStyle w:val="6"/>
        <w:rPr>
          <w:rFonts w:ascii="Times New Roman" w:hAnsi="Times New Roman" w:eastAsia="华文宋体"/>
        </w:rPr>
      </w:pPr>
      <w:bookmarkStart w:id="56" w:name="评级情况与境内外评级差异"/>
      <w:r>
        <w:rPr>
          <w:rFonts w:ascii="Times New Roman" w:hAnsi="Times New Roman" w:eastAsia="华文宋体"/>
        </w:rPr>
        <w:t xml:space="preserve">4. </w:t>
      </w:r>
      <w:r>
        <w:rPr>
          <w:rFonts w:hint="eastAsia" w:ascii="Times New Roman" w:hAnsi="Times New Roman" w:eastAsia="华文宋体"/>
        </w:rPr>
        <w:t>评级情况与境内外评级差异</w:t>
      </w:r>
    </w:p>
    <w:p w14:paraId="65106EF3">
      <w:pPr>
        <w:pStyle w:val="23"/>
        <w:rPr>
          <w:rFonts w:ascii="Times New Roman" w:hAnsi="Times New Roman" w:eastAsia="华文宋体"/>
        </w:rPr>
      </w:pPr>
      <w:r>
        <w:rPr>
          <w:rFonts w:hint="eastAsia" w:ascii="Times New Roman" w:hAnsi="Times New Roman" w:eastAsia="华文宋体"/>
        </w:rPr>
        <w:t>九龙江集团的评级情况具有很强的研究价值。境内评级方面，2024年和2025年的跟踪评级均维持主体AAA，评级展望稳定。评级机构给出的正面因素包括：多元产业布局分散经营风险、片仔癀品牌价值高且盈利能力强、拥有两家上市子公司融资渠道多元、作为漳州市国资委控股平台可获得一定政府支持。与此同时，评级机构也提示福海创石化投资亏损、对古雷和圆山高新区的投资规模较大、未来资金支出需求高、有息债务规模较大等风险点。</w:t>
      </w:r>
    </w:p>
    <w:p w14:paraId="0F4BEC03">
      <w:pPr>
        <w:pStyle w:val="3"/>
        <w:rPr>
          <w:rFonts w:ascii="Times New Roman" w:hAnsi="Times New Roman" w:eastAsia="华文宋体"/>
        </w:rPr>
      </w:pPr>
      <w:r>
        <w:rPr>
          <w:rFonts w:hint="eastAsia" w:ascii="Times New Roman" w:hAnsi="Times New Roman" w:eastAsia="华文宋体"/>
        </w:rPr>
        <w:t>境外评级方面，九龙江集团则呈现明显较低的国际评级水平。联合国际在2024年8月将其全球长期发行人评级由BBB+上调至A-，展望稳定；到2025年9月，联合国际继续维持A-并将展望调整为正面。另一方面，市场公开信息显示，集团在2025年发行5亿美元转型债券时，标普和惠誉给予其BBB-稳定评级。境内AAA与境外A-/BBB-之间的差异，反映了两套评级体系的根本区别：境内评级更强调企业在本土金融体系中的相对信用地位和地方支持因素；境外评级则更多从主权上限、跨境可转移性、国际信息透明度、资本项目约束和政府支持可执行性等角度出发，对地方国企信用进行更审慎定价。</w:t>
      </w:r>
    </w:p>
    <w:p w14:paraId="569F7E8F">
      <w:pPr>
        <w:pStyle w:val="3"/>
        <w:rPr>
          <w:rFonts w:ascii="Times New Roman" w:hAnsi="Times New Roman" w:eastAsia="华文宋体"/>
        </w:rPr>
      </w:pPr>
      <w:r>
        <w:rPr>
          <w:rFonts w:hint="eastAsia" w:ascii="Times New Roman" w:hAnsi="Times New Roman" w:eastAsia="华文宋体"/>
        </w:rPr>
        <w:t>这种评级落差对企业境外发债具有重要影响。其一，企业不能简单以境内评级推导境外融资成本；其二，企业必须通过更高质量的信息披露和更清晰的偿债逻辑，来弥补国际投资者对地方支持的不确定感；其三，境内外评级差异本身就是企业跨境融资中必须面对的“信用转换成本”。这也正是研究九龙江集团案例的重要意义所在。</w:t>
      </w:r>
    </w:p>
    <w:bookmarkEnd w:id="52"/>
    <w:bookmarkEnd w:id="56"/>
    <w:p w14:paraId="2244D851">
      <w:pPr>
        <w:pStyle w:val="5"/>
        <w:rPr>
          <w:rFonts w:ascii="Times New Roman" w:hAnsi="Times New Roman" w:eastAsia="华文宋体"/>
        </w:rPr>
      </w:pPr>
      <w:bookmarkStart w:id="57" w:name="二企业财务特征与融资需求分析"/>
      <w:r>
        <w:rPr>
          <w:rFonts w:hint="eastAsia" w:ascii="Times New Roman" w:hAnsi="Times New Roman" w:eastAsia="华文宋体"/>
        </w:rPr>
        <w:t>（二）企业财务特征与融资需求分析</w:t>
      </w:r>
    </w:p>
    <w:p w14:paraId="40FED5F1">
      <w:pPr>
        <w:pStyle w:val="6"/>
        <w:rPr>
          <w:rFonts w:ascii="Times New Roman" w:hAnsi="Times New Roman" w:eastAsia="华文宋体"/>
        </w:rPr>
      </w:pPr>
      <w:bookmarkStart w:id="58" w:name="收入结构与盈利质量分析"/>
      <w:r>
        <w:rPr>
          <w:rFonts w:ascii="Times New Roman" w:hAnsi="Times New Roman" w:eastAsia="华文宋体"/>
        </w:rPr>
        <w:t xml:space="preserve">1. </w:t>
      </w:r>
      <w:r>
        <w:rPr>
          <w:rFonts w:hint="eastAsia" w:ascii="Times New Roman" w:hAnsi="Times New Roman" w:eastAsia="华文宋体"/>
        </w:rPr>
        <w:t>收入结构与盈利质量分析</w:t>
      </w:r>
    </w:p>
    <w:p w14:paraId="17E186C8">
      <w:pPr>
        <w:pStyle w:val="23"/>
        <w:rPr>
          <w:rFonts w:ascii="Times New Roman" w:hAnsi="Times New Roman" w:eastAsia="华文宋体"/>
        </w:rPr>
      </w:pPr>
      <w:r>
        <w:rPr>
          <w:rFonts w:hint="eastAsia" w:ascii="Times New Roman" w:hAnsi="Times New Roman" w:eastAsia="华文宋体"/>
        </w:rPr>
        <w:t>九龙江集团的收入规模持续增长，但利润结构具有较强的板块分化特征。2024年营业收入同比增长8.47%，达到763.82亿元；然而综合毛利率由2023年的11.10%下降至8.66%。这说明集团收入增长主要来自低毛利业务的扩张，而非高利润板块的同步放大。</w:t>
      </w:r>
    </w:p>
    <w:p w14:paraId="378C97A5">
      <w:pPr>
        <w:pStyle w:val="3"/>
        <w:rPr>
          <w:rFonts w:ascii="Times New Roman" w:hAnsi="Times New Roman" w:eastAsia="华文宋体"/>
        </w:rPr>
      </w:pPr>
      <w:r>
        <w:rPr>
          <w:rFonts w:hint="eastAsia" w:ascii="Times New Roman" w:hAnsi="Times New Roman" w:eastAsia="华文宋体"/>
        </w:rPr>
        <w:t>具体来看，贸易业务是集团收入规模的主要来源，2024年收入达602.52亿元，占营业收入近八成，但毛利率仅0.58%，说明这一板块对收入规模和周转贡献较大，却对利润贡献有限。相反，药业板块收入仅107.56亿元，占比14.08%，但毛利率高达42.84%，贡献了集团近七成毛利润。机械制造和资金管理板块虽规模较小，但毛利率相对较高，能够在一定程度上改善集团整体盈利结构。</w:t>
      </w:r>
    </w:p>
    <w:p w14:paraId="67D8A0CB">
      <w:pPr>
        <w:pStyle w:val="3"/>
        <w:rPr>
          <w:rFonts w:ascii="Times New Roman" w:hAnsi="Times New Roman" w:eastAsia="华文宋体"/>
        </w:rPr>
      </w:pPr>
      <w:r>
        <w:rPr>
          <w:rFonts w:hint="eastAsia" w:ascii="Times New Roman" w:hAnsi="Times New Roman" w:eastAsia="华文宋体"/>
        </w:rPr>
        <w:t>这一特征对融资具有重要影响。对于境内银行和债券投资者而言，九龙江集团的大规模收入和地方国资背景可以增强信用稳定性；但对于国际投资者而言，仅有规模并不足够，他们更关心利润的持续性和现金流可验证性。药业板块的高盈利能力为集团信用提供了实质性支撑，而低毛利贸易业务则使集团必须持续依赖流动资金和周转效率。因此，集团在境外发债时必须向投资者清楚说明：其信用支撑不只是收入规模，更是来自上市药业资产、资本市场资源和区域国资支持。</w:t>
      </w:r>
    </w:p>
    <w:bookmarkEnd w:id="58"/>
    <w:p w14:paraId="46052614">
      <w:pPr>
        <w:pStyle w:val="6"/>
        <w:rPr>
          <w:rFonts w:ascii="Times New Roman" w:hAnsi="Times New Roman" w:eastAsia="华文宋体"/>
        </w:rPr>
      </w:pPr>
      <w:bookmarkStart w:id="59" w:name="资产结构与投资属性分析"/>
      <w:r>
        <w:rPr>
          <w:rFonts w:ascii="Times New Roman" w:hAnsi="Times New Roman" w:eastAsia="华文宋体"/>
        </w:rPr>
        <w:t xml:space="preserve">2. </w:t>
      </w:r>
      <w:r>
        <w:rPr>
          <w:rFonts w:hint="eastAsia" w:ascii="Times New Roman" w:hAnsi="Times New Roman" w:eastAsia="华文宋体"/>
        </w:rPr>
        <w:t>资产结构与投资属性分析</w:t>
      </w:r>
    </w:p>
    <w:p w14:paraId="7D73ED3F">
      <w:pPr>
        <w:pStyle w:val="23"/>
        <w:rPr>
          <w:rFonts w:ascii="Times New Roman" w:hAnsi="Times New Roman" w:eastAsia="华文宋体"/>
        </w:rPr>
      </w:pPr>
      <w:r>
        <w:rPr>
          <w:rFonts w:hint="eastAsia" w:ascii="Times New Roman" w:hAnsi="Times New Roman" w:eastAsia="华文宋体"/>
        </w:rPr>
        <w:t>九龙江集团的资产结构中，除产业经营资产外，还包含大量对古雷开发区、圆山高新区及相关项目的协议投资、债权投资和园区建设投入。评级报告显示，截至2025年3月末，公司向古雷开发区累计投资金额约1250.24亿元，累计回款1223.71亿元，其中本金976.20亿元、投资收益247.52亿元；向圆山高新区累计投资金额332.54亿元，累计回款252.61亿元，其中本金195.60亿元、投资收益57.01亿元。2024年，公司对古雷开发区投资额124.88亿元，本金回收156.97亿元，投资收益12.95亿元；对圆山高新区投资额46.82亿元，本金回收45.18亿元，投资收益10.06亿元。</w:t>
      </w:r>
    </w:p>
    <w:p w14:paraId="578B0AE4">
      <w:pPr>
        <w:pStyle w:val="3"/>
        <w:rPr>
          <w:rFonts w:ascii="Times New Roman" w:hAnsi="Times New Roman" w:eastAsia="华文宋体"/>
        </w:rPr>
      </w:pPr>
      <w:r>
        <w:rPr>
          <w:rFonts w:hint="eastAsia" w:ascii="Times New Roman" w:hAnsi="Times New Roman" w:eastAsia="华文宋体"/>
        </w:rPr>
        <w:t>这些数据说明，九龙江集团并非传统意义上的“纯实体企业”，其资产中包含大量具有政府合作性质、回款周期较长、收益稳定但流动性相对有限的投资类资产。这类资产有助于提升集团在区域发展中的战略地位，也能在一定程度上形成持续收益，但同时会占用大量资金，并形成较高的中长期资本需求。评级机构因此特别提示，其对古雷和圆山高新区投资规模仍较大，未来仍存在一定资金支出需求。</w:t>
      </w:r>
    </w:p>
    <w:p w14:paraId="289D692C">
      <w:pPr>
        <w:pStyle w:val="3"/>
        <w:rPr>
          <w:rFonts w:ascii="Times New Roman" w:hAnsi="Times New Roman" w:eastAsia="华文宋体"/>
        </w:rPr>
      </w:pPr>
      <w:r>
        <w:rPr>
          <w:rFonts w:hint="eastAsia" w:ascii="Times New Roman" w:hAnsi="Times New Roman" w:eastAsia="华文宋体"/>
        </w:rPr>
        <w:t>从融资管理角度看，这意味着九龙江集团需要的不只是短期流动性，而是能够与投资回收周期相匹配的中长期资金。这也是地方国企偏好债券融资、尤其是中长期债券和跨市场融资的重要原因。若完全依赖短期贷款，不仅会增加滚续压力，也不利于项目收益周期匹配。因此，境外债在其负债结构中具有一定合理性。</w:t>
      </w:r>
    </w:p>
    <w:bookmarkEnd w:id="59"/>
    <w:p w14:paraId="110E9510">
      <w:pPr>
        <w:pStyle w:val="6"/>
        <w:rPr>
          <w:rFonts w:ascii="Times New Roman" w:hAnsi="Times New Roman" w:eastAsia="华文宋体"/>
        </w:rPr>
      </w:pPr>
      <w:bookmarkStart w:id="60" w:name="债务结构与流动性压力分析"/>
      <w:r>
        <w:rPr>
          <w:rFonts w:ascii="Times New Roman" w:hAnsi="Times New Roman" w:eastAsia="华文宋体"/>
        </w:rPr>
        <w:t xml:space="preserve">3. </w:t>
      </w:r>
      <w:r>
        <w:rPr>
          <w:rFonts w:hint="eastAsia" w:ascii="Times New Roman" w:hAnsi="Times New Roman" w:eastAsia="华文宋体"/>
        </w:rPr>
        <w:t>债务结构与流动性压力分析</w:t>
      </w:r>
    </w:p>
    <w:p w14:paraId="1568BEEE">
      <w:pPr>
        <w:pStyle w:val="23"/>
        <w:rPr>
          <w:rFonts w:ascii="Times New Roman" w:hAnsi="Times New Roman" w:eastAsia="华文宋体"/>
        </w:rPr>
      </w:pPr>
      <w:r>
        <w:rPr>
          <w:rFonts w:hint="eastAsia" w:ascii="Times New Roman" w:hAnsi="Times New Roman" w:eastAsia="华文宋体"/>
        </w:rPr>
        <w:t>虽然九龙江集团信用资质较强，但其债务规模大、融资集中于母公司本部的特征不容忽视。评级报告指出，2024年末其总有息债务同比增长，且仍集中于本部，偿债压力仍较大。对地方国企而言，本部债务集中通常意味着母公司承担了大量统借统还和统筹融资功能，这有利于统一资源配置，却也容易造成资金压力和杠杆水平在母公司层面聚集。</w:t>
      </w:r>
    </w:p>
    <w:p w14:paraId="1D850E99">
      <w:pPr>
        <w:pStyle w:val="3"/>
        <w:rPr>
          <w:rFonts w:ascii="Times New Roman" w:hAnsi="Times New Roman" w:eastAsia="华文宋体"/>
        </w:rPr>
      </w:pPr>
      <w:r>
        <w:rPr>
          <w:rFonts w:hint="eastAsia" w:ascii="Times New Roman" w:hAnsi="Times New Roman" w:eastAsia="华文宋体"/>
        </w:rPr>
        <w:t>从流动性看，九龙江集团拥有较强的境内融资渠道和较多可用于支持融资的优质资产，短期内不太可能出现典型民企式流动性枯竭；但在高利率环境下，融资成本抬升和到期结构管理仍会对其财务稳健性形成约束。特别是当集团一方面承担古雷、圆山等投资任务，另一方面还要维持贸易业务、产业扩张和资本运作时，其对长期资金、备用授信和跨市场流动性调配的需求会更强。</w:t>
      </w:r>
    </w:p>
    <w:p w14:paraId="20E82D47">
      <w:pPr>
        <w:pStyle w:val="3"/>
        <w:rPr>
          <w:rFonts w:ascii="Times New Roman" w:hAnsi="Times New Roman" w:eastAsia="华文宋体"/>
        </w:rPr>
      </w:pPr>
      <w:r>
        <w:rPr>
          <w:rFonts w:hint="eastAsia" w:ascii="Times New Roman" w:hAnsi="Times New Roman" w:eastAsia="华文宋体"/>
        </w:rPr>
        <w:t>从这个意义上说，九龙江集团使用境外债并不是因为境内融资完全不足，而是在多元融资体系中寻求期限和币种的补充，以及为国际市场信用建设提供支点。</w:t>
      </w:r>
    </w:p>
    <w:bookmarkEnd w:id="57"/>
    <w:bookmarkEnd w:id="60"/>
    <w:p w14:paraId="6E87F180">
      <w:pPr>
        <w:pStyle w:val="5"/>
        <w:rPr>
          <w:rFonts w:ascii="Times New Roman" w:hAnsi="Times New Roman" w:eastAsia="华文宋体"/>
        </w:rPr>
      </w:pPr>
      <w:bookmarkStart w:id="61" w:name="三九龙江集团境外债券融资动机分析"/>
      <w:r>
        <w:rPr>
          <w:rFonts w:hint="eastAsia" w:ascii="Times New Roman" w:hAnsi="Times New Roman" w:eastAsia="华文宋体"/>
        </w:rPr>
        <w:t>（三）九龙江集团境外债券融资动机分析</w:t>
      </w:r>
    </w:p>
    <w:p w14:paraId="67FDC4EA">
      <w:pPr>
        <w:pStyle w:val="6"/>
        <w:rPr>
          <w:rFonts w:ascii="Times New Roman" w:hAnsi="Times New Roman" w:eastAsia="华文宋体"/>
        </w:rPr>
      </w:pPr>
      <w:bookmarkStart w:id="62" w:name="支持境外业务与跨境资源配置的资金需求动机"/>
      <w:r>
        <w:rPr>
          <w:rFonts w:ascii="Times New Roman" w:hAnsi="Times New Roman" w:eastAsia="华文宋体"/>
        </w:rPr>
        <w:t xml:space="preserve">1. </w:t>
      </w:r>
      <w:r>
        <w:rPr>
          <w:rFonts w:hint="eastAsia" w:ascii="Times New Roman" w:hAnsi="Times New Roman" w:eastAsia="华文宋体"/>
        </w:rPr>
        <w:t>支持境外业务与跨境资源配置的资金需求动机</w:t>
      </w:r>
    </w:p>
    <w:p w14:paraId="44D9862C">
      <w:pPr>
        <w:pStyle w:val="23"/>
        <w:rPr>
          <w:rFonts w:ascii="Times New Roman" w:hAnsi="Times New Roman" w:eastAsia="华文宋体"/>
        </w:rPr>
      </w:pPr>
      <w:r>
        <w:rPr>
          <w:rFonts w:hint="eastAsia" w:ascii="Times New Roman" w:hAnsi="Times New Roman" w:eastAsia="华文宋体"/>
        </w:rPr>
        <w:t>九龙江集团旗下业务虽然整体仍以境内经营为主，但医药、制造、供应链和产业投资板块均具备一定的国际业务延展空间。药业板块在品牌、产品和市场层面具备较强国际认知度，制造和供应链业务也与国际采购、出口、物流和跨境贸易存在联系。在这种背景下，集团通过境外债获取外币资金，有助于提高跨境资源配置能力，避免境内人民币资金在实际境外使用中产生额外的兑换与跨境调拨成本。</w:t>
      </w:r>
    </w:p>
    <w:p w14:paraId="6BB6F8E3">
      <w:pPr>
        <w:pStyle w:val="3"/>
        <w:rPr>
          <w:rFonts w:ascii="Times New Roman" w:hAnsi="Times New Roman" w:eastAsia="华文宋体"/>
        </w:rPr>
      </w:pPr>
      <w:r>
        <w:rPr>
          <w:rFonts w:hint="eastAsia" w:ascii="Times New Roman" w:hAnsi="Times New Roman" w:eastAsia="华文宋体"/>
        </w:rPr>
        <w:t>对于地方产业集团而言，真正重要的不一定是当期已有多少外币收入，而是是否存在长期国际化布局需求。九龙江集团积极参与漳州区域产业链培育，尤其是石化、港口物流、医药健康和供应链板块，未来若加大对境外设备、技术、项目合作和国际供应链的投入，外币资金需求将具有中长期持续性。因此，境外发债在一定程度上具有为未来跨境业务布局预留金融能力的意义。</w:t>
      </w:r>
    </w:p>
    <w:bookmarkEnd w:id="62"/>
    <w:p w14:paraId="3E188060">
      <w:pPr>
        <w:pStyle w:val="6"/>
        <w:rPr>
          <w:rFonts w:ascii="Times New Roman" w:hAnsi="Times New Roman" w:eastAsia="华文宋体"/>
        </w:rPr>
      </w:pPr>
      <w:bookmarkStart w:id="63" w:name="优化融资结构与期限结构的动机"/>
      <w:r>
        <w:rPr>
          <w:rFonts w:ascii="Times New Roman" w:hAnsi="Times New Roman" w:eastAsia="华文宋体"/>
        </w:rPr>
        <w:t xml:space="preserve">2. </w:t>
      </w:r>
      <w:r>
        <w:rPr>
          <w:rFonts w:hint="eastAsia" w:ascii="Times New Roman" w:hAnsi="Times New Roman" w:eastAsia="华文宋体"/>
        </w:rPr>
        <w:t>优化融资结构与期限结构的动机</w:t>
      </w:r>
    </w:p>
    <w:p w14:paraId="5C89547B">
      <w:pPr>
        <w:pStyle w:val="23"/>
        <w:rPr>
          <w:rFonts w:ascii="Times New Roman" w:hAnsi="Times New Roman" w:eastAsia="华文宋体"/>
        </w:rPr>
      </w:pPr>
      <w:r>
        <w:rPr>
          <w:rFonts w:hint="eastAsia" w:ascii="Times New Roman" w:hAnsi="Times New Roman" w:eastAsia="华文宋体"/>
        </w:rPr>
        <w:t>九龙江集团总资产规模大、投资周期长、在建项目多，决定了其融资需求具有鲜明的长期性。根据公开披露，截至2025年3月末，公司仍有多个在建项目需要后续投资，包括古雷乡村振兴精细化富民示范产业园一期、盐场项目、城乡供水一体化二期、中试基地一期工程等，后续资本支出持续存在。若仅依赖银行流动资金贷款和短期融资券，企业将面临更高的期限错配和再融资频率。</w:t>
      </w:r>
    </w:p>
    <w:p w14:paraId="4C0FF8B1">
      <w:pPr>
        <w:pStyle w:val="3"/>
        <w:rPr>
          <w:rFonts w:ascii="Times New Roman" w:hAnsi="Times New Roman" w:eastAsia="华文宋体"/>
        </w:rPr>
      </w:pPr>
      <w:r>
        <w:rPr>
          <w:rFonts w:hint="eastAsia" w:ascii="Times New Roman" w:hAnsi="Times New Roman" w:eastAsia="华文宋体"/>
        </w:rPr>
        <w:t>境外债在期限结构上的价值主要体现在：一是可以获得3年甚至更长期限，缓解短贷长投问题；二是能够与境内债形成到期错峰，降低单一市场波动对流动性安排的冲击；三是在境内融资政策、债券市场情绪和银行授信条件发生变化时，为企业提供替代性融资来源。对九龙江集团而言，境外债并不是对境内融资的替代，而是对整体负债久期管理的补充。</w:t>
      </w:r>
    </w:p>
    <w:bookmarkEnd w:id="63"/>
    <w:p w14:paraId="1ED5C6D3">
      <w:pPr>
        <w:pStyle w:val="6"/>
        <w:rPr>
          <w:rFonts w:ascii="Times New Roman" w:hAnsi="Times New Roman" w:eastAsia="华文宋体"/>
        </w:rPr>
      </w:pPr>
      <w:bookmarkStart w:id="64" w:name="构建国际信用曲线与品牌溢出的动机"/>
      <w:r>
        <w:rPr>
          <w:rFonts w:ascii="Times New Roman" w:hAnsi="Times New Roman" w:eastAsia="华文宋体"/>
        </w:rPr>
        <w:t xml:space="preserve">3. </w:t>
      </w:r>
      <w:r>
        <w:rPr>
          <w:rFonts w:hint="eastAsia" w:ascii="Times New Roman" w:hAnsi="Times New Roman" w:eastAsia="华文宋体"/>
        </w:rPr>
        <w:t>构建国际信用曲线与品牌溢出的动机</w:t>
      </w:r>
    </w:p>
    <w:p w14:paraId="51A0B96C">
      <w:pPr>
        <w:pStyle w:val="23"/>
        <w:rPr>
          <w:rFonts w:ascii="Times New Roman" w:hAnsi="Times New Roman" w:eastAsia="华文宋体"/>
        </w:rPr>
      </w:pPr>
      <w:r>
        <w:rPr>
          <w:rFonts w:hint="eastAsia" w:ascii="Times New Roman" w:hAnsi="Times New Roman" w:eastAsia="华文宋体"/>
        </w:rPr>
        <w:t>地方国企进入境外债市场的一个重要但常被忽视的动机，是构建国际信用曲线。对九龙江集团而言，成功获得国际评级、完成境外债发行并实现债券在二级市场稳定交易，意味着其信用不再只由境内评级机构和本土金融机构认定，而是获得了国际投资者的持续定价。这种国际定价机制有助于企业未来开展更多跨境融资、海外合作和国际品牌传播。</w:t>
      </w:r>
    </w:p>
    <w:p w14:paraId="650FCA48">
      <w:pPr>
        <w:pStyle w:val="3"/>
        <w:rPr>
          <w:rFonts w:ascii="Times New Roman" w:hAnsi="Times New Roman" w:eastAsia="华文宋体"/>
        </w:rPr>
      </w:pPr>
      <w:r>
        <w:rPr>
          <w:rFonts w:hint="eastAsia" w:ascii="Times New Roman" w:hAnsi="Times New Roman" w:eastAsia="华文宋体"/>
        </w:rPr>
        <w:t>特别是九龙江集团拥有片仔癀这类具有较强国际辨识度的医药资产，境外发债不仅有助于筹资，也有助于向国际投资者展示集团的产业结构、治理能力和区域战略地位。从这个角度看，境外债是融资工具，也是声誉资本形成工具。对于地方国资平台向产业型投资集团转型而言，这一功能尤为重要。</w:t>
      </w:r>
    </w:p>
    <w:bookmarkEnd w:id="64"/>
    <w:p w14:paraId="7A3D73FD">
      <w:pPr>
        <w:pStyle w:val="6"/>
        <w:rPr>
          <w:rFonts w:ascii="Times New Roman" w:hAnsi="Times New Roman" w:eastAsia="华文宋体"/>
        </w:rPr>
      </w:pPr>
      <w:bookmarkStart w:id="65" w:name="把握政策窗口与市场窗口的动机"/>
      <w:r>
        <w:rPr>
          <w:rFonts w:ascii="Times New Roman" w:hAnsi="Times New Roman" w:eastAsia="华文宋体"/>
        </w:rPr>
        <w:t xml:space="preserve">4. </w:t>
      </w:r>
      <w:r>
        <w:rPr>
          <w:rFonts w:hint="eastAsia" w:ascii="Times New Roman" w:hAnsi="Times New Roman" w:eastAsia="华文宋体"/>
        </w:rPr>
        <w:t>把握政策窗口与市场窗口的动机</w:t>
      </w:r>
    </w:p>
    <w:p w14:paraId="390FC44E">
      <w:pPr>
        <w:pStyle w:val="23"/>
        <w:rPr>
          <w:rFonts w:ascii="Times New Roman" w:hAnsi="Times New Roman" w:eastAsia="华文宋体"/>
        </w:rPr>
      </w:pPr>
      <w:r>
        <w:rPr>
          <w:rFonts w:hint="eastAsia" w:ascii="Times New Roman" w:hAnsi="Times New Roman" w:eastAsia="华文宋体"/>
        </w:rPr>
        <w:t>中资企业境外发债往往同时受政策窗口和市场窗口驱动。政策方面，近年来我国持续强调高水平开放、支持优质主体合理利用境内外两个市场两种资源；对优质企业借用中长期外债的审核登记便利程度也有所提升。市场方面，当发行人资质较好、国际评级改善、行业风险可控且投资者对中国地方国企保持一定配置需求时，境外发债可以形成相对有利的时点优势。</w:t>
      </w:r>
    </w:p>
    <w:p w14:paraId="46D6C77A">
      <w:pPr>
        <w:pStyle w:val="3"/>
        <w:rPr>
          <w:rFonts w:ascii="Times New Roman" w:hAnsi="Times New Roman" w:eastAsia="华文宋体"/>
        </w:rPr>
      </w:pPr>
      <w:r>
        <w:rPr>
          <w:rFonts w:hint="eastAsia" w:ascii="Times New Roman" w:hAnsi="Times New Roman" w:eastAsia="华文宋体"/>
        </w:rPr>
        <w:t>九龙江集团在2024年至2025年间国际评级上调，说明其在国际市场中的信用形象正在改善。联合国际于2024年8月将其全球长期发行人评级由BBB+上调至A-，表明其战略地位和信用质量得到进一步认可。在这种背景下，集团选择继续深化境外发债，不仅是融资需求驱动，也是利用评级改善形成市场窗口、降低未来融资边际成本的主动策略。</w:t>
      </w:r>
    </w:p>
    <w:bookmarkEnd w:id="65"/>
    <w:p w14:paraId="079A9966">
      <w:pPr>
        <w:pStyle w:val="6"/>
        <w:rPr>
          <w:rFonts w:ascii="Times New Roman" w:hAnsi="Times New Roman" w:eastAsia="华文宋体"/>
        </w:rPr>
      </w:pPr>
      <w:bookmarkStart w:id="66" w:name="借新还旧与存量外债滚续动机"/>
      <w:r>
        <w:rPr>
          <w:rFonts w:ascii="Times New Roman" w:hAnsi="Times New Roman" w:eastAsia="华文宋体"/>
        </w:rPr>
        <w:t xml:space="preserve">5. </w:t>
      </w:r>
      <w:r>
        <w:rPr>
          <w:rFonts w:hint="eastAsia" w:ascii="Times New Roman" w:hAnsi="Times New Roman" w:eastAsia="华文宋体"/>
        </w:rPr>
        <w:t>借新还旧与存量外债滚续动机</w:t>
      </w:r>
    </w:p>
    <w:p w14:paraId="05EB0E92">
      <w:pPr>
        <w:pStyle w:val="23"/>
        <w:rPr>
          <w:rFonts w:ascii="Times New Roman" w:hAnsi="Times New Roman" w:eastAsia="华文宋体"/>
        </w:rPr>
      </w:pPr>
      <w:r>
        <w:rPr>
          <w:rFonts w:hint="eastAsia" w:ascii="Times New Roman" w:hAnsi="Times New Roman" w:eastAsia="华文宋体"/>
        </w:rPr>
        <w:t>根据公开市场信息，九龙江集团于2025年7月发行Reg</w:t>
      </w:r>
      <w:r>
        <w:rPr>
          <w:rFonts w:ascii="Times New Roman" w:hAnsi="Times New Roman" w:eastAsia="华文宋体"/>
        </w:rPr>
        <w:t xml:space="preserve"> </w:t>
      </w:r>
      <w:r>
        <w:rPr>
          <w:rFonts w:hint="eastAsia" w:ascii="Times New Roman" w:hAnsi="Times New Roman" w:eastAsia="华文宋体"/>
        </w:rPr>
        <w:t>S、3年期、5亿美元高级无抵押转型债券，票面利率4.55%，募集资金用途为根据国家发展改革委证书和转型计划，对未偿还的离岸债务进行再融资。这表明集团境外发债的一个现实动机是存量外债滚续和债务结构调整。对信用资质较强的地方国企而言，借新还旧本身并不必然意味着风险失控，关键在于新债成本是否可控、期限是否优化、是否伴随流动性改善以及是否具备多元化备份渠道。</w:t>
      </w:r>
    </w:p>
    <w:p w14:paraId="2874B2DF">
      <w:pPr>
        <w:pStyle w:val="3"/>
        <w:rPr>
          <w:rFonts w:ascii="Times New Roman" w:hAnsi="Times New Roman" w:eastAsia="华文宋体"/>
        </w:rPr>
      </w:pPr>
      <w:r>
        <w:rPr>
          <w:rFonts w:hint="eastAsia" w:ascii="Times New Roman" w:hAnsi="Times New Roman" w:eastAsia="华文宋体"/>
        </w:rPr>
        <w:t>从积极角度看，2025年这笔美元债获得超3倍订单峰值认购，并被集团称为“2023年以来全国同评级地方国企最大发行规模、最低发行利率”，说明其在市场上仍具有较强融资能力；但从风险管理角度看，这也意味着其境外债融资已进入“滚动管理”阶段，未来需要更加重视再融资窗口管理和存量债务期限梯度安排。</w:t>
      </w:r>
    </w:p>
    <w:bookmarkEnd w:id="61"/>
    <w:bookmarkEnd w:id="66"/>
    <w:p w14:paraId="37944620">
      <w:pPr>
        <w:pStyle w:val="5"/>
        <w:rPr>
          <w:rFonts w:ascii="Times New Roman" w:hAnsi="Times New Roman" w:eastAsia="华文宋体"/>
        </w:rPr>
      </w:pPr>
      <w:bookmarkStart w:id="67" w:name="四境外债券融资过程与实施难点"/>
      <w:r>
        <w:rPr>
          <w:rFonts w:hint="eastAsia" w:ascii="Times New Roman" w:hAnsi="Times New Roman" w:eastAsia="华文宋体"/>
        </w:rPr>
        <w:t>（四）境外债券融资过程与实施难点</w:t>
      </w:r>
    </w:p>
    <w:p w14:paraId="2419F411">
      <w:pPr>
        <w:pStyle w:val="6"/>
        <w:rPr>
          <w:rFonts w:ascii="Times New Roman" w:hAnsi="Times New Roman" w:eastAsia="华文宋体"/>
        </w:rPr>
      </w:pPr>
      <w:bookmarkStart w:id="68" w:name="以2025年转型美元债为代表的发行流程重建"/>
      <w:r>
        <w:rPr>
          <w:rFonts w:ascii="Times New Roman" w:hAnsi="Times New Roman" w:eastAsia="华文宋体"/>
        </w:rPr>
        <w:t xml:space="preserve">1. </w:t>
      </w:r>
      <w:r>
        <w:rPr>
          <w:rFonts w:hint="eastAsia" w:ascii="Times New Roman" w:hAnsi="Times New Roman" w:eastAsia="华文宋体"/>
        </w:rPr>
        <w:t>以2025年转型美元债为代表的发行流程重建</w:t>
      </w:r>
    </w:p>
    <w:p w14:paraId="063529E7">
      <w:pPr>
        <w:pStyle w:val="23"/>
        <w:rPr>
          <w:rFonts w:ascii="Times New Roman" w:hAnsi="Times New Roman" w:eastAsia="华文宋体"/>
        </w:rPr>
      </w:pPr>
      <w:r>
        <w:rPr>
          <w:rFonts w:hint="eastAsia" w:ascii="Times New Roman" w:hAnsi="Times New Roman" w:eastAsia="华文宋体"/>
        </w:rPr>
        <w:t>由于公开资料难以完整追溯九龙江集团最早一笔境外债的全部发行细节，本文以2025年7月其5亿美元、3年期高级无抵押转型债券为代表，对其境外债融资流程进行重建分析。该案例能够较好反映集团进入成熟境外债市场后的全流程机制。</w:t>
      </w:r>
    </w:p>
    <w:p w14:paraId="0E9C7999">
      <w:pPr>
        <w:pStyle w:val="3"/>
        <w:rPr>
          <w:rFonts w:ascii="Times New Roman" w:hAnsi="Times New Roman" w:eastAsia="华文宋体"/>
        </w:rPr>
      </w:pPr>
      <w:r>
        <w:rPr>
          <w:rFonts w:hint="eastAsia" w:ascii="Times New Roman" w:hAnsi="Times New Roman" w:eastAsia="华文宋体"/>
        </w:rPr>
        <w:t>首先，在发债前期，企业需要完成内部融资论证，明确币种、规模、期限、用途、监管证书和转型框架。九龙江集团此次债券属于转型债券，说明其不仅考虑一般融资安排，还将ESG和可持续融资框架纳入设计之中，并由标普提供第二方意见。其次，企业需协调国家发展改革委证书、律师尽调、境内外中介机构协作和国际评级沟通。公开市场信息显示，本次发行由国泰君安国际、兴业银行香港分行担任联席全球协调人，另有多家中资和港资机构参与承销，说明其承销团配置较强、发行组织能力成熟。</w:t>
      </w:r>
    </w:p>
    <w:p w14:paraId="54512A2B">
      <w:pPr>
        <w:pStyle w:val="3"/>
        <w:rPr>
          <w:rFonts w:ascii="Times New Roman" w:hAnsi="Times New Roman" w:eastAsia="华文宋体"/>
        </w:rPr>
      </w:pPr>
      <w:r>
        <w:rPr>
          <w:rFonts w:hint="eastAsia" w:ascii="Times New Roman" w:hAnsi="Times New Roman" w:eastAsia="华文宋体"/>
        </w:rPr>
        <w:t>再次，在投资者推介与簿记环节，企业需要向国际投资者解释地方国企支持逻辑、业务结构、资金用途、转型框架和偿债能力。公开信息显示，本次债券初始指导价为5.10%区域，最终定价收窄至4.55%，订单峰值超过3倍认购。这表明企业在国际市场推介中较成功地传递了信用故事，也说明地方优质国企在高利率环境下仍可依靠资质和结构创新获得市场认可。最后，在交割和存续期管理环节，企业仍需持续跟踪募集资金用途、投资者沟通和再融资安排，特别是转型债券通常伴随更高的信息披露要求。</w:t>
      </w:r>
    </w:p>
    <w:bookmarkEnd w:id="68"/>
    <w:p w14:paraId="252B54A8">
      <w:pPr>
        <w:pStyle w:val="6"/>
        <w:rPr>
          <w:rFonts w:ascii="Times New Roman" w:hAnsi="Times New Roman" w:eastAsia="华文宋体"/>
        </w:rPr>
      </w:pPr>
      <w:bookmarkStart w:id="69" w:name="国际评级与信用叙事构建的难点"/>
      <w:r>
        <w:rPr>
          <w:rFonts w:ascii="Times New Roman" w:hAnsi="Times New Roman" w:eastAsia="华文宋体"/>
        </w:rPr>
        <w:t xml:space="preserve">2. </w:t>
      </w:r>
      <w:r>
        <w:rPr>
          <w:rFonts w:hint="eastAsia" w:ascii="Times New Roman" w:hAnsi="Times New Roman" w:eastAsia="华文宋体"/>
        </w:rPr>
        <w:t>国际评级与信用叙事构建的难点</w:t>
      </w:r>
    </w:p>
    <w:p w14:paraId="09C876D1">
      <w:pPr>
        <w:pStyle w:val="23"/>
        <w:rPr>
          <w:rFonts w:ascii="Times New Roman" w:hAnsi="Times New Roman" w:eastAsia="华文宋体"/>
        </w:rPr>
      </w:pPr>
      <w:r>
        <w:rPr>
          <w:rFonts w:hint="eastAsia" w:ascii="Times New Roman" w:hAnsi="Times New Roman" w:eastAsia="华文宋体"/>
        </w:rPr>
        <w:t>对九龙江集团而言，境外发债的首要难点并非法律文件，而是如何将境内AAA主体转化为国际投资者可以理解并接受的信用叙事。国际评级机构通常不会简单认可地方国资背景，而是会将其拆解为几个问题：地方政府是否有足够强的支持意愿和支持能力？企业在地方经济体系中的战略地位有多高？企业本身是否有可持续经营现金流？债务是否过度集中？跨境资金转移和资本项目约束会不会削弱支持效果？</w:t>
      </w:r>
    </w:p>
    <w:p w14:paraId="263F889A">
      <w:pPr>
        <w:pStyle w:val="3"/>
        <w:rPr>
          <w:rFonts w:ascii="Times New Roman" w:hAnsi="Times New Roman" w:eastAsia="华文宋体"/>
        </w:rPr>
      </w:pPr>
      <w:r>
        <w:rPr>
          <w:rFonts w:hint="eastAsia" w:ascii="Times New Roman" w:hAnsi="Times New Roman" w:eastAsia="华文宋体"/>
        </w:rPr>
        <w:t>九龙江集团在这一方面具有优势，也有挑战。优势在于其确实具有地方战略地位、多元产业布局、上市公司资源和较高区域重要性；挑战则在于其贸易业务毛利率低、投资类资产占比较高、有息债务规模大，国际投资者可能担心其“规模大但自由现金流有限”。因此，集团需要通过更加系统的路演材料和评级沟通，向投资者清楚说明其盈利支撑点、偿债来源、地方支持路径和风险缓释措施。</w:t>
      </w:r>
    </w:p>
    <w:bookmarkEnd w:id="69"/>
    <w:p w14:paraId="0BE5C999">
      <w:pPr>
        <w:pStyle w:val="6"/>
        <w:rPr>
          <w:rFonts w:ascii="Times New Roman" w:hAnsi="Times New Roman" w:eastAsia="华文宋体"/>
        </w:rPr>
      </w:pPr>
      <w:bookmarkStart w:id="70" w:name="资金回流与用途合规的难点"/>
      <w:r>
        <w:rPr>
          <w:rFonts w:ascii="Times New Roman" w:hAnsi="Times New Roman" w:eastAsia="华文宋体"/>
        </w:rPr>
        <w:t xml:space="preserve">3. </w:t>
      </w:r>
      <w:r>
        <w:rPr>
          <w:rFonts w:hint="eastAsia" w:ascii="Times New Roman" w:hAnsi="Times New Roman" w:eastAsia="华文宋体"/>
        </w:rPr>
        <w:t>资金回流与用途合规的难点</w:t>
      </w:r>
    </w:p>
    <w:p w14:paraId="6117AA22">
      <w:pPr>
        <w:pStyle w:val="23"/>
        <w:rPr>
          <w:rFonts w:ascii="Times New Roman" w:hAnsi="Times New Roman" w:eastAsia="华文宋体"/>
        </w:rPr>
      </w:pPr>
      <w:r>
        <w:rPr>
          <w:rFonts w:hint="eastAsia" w:ascii="Times New Roman" w:hAnsi="Times New Roman" w:eastAsia="华文宋体"/>
        </w:rPr>
        <w:t>境外债募集资金若部分或全部用于境内，必须严格设计回流路径和用途台账。对九龙江集团这类兼具产业经营和平台投资属性的企业而言，这一问题尤其复杂。因为集团业务板块众多，既有境外可能用途，也有大量境内投资需求；若用途设计不够清晰，容易在监管审查或投资者沟通中引发疑问。</w:t>
      </w:r>
    </w:p>
    <w:p w14:paraId="2AED2079">
      <w:pPr>
        <w:pStyle w:val="3"/>
        <w:rPr>
          <w:rFonts w:ascii="Times New Roman" w:hAnsi="Times New Roman" w:eastAsia="华文宋体"/>
        </w:rPr>
      </w:pPr>
      <w:r>
        <w:rPr>
          <w:rFonts w:hint="eastAsia" w:ascii="Times New Roman" w:hAnsi="Times New Roman" w:eastAsia="华文宋体"/>
        </w:rPr>
        <w:t>以2025年美元债为例，公开信息显示其主要用于未偿还离岸债务再融资。相比“募资回流境内项目建设”，借新还旧类用途在国际债市场中更容易被理解，因为其偿债逻辑更清晰、用途更封闭，也能降低资金回流监管的不确定性。但如果企业未来希望使用境外债服务境内产业投资，就必须在外债证书、回流路径、资本金注入和资金台账方面形成更精细的合规安排。</w:t>
      </w:r>
    </w:p>
    <w:bookmarkEnd w:id="70"/>
    <w:p w14:paraId="6925975D">
      <w:pPr>
        <w:pStyle w:val="6"/>
        <w:rPr>
          <w:rFonts w:ascii="Times New Roman" w:hAnsi="Times New Roman" w:eastAsia="华文宋体"/>
        </w:rPr>
      </w:pPr>
      <w:bookmarkStart w:id="71" w:name="发行窗口选择与定价敏感性的难点"/>
      <w:r>
        <w:rPr>
          <w:rFonts w:ascii="Times New Roman" w:hAnsi="Times New Roman" w:eastAsia="华文宋体"/>
        </w:rPr>
        <w:t xml:space="preserve">4. </w:t>
      </w:r>
      <w:r>
        <w:rPr>
          <w:rFonts w:hint="eastAsia" w:ascii="Times New Roman" w:hAnsi="Times New Roman" w:eastAsia="华文宋体"/>
        </w:rPr>
        <w:t>发行窗口选择与定价敏感性的难点</w:t>
      </w:r>
    </w:p>
    <w:p w14:paraId="20264796">
      <w:pPr>
        <w:pStyle w:val="23"/>
        <w:rPr>
          <w:rFonts w:ascii="Times New Roman" w:hAnsi="Times New Roman" w:eastAsia="华文宋体"/>
        </w:rPr>
      </w:pPr>
      <w:r>
        <w:rPr>
          <w:rFonts w:hint="eastAsia" w:ascii="Times New Roman" w:hAnsi="Times New Roman" w:eastAsia="华文宋体"/>
        </w:rPr>
        <w:t>在高利率和风险偏好分化环境下，境外债发行窗口具有很强的阶段性。对于九龙江集团而言，定价不仅取决于自身信用，也受到美国国债收益率、亚洲投资级信用债二级市场表现、地缘政治情绪和中资地方国企板块交易情况影响。如果发行时点恰逢美债收益率上行或市场风险偏好恶化，即使企业基本面稳定，也可能面临利差扩大。</w:t>
      </w:r>
    </w:p>
    <w:p w14:paraId="13AF4003">
      <w:pPr>
        <w:pStyle w:val="3"/>
        <w:rPr>
          <w:rFonts w:ascii="Times New Roman" w:hAnsi="Times New Roman" w:eastAsia="华文宋体"/>
        </w:rPr>
      </w:pPr>
      <w:r>
        <w:rPr>
          <w:rFonts w:hint="eastAsia" w:ascii="Times New Roman" w:hAnsi="Times New Roman" w:eastAsia="华文宋体"/>
        </w:rPr>
        <w:t>2025年美元债从5.10%初始指导价收窄至4.55%，说明此次窗口选择较为成功。但这种成功本身并不能说明未来每一次再融资都能复制同样结果。窗口型融资的风险在于，它对发行准备效率、预授权额度、中介协同和市场嗅觉要求极高。一旦企业在旧债到期前准备不足，就可能错过有利窗口，被迫在不利时点高成本发行，甚至无法发行。</w:t>
      </w:r>
    </w:p>
    <w:bookmarkEnd w:id="71"/>
    <w:p w14:paraId="0498BAFA">
      <w:pPr>
        <w:pStyle w:val="6"/>
        <w:rPr>
          <w:rFonts w:ascii="Times New Roman" w:hAnsi="Times New Roman" w:eastAsia="华文宋体"/>
        </w:rPr>
      </w:pPr>
      <w:bookmarkStart w:id="72" w:name="境内外融资协同的难点"/>
      <w:r>
        <w:rPr>
          <w:rFonts w:ascii="Times New Roman" w:hAnsi="Times New Roman" w:eastAsia="华文宋体"/>
        </w:rPr>
        <w:t xml:space="preserve">5. </w:t>
      </w:r>
      <w:r>
        <w:rPr>
          <w:rFonts w:hint="eastAsia" w:ascii="Times New Roman" w:hAnsi="Times New Roman" w:eastAsia="华文宋体"/>
        </w:rPr>
        <w:t>境内外融资协同的难点</w:t>
      </w:r>
    </w:p>
    <w:p w14:paraId="0F240FA3">
      <w:pPr>
        <w:pStyle w:val="23"/>
        <w:rPr>
          <w:rFonts w:ascii="Times New Roman" w:hAnsi="Times New Roman" w:eastAsia="华文宋体"/>
        </w:rPr>
      </w:pPr>
      <w:r>
        <w:rPr>
          <w:rFonts w:hint="eastAsia" w:ascii="Times New Roman" w:hAnsi="Times New Roman" w:eastAsia="华文宋体"/>
        </w:rPr>
        <w:t>九龙江集团境内融资渠道较多，拥有中票、公司债、银行贷款、永续债等多元工具，同时又在境外市场形成了初步信用基础。这种“双市场融资”结构看似有利，但也带来协同难题。首先，境内外融资成本、期限和投资者偏好不同，企业需要在总体负债结构中统筹久期和币种。其次，境内外市场的节奏不同，境内市场往往更受货币政策和信用环境影响，境外市场则更受全球流动性和美元利率影响，企业必须建立跨市场的动态比较机制。再次，境内外披露口径和评级逻辑并不一致，若企业无法统一内外部信息叙事，容易导致投资者混淆甚至误判。</w:t>
      </w:r>
    </w:p>
    <w:bookmarkEnd w:id="67"/>
    <w:bookmarkEnd w:id="72"/>
    <w:p w14:paraId="56A8F4DC">
      <w:pPr>
        <w:pStyle w:val="5"/>
        <w:rPr>
          <w:rFonts w:ascii="Times New Roman" w:hAnsi="Times New Roman" w:eastAsia="华文宋体"/>
        </w:rPr>
      </w:pPr>
      <w:bookmarkStart w:id="73" w:name="五美联储加息背景下的风险暴露与管理"/>
      <w:r>
        <w:rPr>
          <w:rFonts w:hint="eastAsia" w:ascii="Times New Roman" w:hAnsi="Times New Roman" w:eastAsia="华文宋体"/>
        </w:rPr>
        <w:t>（五）美联储加息背景下的风险暴露与管理</w:t>
      </w:r>
    </w:p>
    <w:p w14:paraId="6DAD5E2B">
      <w:pPr>
        <w:pStyle w:val="6"/>
        <w:rPr>
          <w:rFonts w:ascii="Times New Roman" w:hAnsi="Times New Roman" w:eastAsia="华文宋体"/>
        </w:rPr>
      </w:pPr>
      <w:bookmarkStart w:id="74" w:name="利率风险从低基准时代到高利率时代的成本重估"/>
      <w:r>
        <w:rPr>
          <w:rFonts w:ascii="Times New Roman" w:hAnsi="Times New Roman" w:eastAsia="华文宋体"/>
        </w:rPr>
        <w:t xml:space="preserve">1. </w:t>
      </w:r>
      <w:r>
        <w:rPr>
          <w:rFonts w:hint="eastAsia" w:ascii="Times New Roman" w:hAnsi="Times New Roman" w:eastAsia="华文宋体"/>
        </w:rPr>
        <w:t>利率风险：从低基准时代到高利率时代的成本重估</w:t>
      </w:r>
    </w:p>
    <w:p w14:paraId="0901A67D">
      <w:pPr>
        <w:pStyle w:val="23"/>
        <w:rPr>
          <w:rFonts w:ascii="Times New Roman" w:hAnsi="Times New Roman" w:eastAsia="华文宋体"/>
        </w:rPr>
      </w:pPr>
      <w:r>
        <w:rPr>
          <w:rFonts w:hint="eastAsia" w:ascii="Times New Roman" w:hAnsi="Times New Roman" w:eastAsia="华文宋体"/>
        </w:rPr>
        <w:t>美联储加息对九龙江集团境外债融资的第一层影响，是直接推高美元债的无风险利率基础。量化宽松时期，即便地方国企国际评级并不高，只要美债收益率足够低，总票息仍可能保持在较有吸引力水平。而在5%以上的高利率环境中，即便信用利差维持稳定，总体票息也显著高于过去。换言之，利率风险不是“有没有发出去”的问题，而是“发出去以后是否仍然值得”的问题。</w:t>
      </w:r>
    </w:p>
    <w:p w14:paraId="23F8CC2A">
      <w:pPr>
        <w:pStyle w:val="3"/>
        <w:rPr>
          <w:rFonts w:ascii="Times New Roman" w:hAnsi="Times New Roman" w:eastAsia="华文宋体"/>
        </w:rPr>
      </w:pPr>
      <w:r>
        <w:rPr>
          <w:rFonts w:hint="eastAsia" w:ascii="Times New Roman" w:hAnsi="Times New Roman" w:eastAsia="华文宋体"/>
        </w:rPr>
        <w:t>对九龙江集团而言，利率风险主要体现在两个方面：一是新增融资成本上升，降低债务结构优化空间；二是若存量债集中在未来几年到期，再融资时面临票息中枢抬高。2025年美元债票面利率4.55%，在当期同评级地方国企中已属较优，但与量化宽松时期相比仍体现出明显的高利率时代特征。企业若沿用过去低利率时期的融资思维，容易低估未来财务费用压力。</w:t>
      </w:r>
    </w:p>
    <w:bookmarkEnd w:id="74"/>
    <w:p w14:paraId="03CF97FE">
      <w:pPr>
        <w:pStyle w:val="6"/>
        <w:rPr>
          <w:rFonts w:ascii="Times New Roman" w:hAnsi="Times New Roman" w:eastAsia="华文宋体"/>
        </w:rPr>
      </w:pPr>
      <w:bookmarkStart w:id="75" w:name="汇率风险人民币资产与美元负债错配的核心约束"/>
      <w:r>
        <w:rPr>
          <w:rFonts w:ascii="Times New Roman" w:hAnsi="Times New Roman" w:eastAsia="华文宋体"/>
        </w:rPr>
        <w:t xml:space="preserve">2. </w:t>
      </w:r>
      <w:r>
        <w:rPr>
          <w:rFonts w:hint="eastAsia" w:ascii="Times New Roman" w:hAnsi="Times New Roman" w:eastAsia="华文宋体"/>
        </w:rPr>
        <w:t>汇率风险：人民币资产与美元负债错配的核心约束</w:t>
      </w:r>
    </w:p>
    <w:p w14:paraId="39AC8209">
      <w:pPr>
        <w:pStyle w:val="23"/>
        <w:rPr>
          <w:rFonts w:ascii="Times New Roman" w:hAnsi="Times New Roman" w:eastAsia="华文宋体"/>
        </w:rPr>
      </w:pPr>
      <w:r>
        <w:rPr>
          <w:rFonts w:hint="eastAsia" w:ascii="Times New Roman" w:hAnsi="Times New Roman" w:eastAsia="华文宋体"/>
        </w:rPr>
        <w:t>九龙江集团整体经营仍以人民币资产和人民币现金流为主，药业、贸易和园区投资收益大部分在本币体系内实现，因此其美元债不可能完全依赖自然外币收入覆盖。尽管部分业务与外贸和跨境供应链有关，但从整体规模看，企业仍存在一定货币错配。人民币对美元贬值会直接提高本币口径的利息和本金负担，并可能通过汇兑损益影响利润表。</w:t>
      </w:r>
    </w:p>
    <w:p w14:paraId="1E029D31">
      <w:pPr>
        <w:pStyle w:val="3"/>
        <w:rPr>
          <w:rFonts w:ascii="Times New Roman" w:hAnsi="Times New Roman" w:eastAsia="华文宋体"/>
        </w:rPr>
      </w:pPr>
      <w:r>
        <w:rPr>
          <w:rFonts w:hint="eastAsia" w:ascii="Times New Roman" w:hAnsi="Times New Roman" w:eastAsia="华文宋体"/>
        </w:rPr>
        <w:t>为了直观说明这一问题，本文进行简单情景测算。假设企业发行5亿美元、票面利率4.55%、期限3年的美元债。若发行时人民币兑美元汇率为7.10，则本金折算为35.50亿元人民币，年度利息约1.62亿元；若到期时人民币贬值至7.60，则本金折算升至38.00亿元，单本金折算增加2.50亿元，年度利息增至1.73亿元。若企业未配置足够对冲或外币收入，则上述差额将完全由本币现金流承担。对单笔债务而言，这种影响已不容忽视；若存量外债规模更大，汇率风险会更为显著。</w:t>
      </w:r>
    </w:p>
    <w:bookmarkEnd w:id="75"/>
    <w:p w14:paraId="4DE529AF">
      <w:pPr>
        <w:pStyle w:val="6"/>
        <w:rPr>
          <w:rFonts w:ascii="Times New Roman" w:hAnsi="Times New Roman" w:eastAsia="华文宋体"/>
        </w:rPr>
      </w:pPr>
      <w:bookmarkStart w:id="76" w:name="再融资风险滚动融资逻辑的可持续性考验"/>
      <w:r>
        <w:rPr>
          <w:rFonts w:ascii="Times New Roman" w:hAnsi="Times New Roman" w:eastAsia="华文宋体"/>
        </w:rPr>
        <w:t xml:space="preserve">3. </w:t>
      </w:r>
      <w:r>
        <w:rPr>
          <w:rFonts w:hint="eastAsia" w:ascii="Times New Roman" w:hAnsi="Times New Roman" w:eastAsia="华文宋体"/>
        </w:rPr>
        <w:t>再融资风险：滚动融资逻辑的可持续性考验</w:t>
      </w:r>
    </w:p>
    <w:p w14:paraId="64ED63D3">
      <w:pPr>
        <w:pStyle w:val="23"/>
        <w:rPr>
          <w:rFonts w:ascii="Times New Roman" w:hAnsi="Times New Roman" w:eastAsia="华文宋体"/>
        </w:rPr>
      </w:pPr>
      <w:r>
        <w:rPr>
          <w:rFonts w:hint="eastAsia" w:ascii="Times New Roman" w:hAnsi="Times New Roman" w:eastAsia="华文宋体"/>
        </w:rPr>
        <w:t>九龙江集团在2025年美元债中已明确将募集资金用于再融资离岸债务，这意味着其境外融资已从“新市场开拓”转向“存量债管理”阶段。只要市场窗口稳定、信用资质保持、境内融资能力较强，借新还旧可以是常见且合理的债务管理方式；但在全球流动性收紧时期，再融资风险不应被低估。若未来国际市场对地方国企信用偏好下降、美债收益率再次走高或企业自身经营出现波动，滚续融资成本和难度都可能显著上升。</w:t>
      </w:r>
    </w:p>
    <w:p w14:paraId="4E92E53D">
      <w:pPr>
        <w:pStyle w:val="3"/>
        <w:rPr>
          <w:rFonts w:ascii="Times New Roman" w:hAnsi="Times New Roman" w:eastAsia="华文宋体"/>
        </w:rPr>
      </w:pPr>
      <w:r>
        <w:rPr>
          <w:rFonts w:hint="eastAsia" w:ascii="Times New Roman" w:hAnsi="Times New Roman" w:eastAsia="华文宋体"/>
        </w:rPr>
        <w:t>九龙江集团在这一风险上的相对优势，是其境内融资能力较强、上市公司资源丰富、地方支持预期较高，理论上可以通过境内债替代、银行授信补充和资产流动化等方式缓冲境外市场波动。但这并不意味着其可以忽视境外债到期结构管理。相反，正因为其具备较强融资能力，更应主动将到期债务分散化，避免对单一市场形成路径依赖。</w:t>
      </w:r>
    </w:p>
    <w:bookmarkEnd w:id="76"/>
    <w:p w14:paraId="0634CFB3">
      <w:pPr>
        <w:pStyle w:val="6"/>
        <w:rPr>
          <w:rFonts w:ascii="Times New Roman" w:hAnsi="Times New Roman" w:eastAsia="华文宋体"/>
        </w:rPr>
      </w:pPr>
      <w:bookmarkStart w:id="77" w:name="政策风险募集资金用途转型框架与跨境监管变化"/>
      <w:r>
        <w:rPr>
          <w:rFonts w:ascii="Times New Roman" w:hAnsi="Times New Roman" w:eastAsia="华文宋体"/>
        </w:rPr>
        <w:t xml:space="preserve">4. </w:t>
      </w:r>
      <w:r>
        <w:rPr>
          <w:rFonts w:hint="eastAsia" w:ascii="Times New Roman" w:hAnsi="Times New Roman" w:eastAsia="华文宋体"/>
        </w:rPr>
        <w:t>政策风险：募集资金用途、转型框架与跨境监管变化</w:t>
      </w:r>
    </w:p>
    <w:p w14:paraId="6761AEC5">
      <w:pPr>
        <w:pStyle w:val="23"/>
        <w:rPr>
          <w:rFonts w:ascii="Times New Roman" w:hAnsi="Times New Roman" w:eastAsia="华文宋体"/>
        </w:rPr>
      </w:pPr>
      <w:r>
        <w:rPr>
          <w:rFonts w:hint="eastAsia" w:ascii="Times New Roman" w:hAnsi="Times New Roman" w:eastAsia="华文宋体"/>
        </w:rPr>
        <w:t>随着外债监管从“放开增量”转向“强化用途穿透和风险报送”，政策风险成为企业境外发债必须长期关注的变量。对九龙江集团而言，政策风险主要体现在三个方面：一是募集资金用途是否持续符合审核登记和投资者承诺；二是跨境资金调拨路径是否与外汇管理和统计口径一致；三是若未来监管对借新还旧、资金回流或特定行业用途提出更严格要求，企业现有融资安排是否仍然适用。</w:t>
      </w:r>
    </w:p>
    <w:p w14:paraId="673C48A6">
      <w:pPr>
        <w:pStyle w:val="3"/>
        <w:rPr>
          <w:rFonts w:ascii="Times New Roman" w:hAnsi="Times New Roman" w:eastAsia="华文宋体"/>
        </w:rPr>
      </w:pPr>
      <w:r>
        <w:rPr>
          <w:rFonts w:hint="eastAsia" w:ascii="Times New Roman" w:hAnsi="Times New Roman" w:eastAsia="华文宋体"/>
        </w:rPr>
        <w:t>此外，转型债券等可持续金融工具虽有助于扩大投资者基础，但也带来新的合规约束。企业需要持续披露转型计划执行情况、资金用途与相关指标，否则容易引发声誉和合规风险。因此，创新融资工具并不意味着风险下降，而是要求企业建立更高水平的信息披露和内部治理体系。</w:t>
      </w:r>
    </w:p>
    <w:bookmarkEnd w:id="77"/>
    <w:p w14:paraId="4D7E60F5">
      <w:pPr>
        <w:pStyle w:val="6"/>
        <w:rPr>
          <w:rFonts w:ascii="Times New Roman" w:hAnsi="Times New Roman" w:eastAsia="华文宋体"/>
        </w:rPr>
      </w:pPr>
      <w:bookmarkStart w:id="78" w:name="声誉风险国际市场信用形象的脆弱性"/>
      <w:r>
        <w:rPr>
          <w:rFonts w:ascii="Times New Roman" w:hAnsi="Times New Roman" w:eastAsia="华文宋体"/>
        </w:rPr>
        <w:t xml:space="preserve">5. </w:t>
      </w:r>
      <w:r>
        <w:rPr>
          <w:rFonts w:hint="eastAsia" w:ascii="Times New Roman" w:hAnsi="Times New Roman" w:eastAsia="华文宋体"/>
        </w:rPr>
        <w:t>声誉风险：国际市场信用形象的脆弱性</w:t>
      </w:r>
    </w:p>
    <w:p w14:paraId="54944778">
      <w:pPr>
        <w:pStyle w:val="23"/>
        <w:rPr>
          <w:rFonts w:ascii="Times New Roman" w:hAnsi="Times New Roman" w:eastAsia="华文宋体"/>
        </w:rPr>
      </w:pPr>
      <w:r>
        <w:rPr>
          <w:rFonts w:hint="eastAsia" w:ascii="Times New Roman" w:hAnsi="Times New Roman" w:eastAsia="华文宋体"/>
        </w:rPr>
        <w:t>与境内债相比，境外债投资者更依赖公开披露、国际评级和二级市场交易价格来判断信用。一旦企业在披露、用途管理、偿债安排或重大事项沟通方面出现偏差，负面影响往往会快速反映在市场价格和投资者信心中。对地方国企而言，声誉风险还具有外部性，一家主体的市场表现可能影响同区域、同类型主体的境外融资定价。</w:t>
      </w:r>
    </w:p>
    <w:p w14:paraId="7E6C13FD">
      <w:pPr>
        <w:pStyle w:val="3"/>
        <w:rPr>
          <w:rFonts w:ascii="Times New Roman" w:hAnsi="Times New Roman" w:eastAsia="华文宋体"/>
        </w:rPr>
      </w:pPr>
      <w:r>
        <w:rPr>
          <w:rFonts w:hint="eastAsia" w:ascii="Times New Roman" w:hAnsi="Times New Roman" w:eastAsia="华文宋体"/>
        </w:rPr>
        <w:t>九龙江集团2025年美元债获得良好定价，说明其已在国际市场积累了一定信任资本。但这种信任资本非常脆弱，需要靠持续透明度来维护。若未来出现评级下调、盈利明显下滑、项目投资回收不及预期或披露节奏紊乱，即使短期偿债能力未受根本影响，企业后续融资条件也可能恶化。</w:t>
      </w:r>
    </w:p>
    <w:bookmarkEnd w:id="73"/>
    <w:bookmarkEnd w:id="78"/>
    <w:p w14:paraId="27F2F234">
      <w:pPr>
        <w:pStyle w:val="5"/>
        <w:rPr>
          <w:rFonts w:ascii="Times New Roman" w:hAnsi="Times New Roman" w:eastAsia="华文宋体"/>
        </w:rPr>
      </w:pPr>
      <w:bookmarkStart w:id="79" w:name="六九龙江集团的风险管理实践与优化建议"/>
      <w:r>
        <w:rPr>
          <w:rFonts w:hint="eastAsia" w:ascii="Times New Roman" w:hAnsi="Times New Roman" w:eastAsia="华文宋体"/>
        </w:rPr>
        <w:t>（六）九龙江集团的风险管理实践与优化建议</w:t>
      </w:r>
    </w:p>
    <w:p w14:paraId="4040DBC8">
      <w:pPr>
        <w:pStyle w:val="6"/>
        <w:rPr>
          <w:rFonts w:ascii="Times New Roman" w:hAnsi="Times New Roman" w:eastAsia="华文宋体"/>
        </w:rPr>
      </w:pPr>
      <w:bookmarkStart w:id="80" w:name="建立经营现金流债务对冲一体化管理框架"/>
      <w:r>
        <w:rPr>
          <w:rFonts w:ascii="Times New Roman" w:hAnsi="Times New Roman" w:eastAsia="华文宋体"/>
        </w:rPr>
        <w:t xml:space="preserve">1. </w:t>
      </w:r>
      <w:r>
        <w:rPr>
          <w:rFonts w:hint="eastAsia" w:ascii="Times New Roman" w:hAnsi="Times New Roman" w:eastAsia="华文宋体"/>
        </w:rPr>
        <w:t>建立“经营现金流—债务—对冲”一体化管理框架</w:t>
      </w:r>
    </w:p>
    <w:p w14:paraId="631421E9">
      <w:pPr>
        <w:pStyle w:val="23"/>
        <w:rPr>
          <w:rFonts w:ascii="Times New Roman" w:hAnsi="Times New Roman" w:eastAsia="华文宋体"/>
        </w:rPr>
      </w:pPr>
      <w:r>
        <w:rPr>
          <w:rFonts w:hint="eastAsia" w:ascii="Times New Roman" w:hAnsi="Times New Roman" w:eastAsia="华文宋体"/>
        </w:rPr>
        <w:t>九龙江集团境外债风险管理的首要方向，是将外币经营现金流、外币债务安排和套保策略纳入统一框架。目前集团部分业务具有外贸和跨境属性，但整体外币收入占比仍不足以自然覆盖全部美元负债。因此，应对不同板块的外币现金流进行穿透识别，明确哪些收入可作为债务偿付自然来源，哪些必须通过金融工具对冲。只有先识别净敞口，后配置对冲工具，才能避免“名义有国际业务、实际仍靠人民币现金流还美元债”的情况。</w:t>
      </w:r>
    </w:p>
    <w:bookmarkEnd w:id="80"/>
    <w:p w14:paraId="465FEB1F">
      <w:pPr>
        <w:pStyle w:val="6"/>
        <w:rPr>
          <w:rFonts w:ascii="Times New Roman" w:hAnsi="Times New Roman" w:eastAsia="华文宋体"/>
        </w:rPr>
      </w:pPr>
      <w:bookmarkStart w:id="81" w:name="采取分层滚动的套期保值策略"/>
      <w:r>
        <w:rPr>
          <w:rFonts w:ascii="Times New Roman" w:hAnsi="Times New Roman" w:eastAsia="华文宋体"/>
        </w:rPr>
        <w:t xml:space="preserve">2. </w:t>
      </w:r>
      <w:r>
        <w:rPr>
          <w:rFonts w:hint="eastAsia" w:ascii="Times New Roman" w:hAnsi="Times New Roman" w:eastAsia="华文宋体"/>
        </w:rPr>
        <w:t>采取分层、滚动的套期保值策略</w:t>
      </w:r>
    </w:p>
    <w:p w14:paraId="69F90020">
      <w:pPr>
        <w:pStyle w:val="23"/>
        <w:rPr>
          <w:rFonts w:ascii="Times New Roman" w:hAnsi="Times New Roman" w:eastAsia="华文宋体"/>
        </w:rPr>
      </w:pPr>
      <w:r>
        <w:rPr>
          <w:rFonts w:hint="eastAsia" w:ascii="Times New Roman" w:hAnsi="Times New Roman" w:eastAsia="华文宋体"/>
        </w:rPr>
        <w:t>由于长期静态对冲成本较高，且中美利差变化较快，九龙江集团更适合采用分层对冲和滚动对冲相结合的策略。对近期一年内需要支付的利息和本金，可采用远期购汇、外汇掉期等锁定成本；对中长期债务，则可根据市场情况逐步建立对冲仓位，避免一次性在高成本区间锁定全部期限。此外，企业应建立明确的套保授权边界和风险限额，确保对冲服务于风险中性目标，而非演变为投机交易。</w:t>
      </w:r>
    </w:p>
    <w:bookmarkEnd w:id="81"/>
    <w:p w14:paraId="3EEA1CE5">
      <w:pPr>
        <w:pStyle w:val="6"/>
        <w:rPr>
          <w:rFonts w:ascii="Times New Roman" w:hAnsi="Times New Roman" w:eastAsia="华文宋体"/>
        </w:rPr>
      </w:pPr>
      <w:bookmarkStart w:id="82" w:name="优化外债期限梯度和融资备份安排"/>
      <w:r>
        <w:rPr>
          <w:rFonts w:ascii="Times New Roman" w:hAnsi="Times New Roman" w:eastAsia="华文宋体"/>
        </w:rPr>
        <w:t xml:space="preserve">3. </w:t>
      </w:r>
      <w:r>
        <w:rPr>
          <w:rFonts w:hint="eastAsia" w:ascii="Times New Roman" w:hAnsi="Times New Roman" w:eastAsia="华文宋体"/>
        </w:rPr>
        <w:t>优化外债期限梯度和融资备份安排</w:t>
      </w:r>
    </w:p>
    <w:p w14:paraId="673C139C">
      <w:pPr>
        <w:pStyle w:val="23"/>
        <w:rPr>
          <w:rFonts w:ascii="Times New Roman" w:hAnsi="Times New Roman" w:eastAsia="华文宋体"/>
        </w:rPr>
      </w:pPr>
      <w:r>
        <w:rPr>
          <w:rFonts w:hint="eastAsia" w:ascii="Times New Roman" w:hAnsi="Times New Roman" w:eastAsia="华文宋体"/>
        </w:rPr>
        <w:t>企业应将外债、境内债和银行授信统一纳入未来三到五年的到期管理框架，形成阶梯式到期结构，避免某一年外债到期过度集中。对已形成国际信用基础的九龙江集团而言，在市场窗口较好时适度前置融资、回购部分高成本旧债、延长平均期限，将有助于降低未来再融资压力。同时，应维持充足的备用授信和境内替代融资能力，在境外窗口短期关闭时确保有足够流动性缓冲。</w:t>
      </w:r>
    </w:p>
    <w:bookmarkEnd w:id="82"/>
    <w:p w14:paraId="505A0D62">
      <w:pPr>
        <w:pStyle w:val="6"/>
        <w:rPr>
          <w:rFonts w:ascii="Times New Roman" w:hAnsi="Times New Roman" w:eastAsia="华文宋体"/>
        </w:rPr>
      </w:pPr>
      <w:bookmarkStart w:id="83" w:name="提升国际信息披露和投资者关系管理水平"/>
      <w:r>
        <w:rPr>
          <w:rFonts w:ascii="Times New Roman" w:hAnsi="Times New Roman" w:eastAsia="华文宋体"/>
        </w:rPr>
        <w:t xml:space="preserve">4. </w:t>
      </w:r>
      <w:r>
        <w:rPr>
          <w:rFonts w:hint="eastAsia" w:ascii="Times New Roman" w:hAnsi="Times New Roman" w:eastAsia="华文宋体"/>
        </w:rPr>
        <w:t>提升国际信息披露和投资者关系管理水平</w:t>
      </w:r>
    </w:p>
    <w:p w14:paraId="70AA2EE9">
      <w:pPr>
        <w:pStyle w:val="23"/>
        <w:rPr>
          <w:rFonts w:ascii="Times New Roman" w:hAnsi="Times New Roman" w:eastAsia="华文宋体"/>
        </w:rPr>
      </w:pPr>
      <w:r>
        <w:rPr>
          <w:rFonts w:hint="eastAsia" w:ascii="Times New Roman" w:hAnsi="Times New Roman" w:eastAsia="华文宋体"/>
        </w:rPr>
        <w:t>由于九龙江集团境内外评级差异较大，其在境外市场中的信用表现更依赖对外叙事质量。企业应建立常态化的英文披露模板、投资者问答库、ESG进展报告和重大事项沟通机制，避免国际投资者只能从零散市场新闻中理解企业情况。特别是对于转型债券、可持续金融工具和再融资安排，更要提前说明框架、用途和执行路径，以降低不确定性折价。</w:t>
      </w:r>
    </w:p>
    <w:bookmarkEnd w:id="83"/>
    <w:p w14:paraId="6B5F5004">
      <w:pPr>
        <w:pStyle w:val="6"/>
        <w:rPr>
          <w:rFonts w:ascii="Times New Roman" w:hAnsi="Times New Roman" w:eastAsia="华文宋体"/>
        </w:rPr>
      </w:pPr>
      <w:bookmarkStart w:id="84" w:name="强化内部治理与责任分工"/>
      <w:r>
        <w:rPr>
          <w:rFonts w:ascii="Times New Roman" w:hAnsi="Times New Roman" w:eastAsia="华文宋体"/>
        </w:rPr>
        <w:t xml:space="preserve">5. </w:t>
      </w:r>
      <w:r>
        <w:rPr>
          <w:rFonts w:hint="eastAsia" w:ascii="Times New Roman" w:hAnsi="Times New Roman" w:eastAsia="华文宋体"/>
        </w:rPr>
        <w:t>强化内部治理与责任分工</w:t>
      </w:r>
    </w:p>
    <w:p w14:paraId="692A62FB">
      <w:pPr>
        <w:pStyle w:val="23"/>
        <w:rPr>
          <w:rFonts w:ascii="Times New Roman" w:hAnsi="Times New Roman" w:eastAsia="华文宋体"/>
        </w:rPr>
      </w:pPr>
      <w:r>
        <w:rPr>
          <w:rFonts w:hint="eastAsia" w:ascii="Times New Roman" w:hAnsi="Times New Roman" w:eastAsia="华文宋体"/>
        </w:rPr>
        <w:t>境外债风险管理不能仅由融资部门承担，而应在董事会或高级管理层层面建立跨部门协调机制，由融资、财务、资金、法务、风控、审计和业务板块共同参与。对于地方国企而言，这种组织层面的整合尤其重要。因为外债风险既涉及外部市场，也涉及内部资金调拨、项目管理和信息披露。只有将融资决策、使用管理和偿债安排形成闭环，才能真正提高境外债融资的稳健性。</w:t>
      </w:r>
    </w:p>
    <w:p w14:paraId="1E4326AE">
      <w:pPr>
        <w:pStyle w:val="3"/>
        <w:rPr>
          <w:rFonts w:ascii="Times New Roman" w:hAnsi="Times New Roman" w:eastAsia="华文宋体"/>
        </w:rPr>
      </w:pPr>
      <w:r>
        <w:rPr>
          <w:rFonts w:hint="eastAsia" w:ascii="Times New Roman" w:hAnsi="Times New Roman" w:eastAsia="华文宋体"/>
        </w:rPr>
        <w:t>综上，九龙江集团案例表明，地方国企境外发债既有现实必要性，也存在明显边界条件。其成功不在于是否拿到低票息，而在于是否能够通过制度化、全流程的风险管理，将外部融资工具真正嵌入企业长期战略和财务稳健框架中。</w:t>
      </w:r>
    </w:p>
    <w:bookmarkEnd w:id="51"/>
    <w:bookmarkEnd w:id="79"/>
    <w:bookmarkEnd w:id="84"/>
    <w:p w14:paraId="5D28DC0B">
      <w:pPr>
        <w:pStyle w:val="4"/>
        <w:rPr>
          <w:rFonts w:ascii="Times New Roman" w:hAnsi="Times New Roman" w:eastAsia="华文宋体"/>
        </w:rPr>
      </w:pPr>
      <w:bookmarkStart w:id="85" w:name="五监管视角防范系统性风险"/>
      <w:r>
        <w:rPr>
          <w:rFonts w:hint="eastAsia" w:ascii="Times New Roman" w:hAnsi="Times New Roman" w:eastAsia="华文宋体"/>
        </w:rPr>
        <w:t>五、监管视角：防范系统性风险</w:t>
      </w:r>
    </w:p>
    <w:p w14:paraId="3DAF3A5C">
      <w:pPr>
        <w:pStyle w:val="5"/>
        <w:rPr>
          <w:rFonts w:ascii="Times New Roman" w:hAnsi="Times New Roman" w:eastAsia="华文宋体"/>
        </w:rPr>
      </w:pPr>
      <w:bookmarkStart w:id="86" w:name="一我国外债监管政策的演变逻辑"/>
      <w:r>
        <w:rPr>
          <w:rFonts w:hint="eastAsia" w:ascii="Times New Roman" w:hAnsi="Times New Roman" w:eastAsia="华文宋体"/>
        </w:rPr>
        <w:t>（一）我国外债监管政策的演变逻辑</w:t>
      </w:r>
    </w:p>
    <w:p w14:paraId="68B468DF">
      <w:pPr>
        <w:pStyle w:val="23"/>
        <w:rPr>
          <w:rFonts w:ascii="Times New Roman" w:hAnsi="Times New Roman" w:eastAsia="华文宋体"/>
        </w:rPr>
      </w:pPr>
      <w:r>
        <w:rPr>
          <w:rFonts w:hint="eastAsia" w:ascii="Times New Roman" w:hAnsi="Times New Roman" w:eastAsia="华文宋体"/>
        </w:rPr>
        <w:t>中资企业境外债券融资的风险并不只是企业个体问题，还与宏观审慎管理、外汇管理和资本项目开放节奏密切相关。回顾我国外债监管制度的演变，大体可以概括为“总量控制导向—便利化改革导向—穿透式监管导向—分层支持与风险防控并重导向”四个阶段。</w:t>
      </w:r>
    </w:p>
    <w:p w14:paraId="735040A3">
      <w:pPr>
        <w:pStyle w:val="3"/>
        <w:rPr>
          <w:rFonts w:ascii="Times New Roman" w:hAnsi="Times New Roman" w:eastAsia="华文宋体"/>
        </w:rPr>
      </w:pPr>
      <w:r>
        <w:rPr>
          <w:rFonts w:hint="eastAsia" w:ascii="Times New Roman" w:hAnsi="Times New Roman" w:eastAsia="华文宋体"/>
        </w:rPr>
        <w:t>在早期阶段，外债管理更多以审批和总量控制为核心，强调对外债规模、币种和用途的事前约束。这一制度安排符合当时我国资本项目开放程度较低、外汇资源相对稀缺、跨境融资主体较少的现实条件。其优点是有利于从宏观上控制外债增长速度，缺点则是灵活性不足，难以适应企业国际化经营和多元化融资需求。</w:t>
      </w:r>
    </w:p>
    <w:p w14:paraId="5DC5BBCD">
      <w:pPr>
        <w:pStyle w:val="3"/>
        <w:rPr>
          <w:rFonts w:ascii="Times New Roman" w:hAnsi="Times New Roman" w:eastAsia="华文宋体"/>
        </w:rPr>
      </w:pPr>
      <w:r>
        <w:rPr>
          <w:rFonts w:hint="eastAsia" w:ascii="Times New Roman" w:hAnsi="Times New Roman" w:eastAsia="华文宋体"/>
        </w:rPr>
        <w:t>2015年发布的发改外资〔2015〕2044号文标志着企业中长期外债管理改革的重要拐点。该文件将企业借用中长期外债由审批制转为备案登记制，强调简政放权、提高融资便利度和制度透明度。此举与当时我国推动供给侧结构性改革、支持企业“走出去”和提升资源配置效率的宏观导向相一致，也直接推动了中资企业境外发债市场快速扩容。</w:t>
      </w:r>
    </w:p>
    <w:p w14:paraId="5B91A226">
      <w:pPr>
        <w:pStyle w:val="3"/>
        <w:rPr>
          <w:rFonts w:ascii="Times New Roman" w:hAnsi="Times New Roman" w:eastAsia="华文宋体"/>
        </w:rPr>
      </w:pPr>
      <w:r>
        <w:rPr>
          <w:rFonts w:hint="eastAsia" w:ascii="Times New Roman" w:hAnsi="Times New Roman" w:eastAsia="华文宋体"/>
        </w:rPr>
        <w:t>2016年起，人民银行将全口径跨境融资宏观审慎管理框架逐步推广至全国，形成了以宏观审慎参数为基础、兼顾本外币和境内外融资的统一管理模式。该框架不再简单区分外债和内债，而是从企业整体杠杆、资本水平和宏观金融稳定角度对跨境融资进行统一测算。这一制度创新的重要意义在于，它把企业外债行为从单一行政审批逻辑转向宏观审慎逻辑，既保留了市场化融资空间，也建立了逆周期调节的政策工具箱。</w:t>
      </w:r>
    </w:p>
    <w:p w14:paraId="06193290">
      <w:pPr>
        <w:pStyle w:val="3"/>
        <w:rPr>
          <w:rFonts w:ascii="Times New Roman" w:hAnsi="Times New Roman" w:eastAsia="华文宋体"/>
        </w:rPr>
      </w:pPr>
      <w:r>
        <w:rPr>
          <w:rFonts w:hint="eastAsia" w:ascii="Times New Roman" w:hAnsi="Times New Roman" w:eastAsia="华文宋体"/>
        </w:rPr>
        <w:t>2020年疫情冲击后，人民银行和国家外汇管理局阶段性提高跨境融资宏观审慎调节参数至1.25，支持企业复工复产和合理利用外资。这说明我国外债监管并非单向收紧，而是会根据经济周期和稳增长需要进行逆周期调节。</w:t>
      </w:r>
    </w:p>
    <w:p w14:paraId="48FD1001">
      <w:pPr>
        <w:pStyle w:val="3"/>
        <w:rPr>
          <w:rFonts w:ascii="Times New Roman" w:hAnsi="Times New Roman" w:eastAsia="华文宋体"/>
        </w:rPr>
      </w:pPr>
      <w:r>
        <w:rPr>
          <w:rFonts w:hint="eastAsia" w:ascii="Times New Roman" w:hAnsi="Times New Roman" w:eastAsia="华文宋体"/>
        </w:rPr>
        <w:t>进入2023年后，《企业中长期外债审核登记管理办法》正式施行，监管重点进一步从“是否允许发”转向“如何规范发、如何合规用、如何安全还”。该办法对募集资金用途、借新还旧、偿债风险控制、重大事项报送和信息披露提出了更明确要求。2024年，国家发展改革委又出台支持优质企业借用中长期外债促进实体经济高质量发展的通知，对部分优质企业给予审核便利，但同时继续强调真实性、合规性和风险可控性。可以看出，当前监管逻辑已不是单纯鼓励或限制，而是更强调“分类支持、穿透监管和底线防控”。</w:t>
      </w:r>
    </w:p>
    <w:bookmarkEnd w:id="86"/>
    <w:p w14:paraId="658057F3">
      <w:pPr>
        <w:pStyle w:val="5"/>
        <w:rPr>
          <w:rFonts w:ascii="Times New Roman" w:hAnsi="Times New Roman" w:eastAsia="华文宋体"/>
        </w:rPr>
      </w:pPr>
      <w:bookmarkStart w:id="87" w:name="二外债风险向系统性风险传导的机制"/>
      <w:r>
        <w:rPr>
          <w:rFonts w:hint="eastAsia" w:ascii="Times New Roman" w:hAnsi="Times New Roman" w:eastAsia="华文宋体"/>
        </w:rPr>
        <w:t>（二）外债风险向系统性风险传导的机制</w:t>
      </w:r>
    </w:p>
    <w:p w14:paraId="633E4AA6">
      <w:pPr>
        <w:pStyle w:val="23"/>
        <w:rPr>
          <w:rFonts w:ascii="Times New Roman" w:hAnsi="Times New Roman" w:eastAsia="华文宋体"/>
        </w:rPr>
      </w:pPr>
      <w:r>
        <w:rPr>
          <w:rFonts w:hint="eastAsia" w:ascii="Times New Roman" w:hAnsi="Times New Roman" w:eastAsia="华文宋体"/>
        </w:rPr>
        <w:t>企业境外债风险之所以值得监管部门高度关注，不仅因为它关系到个体发行人的偿债能力，更因为其可能通过多重渠道向国内金融体系、地方财政体系和实体经济体系传导。</w:t>
      </w:r>
    </w:p>
    <w:p w14:paraId="5284CA6C">
      <w:pPr>
        <w:pStyle w:val="6"/>
        <w:rPr>
          <w:rFonts w:ascii="Times New Roman" w:hAnsi="Times New Roman" w:eastAsia="华文宋体"/>
        </w:rPr>
      </w:pPr>
      <w:bookmarkStart w:id="88" w:name="利率与汇率双重冲击的资产负债表效应"/>
      <w:r>
        <w:rPr>
          <w:rFonts w:ascii="Times New Roman" w:hAnsi="Times New Roman" w:eastAsia="华文宋体"/>
        </w:rPr>
        <w:t xml:space="preserve">1. </w:t>
      </w:r>
      <w:r>
        <w:rPr>
          <w:rFonts w:hint="eastAsia" w:ascii="Times New Roman" w:hAnsi="Times New Roman" w:eastAsia="华文宋体"/>
        </w:rPr>
        <w:t>利率与汇率双重冲击的资产负债表效应</w:t>
      </w:r>
    </w:p>
    <w:p w14:paraId="5CFA7F69">
      <w:pPr>
        <w:pStyle w:val="23"/>
        <w:rPr>
          <w:rFonts w:ascii="Times New Roman" w:hAnsi="Times New Roman" w:eastAsia="华文宋体"/>
        </w:rPr>
      </w:pPr>
      <w:r>
        <w:rPr>
          <w:rFonts w:hint="eastAsia" w:ascii="Times New Roman" w:hAnsi="Times New Roman" w:eastAsia="华文宋体"/>
        </w:rPr>
        <w:t>美联储加息首先通过无风险利率渠道抬升企业境外融资成本，同时通过美元升值渠道提高本币口径偿债负担。若企业缺乏外币收入匹配，则其财务费用、资产负债率和汇兑损益都可能恶化。对于单个企业而言，这表现为偿债能力下降；对一类主体集中暴露而言，则可能引发整个行业的资产负债表收缩，进一步导致投资下降、项目停滞和信用利差普遍上升。</w:t>
      </w:r>
    </w:p>
    <w:p w14:paraId="0C356DEB">
      <w:pPr>
        <w:pStyle w:val="3"/>
        <w:rPr>
          <w:rFonts w:ascii="Times New Roman" w:hAnsi="Times New Roman" w:eastAsia="华文宋体"/>
        </w:rPr>
      </w:pPr>
      <w:r>
        <w:rPr>
          <w:rFonts w:hint="eastAsia" w:ascii="Times New Roman" w:hAnsi="Times New Roman" w:eastAsia="华文宋体"/>
        </w:rPr>
        <w:t>在房地产和高杠杆平台类企业中，这种效应尤为明显。因为这些企业本币资产和本币回款占主导，美元债主要依赖再融资维持。一旦再融资失败，企业不仅要面对存量外债兑付压力，还可能被迫出售资产、压缩开支、拖延付款，进而对上下游供应链和银行体系产生连锁冲击。</w:t>
      </w:r>
    </w:p>
    <w:bookmarkEnd w:id="88"/>
    <w:p w14:paraId="4CEA703E">
      <w:pPr>
        <w:pStyle w:val="6"/>
        <w:rPr>
          <w:rFonts w:ascii="Times New Roman" w:hAnsi="Times New Roman" w:eastAsia="华文宋体"/>
        </w:rPr>
      </w:pPr>
      <w:bookmarkStart w:id="89" w:name="再融资渠道收缩的流动性传染效应"/>
      <w:r>
        <w:rPr>
          <w:rFonts w:ascii="Times New Roman" w:hAnsi="Times New Roman" w:eastAsia="华文宋体"/>
        </w:rPr>
        <w:t xml:space="preserve">2. </w:t>
      </w:r>
      <w:r>
        <w:rPr>
          <w:rFonts w:hint="eastAsia" w:ascii="Times New Roman" w:hAnsi="Times New Roman" w:eastAsia="华文宋体"/>
        </w:rPr>
        <w:t>再融资渠道收缩的流动性传染效应</w:t>
      </w:r>
    </w:p>
    <w:p w14:paraId="436636C5">
      <w:pPr>
        <w:pStyle w:val="23"/>
        <w:rPr>
          <w:rFonts w:ascii="Times New Roman" w:hAnsi="Times New Roman" w:eastAsia="华文宋体"/>
        </w:rPr>
      </w:pPr>
      <w:r>
        <w:rPr>
          <w:rFonts w:hint="eastAsia" w:ascii="Times New Roman" w:hAnsi="Times New Roman" w:eastAsia="华文宋体"/>
        </w:rPr>
        <w:t>境外债风险很少以单笔债券突然违约的形式孤立出现，更常见的情形是：市场情绪恶化导致一批企业同时失去再融资能力，进而从流动性问题演变为信用问题。当国际投资者对某一行业、某一区域或某一类主体整体失去信心时，即便个别企业基本面尚可，也可能受到板块性拖累。这种“同类主体共同受损”的现象，是境外债风险系统化的重要机制。</w:t>
      </w:r>
    </w:p>
    <w:p w14:paraId="0CB114B8">
      <w:pPr>
        <w:pStyle w:val="3"/>
        <w:rPr>
          <w:rFonts w:ascii="Times New Roman" w:hAnsi="Times New Roman" w:eastAsia="华文宋体"/>
        </w:rPr>
      </w:pPr>
      <w:r>
        <w:rPr>
          <w:rFonts w:hint="eastAsia" w:ascii="Times New Roman" w:hAnsi="Times New Roman" w:eastAsia="华文宋体"/>
        </w:rPr>
        <w:t>例如，房地产行业美元债违约潮并非所有房企都立即资不抵债，而是由于行业融资环境整体恶化、销售预期下降和再融资渠道关闭，导致企业在短期内无法滚续存量债务。对地方国企而言，如果未来某一区域平台企业或城投主体在境外市场出现集中风险，市场也可能将同区域主体视为一个信用板块统一定价，从而抬升优质主体的融资成本。</w:t>
      </w:r>
    </w:p>
    <w:bookmarkEnd w:id="89"/>
    <w:p w14:paraId="304FECF5">
      <w:pPr>
        <w:pStyle w:val="6"/>
        <w:rPr>
          <w:rFonts w:ascii="Times New Roman" w:hAnsi="Times New Roman" w:eastAsia="华文宋体"/>
        </w:rPr>
      </w:pPr>
      <w:bookmarkStart w:id="90" w:name="境内外市场联动的信用传导效应"/>
      <w:r>
        <w:rPr>
          <w:rFonts w:ascii="Times New Roman" w:hAnsi="Times New Roman" w:eastAsia="华文宋体"/>
        </w:rPr>
        <w:t xml:space="preserve">3. </w:t>
      </w:r>
      <w:r>
        <w:rPr>
          <w:rFonts w:hint="eastAsia" w:ascii="Times New Roman" w:hAnsi="Times New Roman" w:eastAsia="华文宋体"/>
        </w:rPr>
        <w:t>境内外市场联动的信用传导效应</w:t>
      </w:r>
    </w:p>
    <w:p w14:paraId="0CAB49F6">
      <w:pPr>
        <w:pStyle w:val="23"/>
        <w:rPr>
          <w:rFonts w:ascii="Times New Roman" w:hAnsi="Times New Roman" w:eastAsia="华文宋体"/>
        </w:rPr>
      </w:pPr>
      <w:r>
        <w:rPr>
          <w:rFonts w:hint="eastAsia" w:ascii="Times New Roman" w:hAnsi="Times New Roman" w:eastAsia="华文宋体"/>
        </w:rPr>
        <w:t>企业境外债风险并不会局限于境外市场。随着境内外投资者信息互通增强、评级机构和中介机构覆盖面扩展、企业融资渠道多元化，境外债价格波动很容易反向影响境内债市场和银行授信。国际债券价格下跌、收益率大幅上升，可能被境内市场解读为信用恶化信号，从而推高企业境内融资成本，甚至影响授信续作和担保安排。</w:t>
      </w:r>
    </w:p>
    <w:p w14:paraId="50F7BB92">
      <w:pPr>
        <w:pStyle w:val="3"/>
        <w:rPr>
          <w:rFonts w:ascii="Times New Roman" w:hAnsi="Times New Roman" w:eastAsia="华文宋体"/>
        </w:rPr>
      </w:pPr>
      <w:r>
        <w:rPr>
          <w:rFonts w:hint="eastAsia" w:ascii="Times New Roman" w:hAnsi="Times New Roman" w:eastAsia="华文宋体"/>
        </w:rPr>
        <w:t>对于拥有大规模境内债和银行借款的企业，境外债虽然在总债务中占比可能并不高，但其市场价格更透明、波动更快，因此常常成为信用预警的领先指标。监管部门如果忽视境外债价格和再融资情况，就可能在境内风险已经蔓延后才被动处置。</w:t>
      </w:r>
    </w:p>
    <w:bookmarkEnd w:id="90"/>
    <w:p w14:paraId="1876696D">
      <w:pPr>
        <w:pStyle w:val="6"/>
        <w:rPr>
          <w:rFonts w:ascii="Times New Roman" w:hAnsi="Times New Roman" w:eastAsia="华文宋体"/>
        </w:rPr>
      </w:pPr>
      <w:bookmarkStart w:id="91" w:name="区域财政与地方政府信用预期效应"/>
      <w:r>
        <w:rPr>
          <w:rFonts w:ascii="Times New Roman" w:hAnsi="Times New Roman" w:eastAsia="华文宋体"/>
        </w:rPr>
        <w:t xml:space="preserve">4. </w:t>
      </w:r>
      <w:r>
        <w:rPr>
          <w:rFonts w:hint="eastAsia" w:ascii="Times New Roman" w:hAnsi="Times New Roman" w:eastAsia="华文宋体"/>
        </w:rPr>
        <w:t>区域财政与地方政府信用预期效应</w:t>
      </w:r>
    </w:p>
    <w:p w14:paraId="06E39B67">
      <w:pPr>
        <w:pStyle w:val="23"/>
        <w:rPr>
          <w:rFonts w:ascii="Times New Roman" w:hAnsi="Times New Roman" w:eastAsia="华文宋体"/>
        </w:rPr>
      </w:pPr>
      <w:r>
        <w:rPr>
          <w:rFonts w:hint="eastAsia" w:ascii="Times New Roman" w:hAnsi="Times New Roman" w:eastAsia="华文宋体"/>
        </w:rPr>
        <w:t>地方国企和城投主体境外发债还涉及地方财政和政府信用预期问题。国际投资者往往会将地方国企信用与地方经济实力、财政能力、政府支持意愿联系起来。一旦地方国企境外债出现风险，市场容易进一步追问地方财政的承受能力、区域隐性债务问题和国资体系整体信用，进而在更广范围内引发区域信用重估。</w:t>
      </w:r>
    </w:p>
    <w:p w14:paraId="41B47E4F">
      <w:pPr>
        <w:pStyle w:val="3"/>
        <w:rPr>
          <w:rFonts w:ascii="Times New Roman" w:hAnsi="Times New Roman" w:eastAsia="华文宋体"/>
        </w:rPr>
      </w:pPr>
      <w:r>
        <w:rPr>
          <w:rFonts w:hint="eastAsia" w:ascii="Times New Roman" w:hAnsi="Times New Roman" w:eastAsia="华文宋体"/>
        </w:rPr>
        <w:t>这种效应并不意味着地方政府必须为所有企业债务负责，而是说明地方国企境外债已具有一定公共性。正因如此，监管部门需要更加重视地方国企外债的用途、规模、期限结构与风险隔离，防止企业风险演化为区域金融和财政风险。</w:t>
      </w:r>
    </w:p>
    <w:bookmarkEnd w:id="87"/>
    <w:bookmarkEnd w:id="91"/>
    <w:p w14:paraId="71F82596">
      <w:pPr>
        <w:pStyle w:val="5"/>
        <w:rPr>
          <w:rFonts w:ascii="Times New Roman" w:hAnsi="Times New Roman" w:eastAsia="华文宋体"/>
        </w:rPr>
      </w:pPr>
      <w:bookmarkStart w:id="92" w:name="三当前我国外债监管面临的主要难点"/>
      <w:r>
        <w:rPr>
          <w:rFonts w:hint="eastAsia" w:ascii="Times New Roman" w:hAnsi="Times New Roman" w:eastAsia="华文宋体"/>
        </w:rPr>
        <w:t>（三）当前我国外债监管面临的主要难点</w:t>
      </w:r>
    </w:p>
    <w:p w14:paraId="11A92287">
      <w:pPr>
        <w:pStyle w:val="6"/>
        <w:rPr>
          <w:rFonts w:ascii="Times New Roman" w:hAnsi="Times New Roman" w:eastAsia="华文宋体"/>
        </w:rPr>
      </w:pPr>
      <w:bookmarkStart w:id="93" w:name="宏观稳增长目标与微观防风险目标的平衡难题"/>
      <w:r>
        <w:rPr>
          <w:rFonts w:ascii="Times New Roman" w:hAnsi="Times New Roman" w:eastAsia="华文宋体"/>
        </w:rPr>
        <w:t xml:space="preserve">1. </w:t>
      </w:r>
      <w:r>
        <w:rPr>
          <w:rFonts w:hint="eastAsia" w:ascii="Times New Roman" w:hAnsi="Times New Roman" w:eastAsia="华文宋体"/>
        </w:rPr>
        <w:t>宏观稳增长目标与微观防风险目标的平衡难题</w:t>
      </w:r>
    </w:p>
    <w:p w14:paraId="53AA5B43">
      <w:pPr>
        <w:pStyle w:val="23"/>
        <w:rPr>
          <w:rFonts w:ascii="Times New Roman" w:hAnsi="Times New Roman" w:eastAsia="华文宋体"/>
        </w:rPr>
      </w:pPr>
      <w:r>
        <w:rPr>
          <w:rFonts w:hint="eastAsia" w:ascii="Times New Roman" w:hAnsi="Times New Roman" w:eastAsia="华文宋体"/>
        </w:rPr>
        <w:t>在经济下行压力较大、企业融资需求旺盛的时期，监管部门往往需要在“支持企业合理利用外资”和“防止企业过度举借外债”之间进行平衡。过度收紧可能压缩优质企业的融资空间，不利于实体经济发展；过度放松则可能刺激部分主体在低利率环境下盲目加杠杆，为后续风险埋下隐患。由于不同阶段宏观目标不同，外债监管天然带有逆周期调节色彩，这要求监管部门具备较强的动态识别能力。</w:t>
      </w:r>
    </w:p>
    <w:bookmarkEnd w:id="93"/>
    <w:p w14:paraId="516EE37F">
      <w:pPr>
        <w:pStyle w:val="6"/>
        <w:rPr>
          <w:rFonts w:ascii="Times New Roman" w:hAnsi="Times New Roman" w:eastAsia="华文宋体"/>
        </w:rPr>
      </w:pPr>
      <w:bookmarkStart w:id="94" w:name="信息穿透不足与数据协同不够"/>
      <w:r>
        <w:rPr>
          <w:rFonts w:ascii="Times New Roman" w:hAnsi="Times New Roman" w:eastAsia="华文宋体"/>
        </w:rPr>
        <w:t xml:space="preserve">2. </w:t>
      </w:r>
      <w:r>
        <w:rPr>
          <w:rFonts w:hint="eastAsia" w:ascii="Times New Roman" w:hAnsi="Times New Roman" w:eastAsia="华文宋体"/>
        </w:rPr>
        <w:t>信息穿透不足与数据协同不够</w:t>
      </w:r>
    </w:p>
    <w:p w14:paraId="4BEACB24">
      <w:pPr>
        <w:pStyle w:val="23"/>
        <w:rPr>
          <w:rFonts w:ascii="Times New Roman" w:hAnsi="Times New Roman" w:eastAsia="华文宋体"/>
        </w:rPr>
      </w:pPr>
      <w:r>
        <w:rPr>
          <w:rFonts w:hint="eastAsia" w:ascii="Times New Roman" w:hAnsi="Times New Roman" w:eastAsia="华文宋体"/>
        </w:rPr>
        <w:t>企业境外债涉及国家发展改革委审核登记、外汇收支和登记、人民银行宏观审慎测算、证监会和交易所信息披露、银行套保与授信、地方国资监管等多个环节。现实中，各部门虽然都掌握部分数据，但数据口径、更新频率和共享程度并不完全一致。尤其在募集资金回流、用途变更、借新还旧安排和套保覆盖率方面，往往缺乏统一、实时、可穿透的监管视图。</w:t>
      </w:r>
    </w:p>
    <w:p w14:paraId="20EB624C">
      <w:pPr>
        <w:pStyle w:val="3"/>
        <w:rPr>
          <w:rFonts w:ascii="Times New Roman" w:hAnsi="Times New Roman" w:eastAsia="华文宋体"/>
        </w:rPr>
      </w:pPr>
      <w:r>
        <w:rPr>
          <w:rFonts w:hint="eastAsia" w:ascii="Times New Roman" w:hAnsi="Times New Roman" w:eastAsia="华文宋体"/>
        </w:rPr>
        <w:t>对监管而言，最难识别的往往不是“是否发行”，而是“发完以后资金真正去了哪里、未来拿什么还、风险是否已被对冲”。如果这些问题无法形成数据联通和持续监测，监管就容易停留在事前审核，难以及时发现存续期风险。</w:t>
      </w:r>
    </w:p>
    <w:bookmarkEnd w:id="94"/>
    <w:p w14:paraId="1C6C02FE">
      <w:pPr>
        <w:pStyle w:val="6"/>
        <w:rPr>
          <w:rFonts w:ascii="Times New Roman" w:hAnsi="Times New Roman" w:eastAsia="华文宋体"/>
        </w:rPr>
      </w:pPr>
      <w:bookmarkStart w:id="95" w:name="行业分层和主体分层识别不足"/>
      <w:r>
        <w:rPr>
          <w:rFonts w:ascii="Times New Roman" w:hAnsi="Times New Roman" w:eastAsia="华文宋体"/>
        </w:rPr>
        <w:t xml:space="preserve">3. </w:t>
      </w:r>
      <w:r>
        <w:rPr>
          <w:rFonts w:hint="eastAsia" w:ascii="Times New Roman" w:hAnsi="Times New Roman" w:eastAsia="华文宋体"/>
        </w:rPr>
        <w:t>行业分层和主体分层识别不足</w:t>
      </w:r>
    </w:p>
    <w:p w14:paraId="5D827740">
      <w:pPr>
        <w:pStyle w:val="23"/>
        <w:rPr>
          <w:rFonts w:ascii="Times New Roman" w:hAnsi="Times New Roman" w:eastAsia="华文宋体"/>
        </w:rPr>
      </w:pPr>
      <w:r>
        <w:rPr>
          <w:rFonts w:hint="eastAsia" w:ascii="Times New Roman" w:hAnsi="Times New Roman" w:eastAsia="华文宋体"/>
        </w:rPr>
        <w:t>中资企业境外债市场已高度分层，但监管和市场有时仍倾向于以统一口径看待所有外债主体。事实上，拥有稳定外币收入、治理完善和产业基础扎实的制造业龙头，与依赖土地财政逻辑、缺乏外币经营现金流的平台企业，在外债风险性质上完全不同。若监管口径过于粗放，不仅会错杀优质主体，也可能让高风险主体借助模糊边界继续扩张。</w:t>
      </w:r>
    </w:p>
    <w:p w14:paraId="2EB3DEF4">
      <w:pPr>
        <w:pStyle w:val="3"/>
        <w:rPr>
          <w:rFonts w:ascii="Times New Roman" w:hAnsi="Times New Roman" w:eastAsia="华文宋体"/>
        </w:rPr>
      </w:pPr>
      <w:r>
        <w:rPr>
          <w:rFonts w:hint="eastAsia" w:ascii="Times New Roman" w:hAnsi="Times New Roman" w:eastAsia="华文宋体"/>
        </w:rPr>
        <w:t>因此，监管部门需要在行业、地区、所有制、用途和现金流结构等维度上形成分层识别框架，而不是仅根据是否为国企、是否有评级来判断风险高低。</w:t>
      </w:r>
    </w:p>
    <w:bookmarkEnd w:id="95"/>
    <w:p w14:paraId="14E40BA3">
      <w:pPr>
        <w:pStyle w:val="6"/>
        <w:rPr>
          <w:rFonts w:ascii="Times New Roman" w:hAnsi="Times New Roman" w:eastAsia="华文宋体"/>
        </w:rPr>
      </w:pPr>
      <w:bookmarkStart w:id="96" w:name="市场化处置与隐性担保预期的协调难题"/>
      <w:r>
        <w:rPr>
          <w:rFonts w:ascii="Times New Roman" w:hAnsi="Times New Roman" w:eastAsia="华文宋体"/>
        </w:rPr>
        <w:t xml:space="preserve">4. </w:t>
      </w:r>
      <w:r>
        <w:rPr>
          <w:rFonts w:hint="eastAsia" w:ascii="Times New Roman" w:hAnsi="Times New Roman" w:eastAsia="华文宋体"/>
        </w:rPr>
        <w:t>市场化处置与隐性担保预期的协调难题</w:t>
      </w:r>
    </w:p>
    <w:p w14:paraId="75D73158">
      <w:pPr>
        <w:pStyle w:val="23"/>
        <w:rPr>
          <w:rFonts w:ascii="Times New Roman" w:hAnsi="Times New Roman" w:eastAsia="华文宋体"/>
        </w:rPr>
      </w:pPr>
      <w:r>
        <w:rPr>
          <w:rFonts w:hint="eastAsia" w:ascii="Times New Roman" w:hAnsi="Times New Roman" w:eastAsia="华文宋体"/>
        </w:rPr>
        <w:t>近年来，监管层持续强调打破刚性兑付和隐性担保，推动债券市场风险市场化出清。但对于地方国企和城投主体，市场仍普遍存在不同程度的政府支持预期。若风险事件发生，完全市场化处置可能引发过度恐慌；若一味提供支持，又可能强化道德风险。这种两难在境外债领域更加突出，因为国际投资者对政府支持的法律边界和实际执行路径并不总是清楚，容易在风险事件中作出过度反应。</w:t>
      </w:r>
    </w:p>
    <w:bookmarkEnd w:id="92"/>
    <w:bookmarkEnd w:id="96"/>
    <w:p w14:paraId="523D9EE3">
      <w:pPr>
        <w:pStyle w:val="5"/>
        <w:rPr>
          <w:rFonts w:ascii="Times New Roman" w:hAnsi="Times New Roman" w:eastAsia="华文宋体"/>
        </w:rPr>
      </w:pPr>
      <w:bookmarkStart w:id="97" w:name="四监管层面的政策建议"/>
      <w:r>
        <w:rPr>
          <w:rFonts w:hint="eastAsia" w:ascii="Times New Roman" w:hAnsi="Times New Roman" w:eastAsia="华文宋体"/>
        </w:rPr>
        <w:t>（四）监管层面的政策建议</w:t>
      </w:r>
    </w:p>
    <w:p w14:paraId="0BEB6AF5">
      <w:pPr>
        <w:pStyle w:val="6"/>
        <w:rPr>
          <w:rFonts w:ascii="Times New Roman" w:hAnsi="Times New Roman" w:eastAsia="华文宋体"/>
        </w:rPr>
      </w:pPr>
      <w:bookmarkStart w:id="98" w:name="完善宏观审慎框架下的分类管理机制"/>
      <w:r>
        <w:rPr>
          <w:rFonts w:ascii="Times New Roman" w:hAnsi="Times New Roman" w:eastAsia="华文宋体"/>
        </w:rPr>
        <w:t xml:space="preserve">1. </w:t>
      </w:r>
      <w:r>
        <w:rPr>
          <w:rFonts w:hint="eastAsia" w:ascii="Times New Roman" w:hAnsi="Times New Roman" w:eastAsia="华文宋体"/>
        </w:rPr>
        <w:t>完善宏观审慎框架下的分类管理机制</w:t>
      </w:r>
    </w:p>
    <w:p w14:paraId="37EFABC9">
      <w:pPr>
        <w:pStyle w:val="23"/>
        <w:rPr>
          <w:rFonts w:ascii="Times New Roman" w:hAnsi="Times New Roman" w:eastAsia="华文宋体"/>
        </w:rPr>
      </w:pPr>
      <w:r>
        <w:rPr>
          <w:rFonts w:hint="eastAsia" w:ascii="Times New Roman" w:hAnsi="Times New Roman" w:eastAsia="华文宋体"/>
        </w:rPr>
        <w:t>未来我国外债监管应继续坚持宏观审慎管理框架，但在执行层面要更加注重分类管理。可将企业按照外币收入覆盖能力、境内外融资结构、行业特征、到期集中度和套保覆盖率等指标进行分层，对高外币负债、低自然对冲、短期外债占比高的主体实施更严格监测，对优质制造业、真正有跨境经营需求和现金流支撑的企业给予更稳定的制度预期。</w:t>
      </w:r>
    </w:p>
    <w:p w14:paraId="7935E2C5">
      <w:pPr>
        <w:pStyle w:val="3"/>
        <w:rPr>
          <w:rFonts w:ascii="Times New Roman" w:hAnsi="Times New Roman" w:eastAsia="华文宋体"/>
        </w:rPr>
      </w:pPr>
      <w:r>
        <w:rPr>
          <w:rFonts w:hint="eastAsia" w:ascii="Times New Roman" w:hAnsi="Times New Roman" w:eastAsia="华文宋体"/>
        </w:rPr>
        <w:t>这种分类管理既有助于提高监管精度，也能减少“一刀切”带来的资源错配。对九龙江集团这样的产业型地方国企而言，若其外债用途清晰、信息披露充分、风险管理完善，则应鼓励其在可控范围内合理利用境外市场；但若某些主体纯粹出于低成本套利动机扩大美元债规模，则应适当提高监管门槛。</w:t>
      </w:r>
    </w:p>
    <w:bookmarkEnd w:id="98"/>
    <w:p w14:paraId="6F160D3D">
      <w:pPr>
        <w:pStyle w:val="6"/>
        <w:rPr>
          <w:rFonts w:ascii="Times New Roman" w:hAnsi="Times New Roman" w:eastAsia="华文宋体"/>
        </w:rPr>
      </w:pPr>
      <w:bookmarkStart w:id="99" w:name="将对冲覆盖率和外币现金流匹配度纳入监管重点"/>
      <w:r>
        <w:rPr>
          <w:rFonts w:ascii="Times New Roman" w:hAnsi="Times New Roman" w:eastAsia="华文宋体"/>
        </w:rPr>
        <w:t xml:space="preserve">2. </w:t>
      </w:r>
      <w:r>
        <w:rPr>
          <w:rFonts w:hint="eastAsia" w:ascii="Times New Roman" w:hAnsi="Times New Roman" w:eastAsia="华文宋体"/>
        </w:rPr>
        <w:t>将对冲覆盖率和外币现金流匹配度纳入监管重点</w:t>
      </w:r>
    </w:p>
    <w:p w14:paraId="1A9A0DE0">
      <w:pPr>
        <w:pStyle w:val="23"/>
        <w:rPr>
          <w:rFonts w:ascii="Times New Roman" w:hAnsi="Times New Roman" w:eastAsia="华文宋体"/>
        </w:rPr>
      </w:pPr>
      <w:r>
        <w:rPr>
          <w:rFonts w:hint="eastAsia" w:ascii="Times New Roman" w:hAnsi="Times New Roman" w:eastAsia="华文宋体"/>
        </w:rPr>
        <w:t>目前外债监管对规模、用途和审核程序关注较多，但对企业实际汇率风险暴露的硬约束仍有提升空间。建议监管部门在重点行业和重点主体中推动披露外币债务净敞口、外币收入覆盖倍数、套保覆盖率和到期期限分布等指标，并将其纳入风险预警体系。对于缺乏外币收入、却大规模持有美元债且未实施有效套保的主体，应给予更高预警权重。</w:t>
      </w:r>
    </w:p>
    <w:p w14:paraId="00DE18DF">
      <w:pPr>
        <w:pStyle w:val="3"/>
        <w:rPr>
          <w:rFonts w:ascii="Times New Roman" w:hAnsi="Times New Roman" w:eastAsia="华文宋体"/>
        </w:rPr>
      </w:pPr>
      <w:r>
        <w:rPr>
          <w:rFonts w:hint="eastAsia" w:ascii="Times New Roman" w:hAnsi="Times New Roman" w:eastAsia="华文宋体"/>
        </w:rPr>
        <w:t>这一建议的核心并非要求所有企业都实现百分之百对冲，而是强化风险中性原则，让企业在举借外币债务前就清楚识别“拿什么还、汇率怎么管、窗口关闭时怎么办”。</w:t>
      </w:r>
    </w:p>
    <w:bookmarkEnd w:id="99"/>
    <w:p w14:paraId="3DB58A28">
      <w:pPr>
        <w:pStyle w:val="6"/>
        <w:rPr>
          <w:rFonts w:ascii="Times New Roman" w:hAnsi="Times New Roman" w:eastAsia="华文宋体"/>
        </w:rPr>
      </w:pPr>
      <w:bookmarkStart w:id="100" w:name="建立行业和区域外债到期高峰监测机制"/>
      <w:r>
        <w:rPr>
          <w:rFonts w:ascii="Times New Roman" w:hAnsi="Times New Roman" w:eastAsia="华文宋体"/>
        </w:rPr>
        <w:t xml:space="preserve">3. </w:t>
      </w:r>
      <w:r>
        <w:rPr>
          <w:rFonts w:hint="eastAsia" w:ascii="Times New Roman" w:hAnsi="Times New Roman" w:eastAsia="华文宋体"/>
        </w:rPr>
        <w:t>建立行业和区域外债到期高峰监测机制</w:t>
      </w:r>
    </w:p>
    <w:p w14:paraId="72FED8F9">
      <w:pPr>
        <w:pStyle w:val="23"/>
        <w:rPr>
          <w:rFonts w:ascii="Times New Roman" w:hAnsi="Times New Roman" w:eastAsia="华文宋体"/>
        </w:rPr>
      </w:pPr>
      <w:r>
        <w:rPr>
          <w:rFonts w:hint="eastAsia" w:ascii="Times New Roman" w:hAnsi="Times New Roman" w:eastAsia="华文宋体"/>
        </w:rPr>
        <w:t>外债风险往往在到期集中阶段显性化。监管部门应按行业和区域建立未来三年至少逐季滚动更新的外债到期图谱，重点关注房地产、地方国企、城投平台、跨境投资平台等领域的到期高峰。当发现某一行业或区域未来一年存在较大规模境外债集中到期时，应提前开展压力测试，评估其在不同汇率、利率和市场融资情景下的兑付能力。</w:t>
      </w:r>
    </w:p>
    <w:p w14:paraId="5EB7CEE9">
      <w:pPr>
        <w:pStyle w:val="3"/>
        <w:rPr>
          <w:rFonts w:ascii="Times New Roman" w:hAnsi="Times New Roman" w:eastAsia="华文宋体"/>
        </w:rPr>
      </w:pPr>
      <w:r>
        <w:rPr>
          <w:rFonts w:hint="eastAsia" w:ascii="Times New Roman" w:hAnsi="Times New Roman" w:eastAsia="华文宋体"/>
        </w:rPr>
        <w:t>这种前瞻性监测有助于避免在风险已经暴露后再被动处置。对于信用状况较好、短期流动性承压但有真实经营基础的主体，可以通过市场化方式引导提前置换或优化结构；对缺乏持续经营能力的主体，则应推动尽早重组，减少风险累积。</w:t>
      </w:r>
    </w:p>
    <w:bookmarkEnd w:id="100"/>
    <w:p w14:paraId="54084C4D">
      <w:pPr>
        <w:pStyle w:val="6"/>
        <w:rPr>
          <w:rFonts w:ascii="Times New Roman" w:hAnsi="Times New Roman" w:eastAsia="华文宋体"/>
        </w:rPr>
      </w:pPr>
      <w:bookmarkStart w:id="101" w:name="强化募集资金用途穿透监管与存续期监测"/>
      <w:r>
        <w:rPr>
          <w:rFonts w:ascii="Times New Roman" w:hAnsi="Times New Roman" w:eastAsia="华文宋体"/>
        </w:rPr>
        <w:t xml:space="preserve">4. </w:t>
      </w:r>
      <w:r>
        <w:rPr>
          <w:rFonts w:hint="eastAsia" w:ascii="Times New Roman" w:hAnsi="Times New Roman" w:eastAsia="华文宋体"/>
        </w:rPr>
        <w:t>强化募集资金用途穿透监管与存续期监测</w:t>
      </w:r>
    </w:p>
    <w:p w14:paraId="08D9ABCD">
      <w:pPr>
        <w:pStyle w:val="23"/>
        <w:rPr>
          <w:rFonts w:ascii="Times New Roman" w:hAnsi="Times New Roman" w:eastAsia="华文宋体"/>
        </w:rPr>
      </w:pPr>
      <w:r>
        <w:rPr>
          <w:rFonts w:hint="eastAsia" w:ascii="Times New Roman" w:hAnsi="Times New Roman" w:eastAsia="华文宋体"/>
        </w:rPr>
        <w:t>在制度设计上，审核登记只是起点，真正重要的是存续期监管。建议监管部门建立募集资金用途台账核验机制，对企业境外债资金流向、回流方式、最终使用主体和项目进度进行穿透式跟踪。尤其对借新还旧、项目投资、股东借款和跨境资本金注入等复杂路径，更应提高核验精度。</w:t>
      </w:r>
    </w:p>
    <w:p w14:paraId="361A6512">
      <w:pPr>
        <w:pStyle w:val="3"/>
        <w:rPr>
          <w:rFonts w:ascii="Times New Roman" w:hAnsi="Times New Roman" w:eastAsia="华文宋体"/>
        </w:rPr>
      </w:pPr>
      <w:r>
        <w:rPr>
          <w:rFonts w:hint="eastAsia" w:ascii="Times New Roman" w:hAnsi="Times New Roman" w:eastAsia="华文宋体"/>
        </w:rPr>
        <w:t>同时，可推动企业定期报告外债存续期的关键风险指标，如到期债务结构、主要偿债来源、重大诉讼、评级变化和套保执行情况。这样不仅有助于监管，也有助于提高市场透明度，减少谣言和信息不对称造成的波动。</w:t>
      </w:r>
    </w:p>
    <w:bookmarkEnd w:id="101"/>
    <w:p w14:paraId="1A2EF2B6">
      <w:pPr>
        <w:pStyle w:val="6"/>
        <w:rPr>
          <w:rFonts w:ascii="Times New Roman" w:hAnsi="Times New Roman" w:eastAsia="华文宋体"/>
        </w:rPr>
      </w:pPr>
      <w:bookmarkStart w:id="102" w:name="提升跨部门数据协同与风险处置协同能力"/>
      <w:r>
        <w:rPr>
          <w:rFonts w:ascii="Times New Roman" w:hAnsi="Times New Roman" w:eastAsia="华文宋体"/>
        </w:rPr>
        <w:t xml:space="preserve">5. </w:t>
      </w:r>
      <w:r>
        <w:rPr>
          <w:rFonts w:hint="eastAsia" w:ascii="Times New Roman" w:hAnsi="Times New Roman" w:eastAsia="华文宋体"/>
        </w:rPr>
        <w:t>提升跨部门数据协同与风险处置协同能力</w:t>
      </w:r>
    </w:p>
    <w:p w14:paraId="7AF726F1">
      <w:pPr>
        <w:pStyle w:val="23"/>
        <w:rPr>
          <w:rFonts w:ascii="Times New Roman" w:hAnsi="Times New Roman" w:eastAsia="华文宋体"/>
        </w:rPr>
      </w:pPr>
      <w:r>
        <w:rPr>
          <w:rFonts w:hint="eastAsia" w:ascii="Times New Roman" w:hAnsi="Times New Roman" w:eastAsia="华文宋体"/>
        </w:rPr>
        <w:t>企业境外债监管涉及国家发展改革委、人民银行、国家外汇管理局、证监会、地方金融监管部门、国资监管部门和商业银行等多个主体。建议在现有基础上进一步完善跨部门数据共享机制，建立重点主体外债信息库，打通审核登记、外汇收支、债券存续、套保信息和重大风险事项之间的数据接口。对于重点行业、重点地区和大型地方国企，应形成常态化的联合监测和会商机制。</w:t>
      </w:r>
    </w:p>
    <w:p w14:paraId="3C0E8A8D">
      <w:pPr>
        <w:pStyle w:val="3"/>
        <w:rPr>
          <w:rFonts w:ascii="Times New Roman" w:hAnsi="Times New Roman" w:eastAsia="华文宋体"/>
        </w:rPr>
      </w:pPr>
      <w:r>
        <w:rPr>
          <w:rFonts w:hint="eastAsia" w:ascii="Times New Roman" w:hAnsi="Times New Roman" w:eastAsia="华文宋体"/>
        </w:rPr>
        <w:t>一旦发现风险苗头，应根据企业性质和风险程度启动分层分类处置：对短期波动但基本面良好的主体，可通过市场化纾困、债务置换和沟通引导稳定预期；对经营恶化严重、缺乏偿债来源的主体，应推动依法依规重组或出清，防止风险无序扩散。</w:t>
      </w:r>
    </w:p>
    <w:bookmarkEnd w:id="102"/>
    <w:p w14:paraId="76BFDD23">
      <w:pPr>
        <w:pStyle w:val="6"/>
        <w:rPr>
          <w:rFonts w:ascii="Times New Roman" w:hAnsi="Times New Roman" w:eastAsia="华文宋体"/>
        </w:rPr>
      </w:pPr>
      <w:bookmarkStart w:id="103" w:name="引导企业建立国际化信息披露与投资者沟通机制"/>
      <w:r>
        <w:rPr>
          <w:rFonts w:ascii="Times New Roman" w:hAnsi="Times New Roman" w:eastAsia="华文宋体"/>
        </w:rPr>
        <w:t xml:space="preserve">6. </w:t>
      </w:r>
      <w:r>
        <w:rPr>
          <w:rFonts w:hint="eastAsia" w:ascii="Times New Roman" w:hAnsi="Times New Roman" w:eastAsia="华文宋体"/>
        </w:rPr>
        <w:t>引导企业建立国际化信息披露与投资者沟通机制</w:t>
      </w:r>
    </w:p>
    <w:p w14:paraId="18A5807F">
      <w:pPr>
        <w:pStyle w:val="23"/>
        <w:rPr>
          <w:rFonts w:ascii="Times New Roman" w:hAnsi="Times New Roman" w:eastAsia="华文宋体"/>
        </w:rPr>
      </w:pPr>
      <w:r>
        <w:rPr>
          <w:rFonts w:hint="eastAsia" w:ascii="Times New Roman" w:hAnsi="Times New Roman" w:eastAsia="华文宋体"/>
        </w:rPr>
        <w:t>监管不仅应关注风险约束，也应通过制度安排引导企业提升国际融资治理能力。可结合优质企业借用中长期外债便利政策，鼓励企业提高英文信息披露水平、完善ESG和可持续融资报告、建立常态化投资者沟通机制。这样既能降低企业的国际融资不确定性，也有助于改善整个中资发行人板块的国际形象。</w:t>
      </w:r>
    </w:p>
    <w:bookmarkEnd w:id="97"/>
    <w:bookmarkEnd w:id="103"/>
    <w:p w14:paraId="74662973">
      <w:pPr>
        <w:pStyle w:val="5"/>
        <w:rPr>
          <w:rFonts w:ascii="Times New Roman" w:hAnsi="Times New Roman" w:eastAsia="华文宋体"/>
        </w:rPr>
      </w:pPr>
      <w:bookmarkStart w:id="104" w:name="五九龙江集团案例的监管启示"/>
      <w:r>
        <w:rPr>
          <w:rFonts w:hint="eastAsia" w:ascii="Times New Roman" w:hAnsi="Times New Roman" w:eastAsia="华文宋体"/>
        </w:rPr>
        <w:t>（五）九龙江集团案例的监管启示</w:t>
      </w:r>
    </w:p>
    <w:p w14:paraId="1F138C4D">
      <w:pPr>
        <w:pStyle w:val="23"/>
        <w:rPr>
          <w:rFonts w:ascii="Times New Roman" w:hAnsi="Times New Roman" w:eastAsia="华文宋体"/>
        </w:rPr>
      </w:pPr>
      <w:r>
        <w:rPr>
          <w:rFonts w:hint="eastAsia" w:ascii="Times New Roman" w:hAnsi="Times New Roman" w:eastAsia="华文宋体"/>
        </w:rPr>
        <w:t>九龙江集团案例为监管提供了三点启示。第一，地方国企境外发债不应简单以所有制属性替代风险判断。即便是地方国企，也应重点审视其经营现金流、投资支出、债务结构和跨境资金用途。第二，优质地方国企若具备产业基础和国际信用建设能力，应得到稳定、透明的制度支持，因为这类主体能够在一定程度上改善中资发行人整体国际形象。第三，监管对地方国企境外债的关注重点，应从“能否发行”转向“是否真正用于支持高质量发展、是否形成过度货币错配、是否具备可持续再融资能力”。</w:t>
      </w:r>
    </w:p>
    <w:p w14:paraId="193D6663">
      <w:pPr>
        <w:pStyle w:val="3"/>
        <w:rPr>
          <w:rFonts w:ascii="Times New Roman" w:hAnsi="Times New Roman" w:eastAsia="华文宋体"/>
        </w:rPr>
      </w:pPr>
      <w:r>
        <w:rPr>
          <w:rFonts w:hint="eastAsia" w:ascii="Times New Roman" w:hAnsi="Times New Roman" w:eastAsia="华文宋体"/>
        </w:rPr>
        <w:t>总体而言，我国外债监管的目标不应是压缩一切境外融资，而是通过制度设计提高融资质量、降低风险累积、引导企业坚持风险中性。只有这样，境外债券融资才能真正服务于实体经济和高水平开放，而不是成为顺周期杠杆扩张的工具。</w:t>
      </w:r>
    </w:p>
    <w:bookmarkEnd w:id="85"/>
    <w:bookmarkEnd w:id="104"/>
    <w:p w14:paraId="5D640FFD">
      <w:pPr>
        <w:pStyle w:val="4"/>
        <w:rPr>
          <w:rFonts w:ascii="Times New Roman" w:hAnsi="Times New Roman" w:eastAsia="华文宋体"/>
        </w:rPr>
      </w:pPr>
      <w:bookmarkStart w:id="105" w:name="六结论与建议"/>
      <w:r>
        <w:rPr>
          <w:rFonts w:hint="eastAsia" w:ascii="Times New Roman" w:hAnsi="Times New Roman" w:eastAsia="华文宋体"/>
        </w:rPr>
        <w:t>六、结论与建议</w:t>
      </w:r>
    </w:p>
    <w:p w14:paraId="27C0DC8F">
      <w:pPr>
        <w:pStyle w:val="5"/>
        <w:rPr>
          <w:rFonts w:ascii="Times New Roman" w:hAnsi="Times New Roman" w:eastAsia="华文宋体"/>
        </w:rPr>
      </w:pPr>
      <w:bookmarkStart w:id="106" w:name="一研究结论"/>
      <w:r>
        <w:rPr>
          <w:rFonts w:hint="eastAsia" w:ascii="Times New Roman" w:hAnsi="Times New Roman" w:eastAsia="华文宋体"/>
        </w:rPr>
        <w:t>（一）研究结论</w:t>
      </w:r>
    </w:p>
    <w:p w14:paraId="1CDBDF0A">
      <w:pPr>
        <w:pStyle w:val="23"/>
        <w:rPr>
          <w:rFonts w:ascii="Times New Roman" w:hAnsi="Times New Roman" w:eastAsia="华文宋体"/>
        </w:rPr>
      </w:pPr>
      <w:r>
        <w:rPr>
          <w:rFonts w:hint="eastAsia" w:ascii="Times New Roman" w:hAnsi="Times New Roman" w:eastAsia="华文宋体"/>
        </w:rPr>
        <w:t>本文围绕美联储货币政策变化背景下中资企业境外债券融资的动机与风险问题，结合中资境外债市场发展脉络与九龙江集团案例，形成以下主要结论。</w:t>
      </w:r>
    </w:p>
    <w:p w14:paraId="5D09D14A">
      <w:pPr>
        <w:pStyle w:val="3"/>
        <w:rPr>
          <w:rFonts w:ascii="Times New Roman" w:hAnsi="Times New Roman" w:eastAsia="华文宋体"/>
        </w:rPr>
      </w:pPr>
      <w:r>
        <w:rPr>
          <w:rFonts w:hint="eastAsia" w:ascii="Times New Roman" w:hAnsi="Times New Roman" w:eastAsia="华文宋体"/>
        </w:rPr>
        <w:t>第一，美联储货币政策周期是影响中资企业境外债券融资行为的重要外部变量。2008年国际金融危机后至2021年期间，全球长期低利率与美元流动性宽松，为中资企业境外发债创造了较为有利的外部条件。低基准利率、较强风险偏好和较低信用利差共同推动中资境外债市场扩张。2022年3月以后，美联储快速加息使国际债券融资基准显著抬升，美元债不再天然等同于低成本融资工具，中资企业境外债融资由“扩规模”逻辑转向“重质量、重结构、重风控”逻辑。</w:t>
      </w:r>
    </w:p>
    <w:p w14:paraId="36D87E98">
      <w:pPr>
        <w:pStyle w:val="3"/>
        <w:rPr>
          <w:rFonts w:ascii="Times New Roman" w:hAnsi="Times New Roman" w:eastAsia="华文宋体"/>
        </w:rPr>
      </w:pPr>
      <w:r>
        <w:rPr>
          <w:rFonts w:hint="eastAsia" w:ascii="Times New Roman" w:hAnsi="Times New Roman" w:eastAsia="华文宋体"/>
        </w:rPr>
        <w:t>第二，中资企业境外发债的动机具有复合性，不能简单概括为追求低利率。通过文献梳理和市场分析可以看出，企业发债动机至少包括外币资金需求、融资结构与期限结构优化、国际信用曲线建设、国际化经营支持、境内融资替代与补充、借新还旧安排以及把握政策和市场窗口等多个方面。宽松周期中，部分企业确实存在利差和汇差套利动机；但对优质国企和产业集团而言，境外债更多体现为一种综合性融资工具，而不是单纯投机性选择。</w:t>
      </w:r>
    </w:p>
    <w:p w14:paraId="45517C3A">
      <w:pPr>
        <w:pStyle w:val="3"/>
        <w:rPr>
          <w:rFonts w:ascii="Times New Roman" w:hAnsi="Times New Roman" w:eastAsia="华文宋体"/>
        </w:rPr>
      </w:pPr>
      <w:r>
        <w:rPr>
          <w:rFonts w:hint="eastAsia" w:ascii="Times New Roman" w:hAnsi="Times New Roman" w:eastAsia="华文宋体"/>
        </w:rPr>
        <w:t>第三，境外债融资的核心风险在于货币错配、期限错配与再融资依赖的叠加。美联储加息通过抬升无风险利率、推动美元走强和改变风险偏好三条路径影响中资企业境外债成本和风险。若企业本币资产和现金流占主导、外币收入不足，则美元债会显著放大汇率风险；若企业依赖中短期债券滚续，则市场窗口关闭时会迅速暴露再融资风险；若企业同时缺乏套期保值和备用流动性安排，则风险将从财务问题演化为信用问题。</w:t>
      </w:r>
    </w:p>
    <w:p w14:paraId="5AF19113">
      <w:pPr>
        <w:pStyle w:val="3"/>
        <w:rPr>
          <w:rFonts w:ascii="Times New Roman" w:hAnsi="Times New Roman" w:eastAsia="华文宋体"/>
        </w:rPr>
      </w:pPr>
      <w:r>
        <w:rPr>
          <w:rFonts w:hint="eastAsia" w:ascii="Times New Roman" w:hAnsi="Times New Roman" w:eastAsia="华文宋体"/>
        </w:rPr>
        <w:t>第四，九龙江集团案例表明，地方国有资本投资平台的境外发债并不等同于传统意义上的“融资平台借美元债”。作为兼具产业经营和区域国资投资功能的地方国企，九龙江集团使用境外债的主要逻辑，是服务产业布局与跨境资源配置、优化期限结构、构建国际信用曲线、提高融资体系韧性以及滚动管理存量离岸债务。其案例说明，只要企业具备相对扎实的产业基础、上市公司资源、多元融资能力和较清晰的信用叙事，地方国企在国际债券市场仍然可以获得一定认可。</w:t>
      </w:r>
    </w:p>
    <w:p w14:paraId="09D535FF">
      <w:pPr>
        <w:pStyle w:val="3"/>
        <w:rPr>
          <w:rFonts w:ascii="Times New Roman" w:hAnsi="Times New Roman" w:eastAsia="华文宋体"/>
        </w:rPr>
      </w:pPr>
      <w:r>
        <w:rPr>
          <w:rFonts w:hint="eastAsia" w:ascii="Times New Roman" w:hAnsi="Times New Roman" w:eastAsia="华文宋体"/>
        </w:rPr>
        <w:t>第五，九龙江集团案例同样说明，地方国企境外发债的稳健性并非来自所有制本身，而是来自持续的风险治理能力。虽然九龙江集团拥有较强地方支持背景和优质药业资产，但其也面临贸易业务毛利率低、有息债务规模大、投资性支出持续、外币现金流自然覆盖有限等现实约束。若未来国际融资环境继续收紧，集团仍需通过期限管理、套保安排、信息披露和境内外融资协同来稳住信用。</w:t>
      </w:r>
    </w:p>
    <w:p w14:paraId="64D7A932">
      <w:pPr>
        <w:pStyle w:val="3"/>
        <w:rPr>
          <w:rFonts w:ascii="Times New Roman" w:hAnsi="Times New Roman" w:eastAsia="华文宋体"/>
        </w:rPr>
      </w:pPr>
      <w:r>
        <w:rPr>
          <w:rFonts w:hint="eastAsia" w:ascii="Times New Roman" w:hAnsi="Times New Roman" w:eastAsia="华文宋体"/>
        </w:rPr>
        <w:t>第六，从宏观层面看，企业境外债风险具有显著的系统性传导可能。其风险会通过资产负债表效应、再融资渠道收缩、境内外市场联动和区域财政预期等路径外溢。因此，监管部门不能只在发行环节进行程序性审核，而应将企业外债纳入宏观审慎和存续期风险监测框架中，动态识别高风险行业、地区和主体，防止局部违约演化为板块性冲击。</w:t>
      </w:r>
    </w:p>
    <w:bookmarkEnd w:id="106"/>
    <w:p w14:paraId="03ED364F">
      <w:pPr>
        <w:pStyle w:val="5"/>
        <w:rPr>
          <w:rFonts w:ascii="Times New Roman" w:hAnsi="Times New Roman" w:eastAsia="华文宋体"/>
        </w:rPr>
      </w:pPr>
      <w:bookmarkStart w:id="107" w:name="二对企业境外发债的建议"/>
      <w:r>
        <w:rPr>
          <w:rFonts w:hint="eastAsia" w:ascii="Times New Roman" w:hAnsi="Times New Roman" w:eastAsia="华文宋体"/>
        </w:rPr>
        <w:t>（二）对企业境外发债的建议</w:t>
      </w:r>
    </w:p>
    <w:p w14:paraId="3FBFE85A">
      <w:pPr>
        <w:pStyle w:val="23"/>
        <w:rPr>
          <w:rFonts w:ascii="Times New Roman" w:hAnsi="Times New Roman" w:eastAsia="华文宋体"/>
        </w:rPr>
      </w:pPr>
      <w:r>
        <w:rPr>
          <w:rFonts w:hint="eastAsia" w:ascii="Times New Roman" w:hAnsi="Times New Roman" w:eastAsia="华文宋体"/>
        </w:rPr>
        <w:t>基于全文分析，本文对有意开展境外债券融资的中资企业提出如下建议。</w:t>
      </w:r>
    </w:p>
    <w:p w14:paraId="7F2F9FF5">
      <w:pPr>
        <w:pStyle w:val="3"/>
        <w:rPr>
          <w:rFonts w:ascii="Times New Roman" w:hAnsi="Times New Roman" w:eastAsia="华文宋体"/>
        </w:rPr>
      </w:pPr>
      <w:r>
        <w:rPr>
          <w:rFonts w:hint="eastAsia" w:ascii="Times New Roman" w:hAnsi="Times New Roman" w:eastAsia="华文宋体"/>
        </w:rPr>
        <w:t>第一，坚持“需求真实、用途清晰、结构匹配”的发债原则。企业在决定是否境外发债时，不应被某一时期的低票息所吸引，而应首先回答三个问题：发债是为了满足何种真实资金需求？募集资金最终将如何使用？未来主要偿债来源是什么？只有当这三个问题有明确答案，境外债融资才具有基本合理性。</w:t>
      </w:r>
    </w:p>
    <w:p w14:paraId="4710A2C4">
      <w:pPr>
        <w:pStyle w:val="3"/>
        <w:rPr>
          <w:rFonts w:ascii="Times New Roman" w:hAnsi="Times New Roman" w:eastAsia="华文宋体"/>
        </w:rPr>
      </w:pPr>
      <w:r>
        <w:rPr>
          <w:rFonts w:hint="eastAsia" w:ascii="Times New Roman" w:hAnsi="Times New Roman" w:eastAsia="华文宋体"/>
        </w:rPr>
        <w:t>第二，把综合成本比较而不是名义票息比较作为决策依据。企业应在发债前建立完整的综合成本测算模型，将无风险利率、信用利差、承销及中介费用、外汇套保成本、资金回流摩擦成本和未来再融资成本纳入统一测算。若境外债的综合成本在不同情景下都具备优势，才值得实施；若优势仅建立在单边汇率预期或特定窗口短期利差基础上，则应保持审慎。</w:t>
      </w:r>
    </w:p>
    <w:p w14:paraId="549BCF7C">
      <w:pPr>
        <w:pStyle w:val="3"/>
        <w:rPr>
          <w:rFonts w:ascii="Times New Roman" w:hAnsi="Times New Roman" w:eastAsia="华文宋体"/>
        </w:rPr>
      </w:pPr>
      <w:r>
        <w:rPr>
          <w:rFonts w:hint="eastAsia" w:ascii="Times New Roman" w:hAnsi="Times New Roman" w:eastAsia="华文宋体"/>
        </w:rPr>
        <w:t>第三，强化外币现金流识别与风险中性管理。企业应定期测算外币资产、外币负债、外币收入和外币支出，形成真实净外汇敞口图谱，并据此制定自然对冲和金融对冲安排。对一年内到期或支付频率较高的债务，应优先锁定汇率成本；对中长期债务，可结合市场变化实施滚动对冲。风险管理目标应是降低波动而非赚取汇率收益。</w:t>
      </w:r>
    </w:p>
    <w:p w14:paraId="2616EE1E">
      <w:pPr>
        <w:pStyle w:val="3"/>
        <w:rPr>
          <w:rFonts w:ascii="Times New Roman" w:hAnsi="Times New Roman" w:eastAsia="华文宋体"/>
        </w:rPr>
      </w:pPr>
      <w:r>
        <w:rPr>
          <w:rFonts w:hint="eastAsia" w:ascii="Times New Roman" w:hAnsi="Times New Roman" w:eastAsia="华文宋体"/>
        </w:rPr>
        <w:t>第四，优化期限结构并建立双市场融资备份。企业应避免过度依赖3年左右中短期外债滚续，而应在境外债、境内债和银行授信之间形成梯度化到期结构。若企业已有境外债存量，应至少提前6至12个月启动再融资预案，准备替代性境内融资、备用授信和流动性储备，以降低市场突然关闭带来的被动性。</w:t>
      </w:r>
    </w:p>
    <w:p w14:paraId="0F4CA1C6">
      <w:pPr>
        <w:pStyle w:val="3"/>
        <w:rPr>
          <w:rFonts w:ascii="Times New Roman" w:hAnsi="Times New Roman" w:eastAsia="华文宋体"/>
        </w:rPr>
      </w:pPr>
      <w:r>
        <w:rPr>
          <w:rFonts w:hint="eastAsia" w:ascii="Times New Roman" w:hAnsi="Times New Roman" w:eastAsia="华文宋体"/>
        </w:rPr>
        <w:t>第五，提高国际披露质量和投资者关系管理能力。国际资本市场对企业的持续透明度要求高于很多企业在境内的习惯。企业应建立英文年报摘要、定期投资者沟通、重大事项说明、ESG进展报告和评级机构沟通机制。对地方国企尤其如此，因为其境内外评级差异大，更需要通过主动披露来降低国际投资者的信息折价。</w:t>
      </w:r>
    </w:p>
    <w:p w14:paraId="4AC93BB6">
      <w:pPr>
        <w:pStyle w:val="3"/>
        <w:rPr>
          <w:rFonts w:ascii="Times New Roman" w:hAnsi="Times New Roman" w:eastAsia="华文宋体"/>
        </w:rPr>
      </w:pPr>
      <w:r>
        <w:rPr>
          <w:rFonts w:hint="eastAsia" w:ascii="Times New Roman" w:hAnsi="Times New Roman" w:eastAsia="华文宋体"/>
        </w:rPr>
        <w:t>第六，将境外债风险管理纳入公司治理体系。董事会或高级管理层应对外债决策、对冲授权、用途监控和偿债安排承担最终责任，融资、财务、法务、业务、风控和审计部门要形成协同机制。没有治理闭环的外债融资，往往会在风险暴露时放大组织协调成本。</w:t>
      </w:r>
    </w:p>
    <w:bookmarkEnd w:id="107"/>
    <w:p w14:paraId="03A24DC5">
      <w:pPr>
        <w:pStyle w:val="5"/>
        <w:rPr>
          <w:rFonts w:ascii="Times New Roman" w:hAnsi="Times New Roman" w:eastAsia="华文宋体"/>
        </w:rPr>
      </w:pPr>
      <w:bookmarkStart w:id="108" w:name="三对监管部门的建议"/>
      <w:r>
        <w:rPr>
          <w:rFonts w:hint="eastAsia" w:ascii="Times New Roman" w:hAnsi="Times New Roman" w:eastAsia="华文宋体"/>
        </w:rPr>
        <w:t>（三）对监管部门的建议</w:t>
      </w:r>
    </w:p>
    <w:p w14:paraId="4D277171">
      <w:pPr>
        <w:pStyle w:val="23"/>
        <w:rPr>
          <w:rFonts w:ascii="Times New Roman" w:hAnsi="Times New Roman" w:eastAsia="华文宋体"/>
        </w:rPr>
      </w:pPr>
      <w:r>
        <w:rPr>
          <w:rFonts w:hint="eastAsia" w:ascii="Times New Roman" w:hAnsi="Times New Roman" w:eastAsia="华文宋体"/>
        </w:rPr>
        <w:t>第一，继续完善宏观审慎框架下的差异化管理。监管部门应根据行业景气度、主体资质、外币收入覆盖情况、到期集中度和对冲覆盖率等因素，对企业外债进行分类监测和分类管理，而不是仅根据所有制或评级进行粗线条区分。</w:t>
      </w:r>
    </w:p>
    <w:p w14:paraId="3C9EEFC9">
      <w:pPr>
        <w:pStyle w:val="3"/>
        <w:rPr>
          <w:rFonts w:ascii="Times New Roman" w:hAnsi="Times New Roman" w:eastAsia="华文宋体"/>
        </w:rPr>
      </w:pPr>
      <w:r>
        <w:rPr>
          <w:rFonts w:hint="eastAsia" w:ascii="Times New Roman" w:hAnsi="Times New Roman" w:eastAsia="华文宋体"/>
        </w:rPr>
        <w:t>第二，强化存续期监管和资金用途穿透。审核登记只是第一步，关键在于发债后是否真正按承诺使用、是否形成新的期限错配和货币错配。建议建立重点外债主体用途台账和关键风险指标报送制度，提高对借新还旧、境内回流和关联交易的穿透识别能力。</w:t>
      </w:r>
    </w:p>
    <w:p w14:paraId="40C01A13">
      <w:pPr>
        <w:pStyle w:val="3"/>
        <w:rPr>
          <w:rFonts w:ascii="Times New Roman" w:hAnsi="Times New Roman" w:eastAsia="华文宋体"/>
        </w:rPr>
      </w:pPr>
      <w:r>
        <w:rPr>
          <w:rFonts w:hint="eastAsia" w:ascii="Times New Roman" w:hAnsi="Times New Roman" w:eastAsia="华文宋体"/>
        </w:rPr>
        <w:t>第三，构建外债到期高峰压力测试机制。对重点行业、重点地区和大型地方国企，应按季度滚动开展外债到期压力测试，结合美联储利率变化、汇率情景和市场关闭情景评估企业偿债能力，从而将风险处置前移。</w:t>
      </w:r>
    </w:p>
    <w:p w14:paraId="6C782E3F">
      <w:pPr>
        <w:pStyle w:val="3"/>
        <w:rPr>
          <w:rFonts w:ascii="Times New Roman" w:hAnsi="Times New Roman" w:eastAsia="华文宋体"/>
        </w:rPr>
      </w:pPr>
      <w:r>
        <w:rPr>
          <w:rFonts w:hint="eastAsia" w:ascii="Times New Roman" w:hAnsi="Times New Roman" w:eastAsia="华文宋体"/>
        </w:rPr>
        <w:t>第四，提升跨部门数据联通和协同处置能力。建议在国家发展改革委、人民银行、国家外汇管理局、证监会、地方金融监管部门和国资监管部门之间建立更加紧密的数据共享和风险会商机制，确保监管能够实时掌握重点主体的发债、回流、套保和兑付安排。</w:t>
      </w:r>
    </w:p>
    <w:p w14:paraId="5856F33F">
      <w:pPr>
        <w:pStyle w:val="3"/>
        <w:rPr>
          <w:rFonts w:ascii="Times New Roman" w:hAnsi="Times New Roman" w:eastAsia="华文宋体"/>
        </w:rPr>
      </w:pPr>
      <w:r>
        <w:rPr>
          <w:rFonts w:hint="eastAsia" w:ascii="Times New Roman" w:hAnsi="Times New Roman" w:eastAsia="华文宋体"/>
        </w:rPr>
        <w:t>第五，坚持支持优质主体与防范系统性风险并重。对于真实服务实体经济、具备外币现金流支撑、风险管理能力较强的企业，应给予稳定透明的制度预期，帮助其合理利用国际市场；对缺乏真实用途、套保不足、借新还旧比例过高的主体，则应提高监管要求，防止盲目扩张外债。</w:t>
      </w:r>
    </w:p>
    <w:bookmarkEnd w:id="108"/>
    <w:p w14:paraId="36EC88BA">
      <w:pPr>
        <w:pStyle w:val="5"/>
        <w:rPr>
          <w:rFonts w:ascii="Times New Roman" w:hAnsi="Times New Roman" w:eastAsia="华文宋体"/>
        </w:rPr>
      </w:pPr>
      <w:bookmarkStart w:id="109" w:name="四研究局限与未来展望"/>
      <w:r>
        <w:rPr>
          <w:rFonts w:hint="eastAsia" w:ascii="Times New Roman" w:hAnsi="Times New Roman" w:eastAsia="华文宋体"/>
        </w:rPr>
        <w:t>（四）研究局限与未来展望</w:t>
      </w:r>
    </w:p>
    <w:p w14:paraId="24A76D32">
      <w:pPr>
        <w:pStyle w:val="23"/>
        <w:rPr>
          <w:rFonts w:ascii="Times New Roman" w:hAnsi="Times New Roman" w:eastAsia="华文宋体"/>
        </w:rPr>
      </w:pPr>
      <w:r>
        <w:rPr>
          <w:rFonts w:hint="eastAsia" w:ascii="Times New Roman" w:hAnsi="Times New Roman" w:eastAsia="华文宋体"/>
        </w:rPr>
        <w:t>尽管本文在文献梳理、市场分析和案例研究方面进行了较为系统的展开，但仍存在若干局限。第一，案例研究主要基于公开披露的年报、募集说明书、评级报告和市场资料，无法获得企业内部套保比例、真实外币收入覆盖度、银行授信谈判和董事会决策细节，因此对企业内部治理机制的分析仍有一定推断成分。第二，本文聚焦九龙江集团这一典型地方国企案例，虽然有助于深入挖掘微观机制，但其结论在向其他民营企业、金融机构或红筹企业外推时仍需谨慎。第三，境外债券市场变化较快，尤其是国际利率环境和投资者偏好具有较强时点性，相关结论仍需在更长时间维度中持续检验。</w:t>
      </w:r>
    </w:p>
    <w:p w14:paraId="42EC9198">
      <w:pPr>
        <w:pStyle w:val="3"/>
        <w:rPr>
          <w:rFonts w:ascii="Times New Roman" w:hAnsi="Times New Roman" w:eastAsia="华文宋体"/>
        </w:rPr>
      </w:pPr>
      <w:r>
        <w:rPr>
          <w:rFonts w:hint="eastAsia" w:ascii="Times New Roman" w:hAnsi="Times New Roman" w:eastAsia="华文宋体"/>
        </w:rPr>
        <w:t>未来研究可以沿三个方向深化。其一，构建中资企业境外债面板数据库，将外币债务规模、期限结构、行业属性、外币收入、套保行为和违约事件纳入计量模型，系统检验美联储政策变化对企业融资行为的影响。其二，开展多案例比较研究，将地方国企、民营房企、制造业龙头和金融机构纳入统一分析框架，比较不同所有制和业务结构下外债风险形成机制的差异。其三，进一步研究绿色债、转型债、可持续发展挂钩债等新型跨境融资工具对企业信用形象和融资成本的影响，从而更好地评估高质量开放背景下中资企业境外融资的新趋势。</w:t>
      </w:r>
    </w:p>
    <w:bookmarkEnd w:id="105"/>
    <w:bookmarkEnd w:id="109"/>
    <w:p w14:paraId="26FF5B01">
      <w:pPr>
        <w:pStyle w:val="4"/>
        <w:rPr>
          <w:rFonts w:ascii="Times New Roman" w:hAnsi="Times New Roman" w:eastAsia="华文宋体"/>
        </w:rPr>
      </w:pPr>
      <w:bookmarkStart w:id="110" w:name="参考文献"/>
      <w:r>
        <w:rPr>
          <w:rFonts w:hint="eastAsia" w:ascii="Times New Roman" w:hAnsi="Times New Roman" w:eastAsia="华文宋体"/>
        </w:rPr>
        <w:t>参考文献</w:t>
      </w:r>
    </w:p>
    <w:p w14:paraId="243CBADE">
      <w:pPr>
        <w:pStyle w:val="23"/>
        <w:rPr>
          <w:rFonts w:ascii="Times New Roman" w:hAnsi="Times New Roman" w:eastAsia="华文宋体"/>
        </w:rPr>
      </w:pPr>
      <w:r>
        <w:rPr>
          <w:rFonts w:ascii="Times New Roman" w:hAnsi="Times New Roman" w:eastAsia="华文宋体"/>
        </w:rPr>
        <w:t xml:space="preserve">[1] </w:t>
      </w:r>
      <w:r>
        <w:rPr>
          <w:rFonts w:hint="eastAsia" w:ascii="Times New Roman" w:hAnsi="Times New Roman" w:eastAsia="华文宋体"/>
        </w:rPr>
        <w:t>王大贤.</w:t>
      </w:r>
      <w:r>
        <w:rPr>
          <w:rFonts w:ascii="Times New Roman" w:hAnsi="Times New Roman" w:eastAsia="华文宋体"/>
        </w:rPr>
        <w:t xml:space="preserve"> </w:t>
      </w:r>
      <w:r>
        <w:rPr>
          <w:rFonts w:hint="eastAsia" w:ascii="Times New Roman" w:hAnsi="Times New Roman" w:eastAsia="华文宋体"/>
        </w:rPr>
        <w:t>中资企业离岸债现状、发展及对策建议[J].</w:t>
      </w:r>
      <w:r>
        <w:rPr>
          <w:rFonts w:ascii="Times New Roman" w:hAnsi="Times New Roman" w:eastAsia="华文宋体"/>
        </w:rPr>
        <w:t xml:space="preserve"> </w:t>
      </w:r>
      <w:r>
        <w:rPr>
          <w:rFonts w:hint="eastAsia" w:ascii="Times New Roman" w:hAnsi="Times New Roman" w:eastAsia="华文宋体"/>
        </w:rPr>
        <w:t>新理财,</w:t>
      </w:r>
      <w:r>
        <w:rPr>
          <w:rFonts w:ascii="Times New Roman" w:hAnsi="Times New Roman" w:eastAsia="华文宋体"/>
        </w:rPr>
        <w:t xml:space="preserve"> 2023(Z1):33-36. [2] </w:t>
      </w:r>
      <w:r>
        <w:rPr>
          <w:rFonts w:hint="eastAsia" w:ascii="Times New Roman" w:hAnsi="Times New Roman" w:eastAsia="华文宋体"/>
        </w:rPr>
        <w:t>张宁静,</w:t>
      </w:r>
      <w:r>
        <w:rPr>
          <w:rFonts w:ascii="Times New Roman" w:hAnsi="Times New Roman" w:eastAsia="华文宋体"/>
        </w:rPr>
        <w:t xml:space="preserve"> </w:t>
      </w:r>
      <w:r>
        <w:rPr>
          <w:rFonts w:hint="eastAsia" w:ascii="Times New Roman" w:hAnsi="Times New Roman" w:eastAsia="华文宋体"/>
        </w:rPr>
        <w:t>周坚,</w:t>
      </w:r>
      <w:r>
        <w:rPr>
          <w:rFonts w:ascii="Times New Roman" w:hAnsi="Times New Roman" w:eastAsia="华文宋体"/>
        </w:rPr>
        <w:t xml:space="preserve"> </w:t>
      </w:r>
      <w:r>
        <w:rPr>
          <w:rFonts w:hint="eastAsia" w:ascii="Times New Roman" w:hAnsi="Times New Roman" w:eastAsia="华文宋体"/>
        </w:rPr>
        <w:t>万魏.</w:t>
      </w:r>
      <w:r>
        <w:rPr>
          <w:rFonts w:ascii="Times New Roman" w:hAnsi="Times New Roman" w:eastAsia="华文宋体"/>
        </w:rPr>
        <w:t xml:space="preserve"> </w:t>
      </w:r>
      <w:r>
        <w:rPr>
          <w:rFonts w:hint="eastAsia" w:ascii="Times New Roman" w:hAnsi="Times New Roman" w:eastAsia="华文宋体"/>
        </w:rPr>
        <w:t>数字普惠金融发展与企业债券融资[J].</w:t>
      </w:r>
      <w:r>
        <w:rPr>
          <w:rFonts w:ascii="Times New Roman" w:hAnsi="Times New Roman" w:eastAsia="华文宋体"/>
        </w:rPr>
        <w:t xml:space="preserve"> </w:t>
      </w:r>
      <w:r>
        <w:rPr>
          <w:rFonts w:hint="eastAsia" w:ascii="Times New Roman" w:hAnsi="Times New Roman" w:eastAsia="华文宋体"/>
        </w:rPr>
        <w:t>金融发展研究,</w:t>
      </w:r>
      <w:r>
        <w:rPr>
          <w:rFonts w:ascii="Times New Roman" w:hAnsi="Times New Roman" w:eastAsia="华文宋体"/>
        </w:rPr>
        <w:t xml:space="preserve"> 2023(02):54-60. [3] </w:t>
      </w:r>
      <w:r>
        <w:rPr>
          <w:rFonts w:hint="eastAsia" w:ascii="Times New Roman" w:hAnsi="Times New Roman" w:eastAsia="华文宋体"/>
        </w:rPr>
        <w:t>唐仁敏.</w:t>
      </w:r>
      <w:r>
        <w:rPr>
          <w:rFonts w:ascii="Times New Roman" w:hAnsi="Times New Roman" w:eastAsia="华文宋体"/>
        </w:rPr>
        <w:t xml:space="preserve"> </w:t>
      </w:r>
      <w:r>
        <w:rPr>
          <w:rFonts w:hint="eastAsia" w:ascii="Times New Roman" w:hAnsi="Times New Roman" w:eastAsia="华文宋体"/>
        </w:rPr>
        <w:t>进一步优化和规范外债管理支持企业境外融资健康有序开展:</w:t>
      </w:r>
      <w:r>
        <w:rPr>
          <w:rFonts w:ascii="Times New Roman" w:hAnsi="Times New Roman" w:eastAsia="华文宋体"/>
        </w:rPr>
        <w:t xml:space="preserve"> </w:t>
      </w:r>
      <w:r>
        <w:rPr>
          <w:rFonts w:hint="eastAsia" w:ascii="Times New Roman" w:hAnsi="Times New Roman" w:eastAsia="华文宋体"/>
        </w:rPr>
        <w:t>国家发展改革委有关负责人就《企业中长期外债审核登记管理办法》答记者问[J].</w:t>
      </w:r>
      <w:r>
        <w:rPr>
          <w:rFonts w:ascii="Times New Roman" w:hAnsi="Times New Roman" w:eastAsia="华文宋体"/>
        </w:rPr>
        <w:t xml:space="preserve"> </w:t>
      </w:r>
      <w:r>
        <w:rPr>
          <w:rFonts w:hint="eastAsia" w:ascii="Times New Roman" w:hAnsi="Times New Roman" w:eastAsia="华文宋体"/>
        </w:rPr>
        <w:t>中国经贸导刊,</w:t>
      </w:r>
      <w:r>
        <w:rPr>
          <w:rFonts w:ascii="Times New Roman" w:hAnsi="Times New Roman" w:eastAsia="华文宋体"/>
        </w:rPr>
        <w:t xml:space="preserve"> 2023(02):24-25. [4] </w:t>
      </w:r>
      <w:r>
        <w:rPr>
          <w:rFonts w:hint="eastAsia" w:ascii="Times New Roman" w:hAnsi="Times New Roman" w:eastAsia="华文宋体"/>
        </w:rPr>
        <w:t>国务院.</w:t>
      </w:r>
      <w:r>
        <w:rPr>
          <w:rFonts w:ascii="Times New Roman" w:hAnsi="Times New Roman" w:eastAsia="华文宋体"/>
        </w:rPr>
        <w:t xml:space="preserve"> </w:t>
      </w:r>
      <w:r>
        <w:rPr>
          <w:rFonts w:hint="eastAsia" w:ascii="Times New Roman" w:hAnsi="Times New Roman" w:eastAsia="华文宋体"/>
        </w:rPr>
        <w:t>企业中长期外债审核登记管理办法[Z].</w:t>
      </w:r>
      <w:r>
        <w:rPr>
          <w:rFonts w:ascii="Times New Roman" w:hAnsi="Times New Roman" w:eastAsia="华文宋体"/>
        </w:rPr>
        <w:t xml:space="preserve"> </w:t>
      </w:r>
      <w:r>
        <w:rPr>
          <w:rFonts w:hint="eastAsia" w:ascii="Times New Roman" w:hAnsi="Times New Roman" w:eastAsia="华文宋体"/>
        </w:rPr>
        <w:t>北京:</w:t>
      </w:r>
      <w:r>
        <w:rPr>
          <w:rFonts w:ascii="Times New Roman" w:hAnsi="Times New Roman" w:eastAsia="华文宋体"/>
        </w:rPr>
        <w:t xml:space="preserve"> </w:t>
      </w:r>
      <w:r>
        <w:rPr>
          <w:rFonts w:hint="eastAsia" w:ascii="Times New Roman" w:hAnsi="Times New Roman" w:eastAsia="华文宋体"/>
        </w:rPr>
        <w:t>中华人民共和国国务院公报,</w:t>
      </w:r>
      <w:r>
        <w:rPr>
          <w:rFonts w:ascii="Times New Roman" w:hAnsi="Times New Roman" w:eastAsia="华文宋体"/>
        </w:rPr>
        <w:t xml:space="preserve"> 2023. [5] </w:t>
      </w:r>
      <w:r>
        <w:rPr>
          <w:rFonts w:hint="eastAsia" w:ascii="Times New Roman" w:hAnsi="Times New Roman" w:eastAsia="华文宋体"/>
        </w:rPr>
        <w:t>法人编辑部.</w:t>
      </w:r>
      <w:r>
        <w:rPr>
          <w:rFonts w:ascii="Times New Roman" w:hAnsi="Times New Roman" w:eastAsia="华文宋体"/>
        </w:rPr>
        <w:t xml:space="preserve"> </w:t>
      </w:r>
      <w:r>
        <w:rPr>
          <w:rFonts w:hint="eastAsia" w:ascii="Times New Roman" w:hAnsi="Times New Roman" w:eastAsia="华文宋体"/>
        </w:rPr>
        <w:t>减少企业中长期外债监管盲区[J].</w:t>
      </w:r>
      <w:r>
        <w:rPr>
          <w:rFonts w:ascii="Times New Roman" w:hAnsi="Times New Roman" w:eastAsia="华文宋体"/>
        </w:rPr>
        <w:t xml:space="preserve"> </w:t>
      </w:r>
      <w:r>
        <w:rPr>
          <w:rFonts w:hint="eastAsia" w:ascii="Times New Roman" w:hAnsi="Times New Roman" w:eastAsia="华文宋体"/>
        </w:rPr>
        <w:t>法人,</w:t>
      </w:r>
      <w:r>
        <w:rPr>
          <w:rFonts w:ascii="Times New Roman" w:hAnsi="Times New Roman" w:eastAsia="华文宋体"/>
        </w:rPr>
        <w:t xml:space="preserve"> 2023(02):6. [6] </w:t>
      </w:r>
      <w:r>
        <w:rPr>
          <w:rFonts w:hint="eastAsia" w:ascii="Times New Roman" w:hAnsi="Times New Roman" w:eastAsia="华文宋体"/>
        </w:rPr>
        <w:t>亓宁.</w:t>
      </w:r>
      <w:r>
        <w:rPr>
          <w:rFonts w:ascii="Times New Roman" w:hAnsi="Times New Roman" w:eastAsia="华文宋体"/>
        </w:rPr>
        <w:t xml:space="preserve"> </w:t>
      </w:r>
      <w:r>
        <w:rPr>
          <w:rFonts w:hint="eastAsia" w:ascii="Times New Roman" w:hAnsi="Times New Roman" w:eastAsia="华文宋体"/>
        </w:rPr>
        <w:t>房企融资迎新变化境外债“开门红”后担忧仍在[N].</w:t>
      </w:r>
      <w:r>
        <w:rPr>
          <w:rFonts w:ascii="Times New Roman" w:hAnsi="Times New Roman" w:eastAsia="华文宋体"/>
        </w:rPr>
        <w:t xml:space="preserve"> </w:t>
      </w:r>
      <w:r>
        <w:rPr>
          <w:rFonts w:hint="eastAsia" w:ascii="Times New Roman" w:hAnsi="Times New Roman" w:eastAsia="华文宋体"/>
        </w:rPr>
        <w:t>第一财经日报,</w:t>
      </w:r>
      <w:r>
        <w:rPr>
          <w:rFonts w:ascii="Times New Roman" w:hAnsi="Times New Roman" w:eastAsia="华文宋体"/>
        </w:rPr>
        <w:t xml:space="preserve"> 2023-02-10(A01). [7] </w:t>
      </w:r>
      <w:r>
        <w:rPr>
          <w:rFonts w:hint="eastAsia" w:ascii="Times New Roman" w:hAnsi="Times New Roman" w:eastAsia="华文宋体"/>
        </w:rPr>
        <w:t>石磊,</w:t>
      </w:r>
      <w:r>
        <w:rPr>
          <w:rFonts w:ascii="Times New Roman" w:hAnsi="Times New Roman" w:eastAsia="华文宋体"/>
        </w:rPr>
        <w:t xml:space="preserve"> </w:t>
      </w:r>
      <w:r>
        <w:rPr>
          <w:rFonts w:hint="eastAsia" w:ascii="Times New Roman" w:hAnsi="Times New Roman" w:eastAsia="华文宋体"/>
        </w:rPr>
        <w:t>张迪,</w:t>
      </w:r>
      <w:r>
        <w:rPr>
          <w:rFonts w:ascii="Times New Roman" w:hAnsi="Times New Roman" w:eastAsia="华文宋体"/>
        </w:rPr>
        <w:t xml:space="preserve"> </w:t>
      </w:r>
      <w:r>
        <w:rPr>
          <w:rFonts w:hint="eastAsia" w:ascii="Times New Roman" w:hAnsi="Times New Roman" w:eastAsia="华文宋体"/>
        </w:rPr>
        <w:t>刘柯含.</w:t>
      </w:r>
      <w:r>
        <w:rPr>
          <w:rFonts w:ascii="Times New Roman" w:hAnsi="Times New Roman" w:eastAsia="华文宋体"/>
        </w:rPr>
        <w:t xml:space="preserve"> </w:t>
      </w:r>
      <w:r>
        <w:rPr>
          <w:rFonts w:hint="eastAsia" w:ascii="Times New Roman" w:hAnsi="Times New Roman" w:eastAsia="华文宋体"/>
        </w:rPr>
        <w:t>ESG表现对企业境外债券融资的影响[J].</w:t>
      </w:r>
      <w:r>
        <w:rPr>
          <w:rFonts w:ascii="Times New Roman" w:hAnsi="Times New Roman" w:eastAsia="华文宋体"/>
        </w:rPr>
        <w:t xml:space="preserve"> </w:t>
      </w:r>
      <w:r>
        <w:rPr>
          <w:rFonts w:hint="eastAsia" w:ascii="Times New Roman" w:hAnsi="Times New Roman" w:eastAsia="华文宋体"/>
        </w:rPr>
        <w:t>财会月刊,</w:t>
      </w:r>
      <w:r>
        <w:rPr>
          <w:rFonts w:ascii="Times New Roman" w:hAnsi="Times New Roman" w:eastAsia="华文宋体"/>
        </w:rPr>
        <w:t xml:space="preserve"> 2023,44(03):41-48. [8] </w:t>
      </w:r>
      <w:r>
        <w:rPr>
          <w:rFonts w:hint="eastAsia" w:ascii="Times New Roman" w:hAnsi="Times New Roman" w:eastAsia="华文宋体"/>
        </w:rPr>
        <w:t>杨虹.</w:t>
      </w:r>
      <w:r>
        <w:rPr>
          <w:rFonts w:ascii="Times New Roman" w:hAnsi="Times New Roman" w:eastAsia="华文宋体"/>
        </w:rPr>
        <w:t xml:space="preserve"> </w:t>
      </w:r>
      <w:r>
        <w:rPr>
          <w:rFonts w:hint="eastAsia" w:ascii="Times New Roman" w:hAnsi="Times New Roman" w:eastAsia="华文宋体"/>
        </w:rPr>
        <w:t>国家发展改革委完善企业外债管理为市场主体提供更加稳定的制度环境[N].</w:t>
      </w:r>
      <w:r>
        <w:rPr>
          <w:rFonts w:ascii="Times New Roman" w:hAnsi="Times New Roman" w:eastAsia="华文宋体"/>
        </w:rPr>
        <w:t xml:space="preserve"> </w:t>
      </w:r>
      <w:r>
        <w:rPr>
          <w:rFonts w:hint="eastAsia" w:ascii="Times New Roman" w:hAnsi="Times New Roman" w:eastAsia="华文宋体"/>
        </w:rPr>
        <w:t>中国经济导报,</w:t>
      </w:r>
      <w:r>
        <w:rPr>
          <w:rFonts w:ascii="Times New Roman" w:hAnsi="Times New Roman" w:eastAsia="华文宋体"/>
        </w:rPr>
        <w:t xml:space="preserve"> 2023-01-17(001). [9] </w:t>
      </w:r>
      <w:r>
        <w:rPr>
          <w:rFonts w:hint="eastAsia" w:ascii="Times New Roman" w:hAnsi="Times New Roman" w:eastAsia="华文宋体"/>
        </w:rPr>
        <w:t>杜雨萌.</w:t>
      </w:r>
      <w:r>
        <w:rPr>
          <w:rFonts w:ascii="Times New Roman" w:hAnsi="Times New Roman" w:eastAsia="华文宋体"/>
        </w:rPr>
        <w:t xml:space="preserve"> </w:t>
      </w:r>
      <w:r>
        <w:rPr>
          <w:rFonts w:hint="eastAsia" w:ascii="Times New Roman" w:hAnsi="Times New Roman" w:eastAsia="华文宋体"/>
        </w:rPr>
        <w:t>强化外债募集资金用途管理切实服务实体经济发展[N].</w:t>
      </w:r>
      <w:r>
        <w:rPr>
          <w:rFonts w:ascii="Times New Roman" w:hAnsi="Times New Roman" w:eastAsia="华文宋体"/>
        </w:rPr>
        <w:t xml:space="preserve"> </w:t>
      </w:r>
      <w:r>
        <w:rPr>
          <w:rFonts w:hint="eastAsia" w:ascii="Times New Roman" w:hAnsi="Times New Roman" w:eastAsia="华文宋体"/>
        </w:rPr>
        <w:t>证券日报,</w:t>
      </w:r>
      <w:r>
        <w:rPr>
          <w:rFonts w:ascii="Times New Roman" w:hAnsi="Times New Roman" w:eastAsia="华文宋体"/>
        </w:rPr>
        <w:t xml:space="preserve"> 2023-01-11(A02). [10] </w:t>
      </w:r>
      <w:r>
        <w:rPr>
          <w:rFonts w:hint="eastAsia" w:ascii="Times New Roman" w:hAnsi="Times New Roman" w:eastAsia="华文宋体"/>
        </w:rPr>
        <w:t>李媛.</w:t>
      </w:r>
      <w:r>
        <w:rPr>
          <w:rFonts w:ascii="Times New Roman" w:hAnsi="Times New Roman" w:eastAsia="华文宋体"/>
        </w:rPr>
        <w:t xml:space="preserve"> </w:t>
      </w:r>
      <w:r>
        <w:rPr>
          <w:rFonts w:hint="eastAsia" w:ascii="Times New Roman" w:hAnsi="Times New Roman" w:eastAsia="华文宋体"/>
        </w:rPr>
        <w:t>境内企业发行境外可转债融资分析:</w:t>
      </w:r>
      <w:r>
        <w:rPr>
          <w:rFonts w:ascii="Times New Roman" w:hAnsi="Times New Roman" w:eastAsia="华文宋体"/>
        </w:rPr>
        <w:t xml:space="preserve"> </w:t>
      </w:r>
      <w:r>
        <w:rPr>
          <w:rFonts w:hint="eastAsia" w:ascii="Times New Roman" w:hAnsi="Times New Roman" w:eastAsia="华文宋体"/>
        </w:rPr>
        <w:t>以A公司为例[J].</w:t>
      </w:r>
      <w:r>
        <w:rPr>
          <w:rFonts w:ascii="Times New Roman" w:hAnsi="Times New Roman" w:eastAsia="华文宋体"/>
        </w:rPr>
        <w:t xml:space="preserve"> </w:t>
      </w:r>
      <w:r>
        <w:rPr>
          <w:rFonts w:hint="eastAsia" w:ascii="Times New Roman" w:hAnsi="Times New Roman" w:eastAsia="华文宋体"/>
        </w:rPr>
        <w:t>质量与市场,</w:t>
      </w:r>
      <w:r>
        <w:rPr>
          <w:rFonts w:ascii="Times New Roman" w:hAnsi="Times New Roman" w:eastAsia="华文宋体"/>
        </w:rPr>
        <w:t xml:space="preserve"> 2023(01):34-36. [11] </w:t>
      </w:r>
      <w:r>
        <w:rPr>
          <w:rFonts w:hint="eastAsia" w:ascii="Times New Roman" w:hAnsi="Times New Roman" w:eastAsia="华文宋体"/>
        </w:rPr>
        <w:t>唐啸,</w:t>
      </w:r>
      <w:r>
        <w:rPr>
          <w:rFonts w:ascii="Times New Roman" w:hAnsi="Times New Roman" w:eastAsia="华文宋体"/>
        </w:rPr>
        <w:t xml:space="preserve"> </w:t>
      </w:r>
      <w:r>
        <w:rPr>
          <w:rFonts w:hint="eastAsia" w:ascii="Times New Roman" w:hAnsi="Times New Roman" w:eastAsia="华文宋体"/>
        </w:rPr>
        <w:t>郭飞.</w:t>
      </w:r>
      <w:r>
        <w:rPr>
          <w:rFonts w:ascii="Times New Roman" w:hAnsi="Times New Roman" w:eastAsia="华文宋体"/>
        </w:rPr>
        <w:t xml:space="preserve"> </w:t>
      </w:r>
      <w:r>
        <w:rPr>
          <w:rFonts w:hint="eastAsia" w:ascii="Times New Roman" w:hAnsi="Times New Roman" w:eastAsia="华文宋体"/>
        </w:rPr>
        <w:t>人民币国际化背景下跨境人民币直贷融资研究:</w:t>
      </w:r>
      <w:r>
        <w:rPr>
          <w:rFonts w:ascii="Times New Roman" w:hAnsi="Times New Roman" w:eastAsia="华文宋体"/>
        </w:rPr>
        <w:t xml:space="preserve"> </w:t>
      </w:r>
      <w:r>
        <w:rPr>
          <w:rFonts w:hint="eastAsia" w:ascii="Times New Roman" w:hAnsi="Times New Roman" w:eastAsia="华文宋体"/>
        </w:rPr>
        <w:t>以H电力设计院为例[J].</w:t>
      </w:r>
      <w:r>
        <w:rPr>
          <w:rFonts w:ascii="Times New Roman" w:hAnsi="Times New Roman" w:eastAsia="华文宋体"/>
        </w:rPr>
        <w:t xml:space="preserve"> </w:t>
      </w:r>
      <w:r>
        <w:rPr>
          <w:rFonts w:hint="eastAsia" w:ascii="Times New Roman" w:hAnsi="Times New Roman" w:eastAsia="华文宋体"/>
        </w:rPr>
        <w:t>财务管理研究,</w:t>
      </w:r>
      <w:r>
        <w:rPr>
          <w:rFonts w:ascii="Times New Roman" w:hAnsi="Times New Roman" w:eastAsia="华文宋体"/>
        </w:rPr>
        <w:t xml:space="preserve"> 2023(01):6-13. [12] </w:t>
      </w:r>
      <w:r>
        <w:rPr>
          <w:rFonts w:hint="eastAsia" w:ascii="Times New Roman" w:hAnsi="Times New Roman" w:eastAsia="华文宋体"/>
        </w:rPr>
        <w:t>王叙果,</w:t>
      </w:r>
      <w:r>
        <w:rPr>
          <w:rFonts w:ascii="Times New Roman" w:hAnsi="Times New Roman" w:eastAsia="华文宋体"/>
        </w:rPr>
        <w:t xml:space="preserve"> </w:t>
      </w:r>
      <w:r>
        <w:rPr>
          <w:rFonts w:hint="eastAsia" w:ascii="Times New Roman" w:hAnsi="Times New Roman" w:eastAsia="华文宋体"/>
        </w:rPr>
        <w:t>郑蕾.</w:t>
      </w:r>
      <w:r>
        <w:rPr>
          <w:rFonts w:ascii="Times New Roman" w:hAnsi="Times New Roman" w:eastAsia="华文宋体"/>
        </w:rPr>
        <w:t xml:space="preserve"> </w:t>
      </w:r>
      <w:r>
        <w:rPr>
          <w:rFonts w:hint="eastAsia" w:ascii="Times New Roman" w:hAnsi="Times New Roman" w:eastAsia="华文宋体"/>
        </w:rPr>
        <w:t>地方政府外债风险与审计治理[J].</w:t>
      </w:r>
      <w:r>
        <w:rPr>
          <w:rFonts w:ascii="Times New Roman" w:hAnsi="Times New Roman" w:eastAsia="华文宋体"/>
        </w:rPr>
        <w:t xml:space="preserve"> </w:t>
      </w:r>
      <w:r>
        <w:rPr>
          <w:rFonts w:hint="eastAsia" w:ascii="Times New Roman" w:hAnsi="Times New Roman" w:eastAsia="华文宋体"/>
        </w:rPr>
        <w:t>审计研究,</w:t>
      </w:r>
      <w:r>
        <w:rPr>
          <w:rFonts w:ascii="Times New Roman" w:hAnsi="Times New Roman" w:eastAsia="华文宋体"/>
        </w:rPr>
        <w:t xml:space="preserve"> 2023(04):89-97. [13] </w:t>
      </w:r>
      <w:r>
        <w:rPr>
          <w:rFonts w:hint="eastAsia" w:ascii="Times New Roman" w:hAnsi="Times New Roman" w:eastAsia="华文宋体"/>
        </w:rPr>
        <w:t>亓宁.</w:t>
      </w:r>
      <w:r>
        <w:rPr>
          <w:rFonts w:ascii="Times New Roman" w:hAnsi="Times New Roman" w:eastAsia="华文宋体"/>
        </w:rPr>
        <w:t xml:space="preserve"> </w:t>
      </w:r>
      <w:r>
        <w:rPr>
          <w:rFonts w:hint="eastAsia" w:ascii="Times New Roman" w:hAnsi="Times New Roman" w:eastAsia="华文宋体"/>
        </w:rPr>
        <w:t>民营房企美元债重组潮与信用修复路径[J].</w:t>
      </w:r>
      <w:r>
        <w:rPr>
          <w:rFonts w:ascii="Times New Roman" w:hAnsi="Times New Roman" w:eastAsia="华文宋体"/>
        </w:rPr>
        <w:t xml:space="preserve"> </w:t>
      </w:r>
      <w:r>
        <w:rPr>
          <w:rFonts w:hint="eastAsia" w:ascii="Times New Roman" w:hAnsi="Times New Roman" w:eastAsia="华文宋体"/>
        </w:rPr>
        <w:t>债券,</w:t>
      </w:r>
      <w:r>
        <w:rPr>
          <w:rFonts w:ascii="Times New Roman" w:hAnsi="Times New Roman" w:eastAsia="华文宋体"/>
        </w:rPr>
        <w:t xml:space="preserve"> 2023(08):52-58. [14] </w:t>
      </w:r>
      <w:r>
        <w:rPr>
          <w:rFonts w:hint="eastAsia" w:ascii="Times New Roman" w:hAnsi="Times New Roman" w:eastAsia="华文宋体"/>
        </w:rPr>
        <w:t>王大贤.</w:t>
      </w:r>
      <w:r>
        <w:rPr>
          <w:rFonts w:ascii="Times New Roman" w:hAnsi="Times New Roman" w:eastAsia="华文宋体"/>
        </w:rPr>
        <w:t xml:space="preserve"> </w:t>
      </w:r>
      <w:r>
        <w:rPr>
          <w:rFonts w:hint="eastAsia" w:ascii="Times New Roman" w:hAnsi="Times New Roman" w:eastAsia="华文宋体"/>
        </w:rPr>
        <w:t>海外债市场重启背景下中资企业融资逻辑再审视[J].</w:t>
      </w:r>
      <w:r>
        <w:rPr>
          <w:rFonts w:ascii="Times New Roman" w:hAnsi="Times New Roman" w:eastAsia="华文宋体"/>
        </w:rPr>
        <w:t xml:space="preserve"> </w:t>
      </w:r>
      <w:r>
        <w:rPr>
          <w:rFonts w:hint="eastAsia" w:ascii="Times New Roman" w:hAnsi="Times New Roman" w:eastAsia="华文宋体"/>
        </w:rPr>
        <w:t>新理财,</w:t>
      </w:r>
      <w:r>
        <w:rPr>
          <w:rFonts w:ascii="Times New Roman" w:hAnsi="Times New Roman" w:eastAsia="华文宋体"/>
        </w:rPr>
        <w:t xml:space="preserve"> 2023(11):28-33. [15] </w:t>
      </w:r>
      <w:r>
        <w:rPr>
          <w:rFonts w:hint="eastAsia" w:ascii="Times New Roman" w:hAnsi="Times New Roman" w:eastAsia="华文宋体"/>
        </w:rPr>
        <w:t>张弛.</w:t>
      </w:r>
      <w:r>
        <w:rPr>
          <w:rFonts w:ascii="Times New Roman" w:hAnsi="Times New Roman" w:eastAsia="华文宋体"/>
        </w:rPr>
        <w:t xml:space="preserve"> </w:t>
      </w:r>
      <w:r>
        <w:rPr>
          <w:rFonts w:hint="eastAsia" w:ascii="Times New Roman" w:hAnsi="Times New Roman" w:eastAsia="华文宋体"/>
        </w:rPr>
        <w:t>城投企业境外发债风险管理[J].</w:t>
      </w:r>
      <w:r>
        <w:rPr>
          <w:rFonts w:ascii="Times New Roman" w:hAnsi="Times New Roman" w:eastAsia="华文宋体"/>
        </w:rPr>
        <w:t xml:space="preserve"> </w:t>
      </w:r>
      <w:r>
        <w:rPr>
          <w:rFonts w:hint="eastAsia" w:ascii="Times New Roman" w:hAnsi="Times New Roman" w:eastAsia="华文宋体"/>
        </w:rPr>
        <w:t>青海金融,</w:t>
      </w:r>
      <w:r>
        <w:rPr>
          <w:rFonts w:ascii="Times New Roman" w:hAnsi="Times New Roman" w:eastAsia="华文宋体"/>
        </w:rPr>
        <w:t xml:space="preserve"> 2022(09):46-52. [16] </w:t>
      </w:r>
      <w:r>
        <w:rPr>
          <w:rFonts w:hint="eastAsia" w:ascii="Times New Roman" w:hAnsi="Times New Roman" w:eastAsia="华文宋体"/>
        </w:rPr>
        <w:t>黄校徽.</w:t>
      </w:r>
      <w:r>
        <w:rPr>
          <w:rFonts w:ascii="Times New Roman" w:hAnsi="Times New Roman" w:eastAsia="华文宋体"/>
        </w:rPr>
        <w:t xml:space="preserve"> </w:t>
      </w:r>
      <w:r>
        <w:rPr>
          <w:rFonts w:hint="eastAsia" w:ascii="Times New Roman" w:hAnsi="Times New Roman" w:eastAsia="华文宋体"/>
        </w:rPr>
        <w:t>国有企业境外融资汇率风险管理研究[J].</w:t>
      </w:r>
      <w:r>
        <w:rPr>
          <w:rFonts w:ascii="Times New Roman" w:hAnsi="Times New Roman" w:eastAsia="华文宋体"/>
        </w:rPr>
        <w:t xml:space="preserve"> </w:t>
      </w:r>
      <w:r>
        <w:rPr>
          <w:rFonts w:hint="eastAsia" w:ascii="Times New Roman" w:hAnsi="Times New Roman" w:eastAsia="华文宋体"/>
        </w:rPr>
        <w:t>现代营销(下旬刊),</w:t>
      </w:r>
      <w:r>
        <w:rPr>
          <w:rFonts w:ascii="Times New Roman" w:hAnsi="Times New Roman" w:eastAsia="华文宋体"/>
        </w:rPr>
        <w:t xml:space="preserve"> 2022(08):96-98. [17] </w:t>
      </w:r>
      <w:r>
        <w:rPr>
          <w:rFonts w:hint="eastAsia" w:ascii="Times New Roman" w:hAnsi="Times New Roman" w:eastAsia="华文宋体"/>
        </w:rPr>
        <w:t>何迎新,</w:t>
      </w:r>
      <w:r>
        <w:rPr>
          <w:rFonts w:ascii="Times New Roman" w:hAnsi="Times New Roman" w:eastAsia="华文宋体"/>
        </w:rPr>
        <w:t xml:space="preserve"> </w:t>
      </w:r>
      <w:r>
        <w:rPr>
          <w:rFonts w:hint="eastAsia" w:ascii="Times New Roman" w:hAnsi="Times New Roman" w:eastAsia="华文宋体"/>
        </w:rPr>
        <w:t>黄颖.</w:t>
      </w:r>
      <w:r>
        <w:rPr>
          <w:rFonts w:ascii="Times New Roman" w:hAnsi="Times New Roman" w:eastAsia="华文宋体"/>
        </w:rPr>
        <w:t xml:space="preserve"> </w:t>
      </w:r>
      <w:r>
        <w:rPr>
          <w:rFonts w:hint="eastAsia" w:ascii="Times New Roman" w:hAnsi="Times New Roman" w:eastAsia="华文宋体"/>
        </w:rPr>
        <w:t>境内外外债宏观审慎管理比较研究[J].</w:t>
      </w:r>
      <w:r>
        <w:rPr>
          <w:rFonts w:ascii="Times New Roman" w:hAnsi="Times New Roman" w:eastAsia="华文宋体"/>
        </w:rPr>
        <w:t xml:space="preserve"> </w:t>
      </w:r>
      <w:r>
        <w:rPr>
          <w:rFonts w:hint="eastAsia" w:ascii="Times New Roman" w:hAnsi="Times New Roman" w:eastAsia="华文宋体"/>
        </w:rPr>
        <w:t>开发性金融研究,</w:t>
      </w:r>
      <w:r>
        <w:rPr>
          <w:rFonts w:ascii="Times New Roman" w:hAnsi="Times New Roman" w:eastAsia="华文宋体"/>
        </w:rPr>
        <w:t xml:space="preserve"> 2022(02):34-42. [18] </w:t>
      </w:r>
      <w:r>
        <w:rPr>
          <w:rFonts w:hint="eastAsia" w:ascii="Times New Roman" w:hAnsi="Times New Roman" w:eastAsia="华文宋体"/>
        </w:rPr>
        <w:t>金震州.</w:t>
      </w:r>
      <w:r>
        <w:rPr>
          <w:rFonts w:ascii="Times New Roman" w:hAnsi="Times New Roman" w:eastAsia="华文宋体"/>
        </w:rPr>
        <w:t xml:space="preserve"> </w:t>
      </w:r>
      <w:r>
        <w:rPr>
          <w:rFonts w:hint="eastAsia" w:ascii="Times New Roman" w:hAnsi="Times New Roman" w:eastAsia="华文宋体"/>
        </w:rPr>
        <w:t>开拓企业资金新来源降低融资成本新举措:</w:t>
      </w:r>
      <w:r>
        <w:rPr>
          <w:rFonts w:ascii="Times New Roman" w:hAnsi="Times New Roman" w:eastAsia="华文宋体"/>
        </w:rPr>
        <w:t xml:space="preserve"> </w:t>
      </w:r>
      <w:r>
        <w:rPr>
          <w:rFonts w:hint="eastAsia" w:ascii="Times New Roman" w:hAnsi="Times New Roman" w:eastAsia="华文宋体"/>
        </w:rPr>
        <w:t>企业实施中资外债融资产品之我见[J].</w:t>
      </w:r>
      <w:r>
        <w:rPr>
          <w:rFonts w:ascii="Times New Roman" w:hAnsi="Times New Roman" w:eastAsia="华文宋体"/>
        </w:rPr>
        <w:t xml:space="preserve"> </w:t>
      </w:r>
      <w:r>
        <w:rPr>
          <w:rFonts w:hint="eastAsia" w:ascii="Times New Roman" w:hAnsi="Times New Roman" w:eastAsia="华文宋体"/>
        </w:rPr>
        <w:t>财经界,</w:t>
      </w:r>
      <w:r>
        <w:rPr>
          <w:rFonts w:ascii="Times New Roman" w:hAnsi="Times New Roman" w:eastAsia="华文宋体"/>
        </w:rPr>
        <w:t xml:space="preserve"> 2022(11):32-34. [19] </w:t>
      </w:r>
      <w:r>
        <w:rPr>
          <w:rFonts w:hint="eastAsia" w:ascii="Times New Roman" w:hAnsi="Times New Roman" w:eastAsia="华文宋体"/>
        </w:rPr>
        <w:t>胡鹏.</w:t>
      </w:r>
      <w:r>
        <w:rPr>
          <w:rFonts w:ascii="Times New Roman" w:hAnsi="Times New Roman" w:eastAsia="华文宋体"/>
        </w:rPr>
        <w:t xml:space="preserve"> </w:t>
      </w:r>
      <w:r>
        <w:rPr>
          <w:rFonts w:hint="eastAsia" w:ascii="Times New Roman" w:hAnsi="Times New Roman" w:eastAsia="华文宋体"/>
        </w:rPr>
        <w:t>影响中资企业海外美元债发行成本的因素研究[D].</w:t>
      </w:r>
      <w:r>
        <w:rPr>
          <w:rFonts w:ascii="Times New Roman" w:hAnsi="Times New Roman" w:eastAsia="华文宋体"/>
        </w:rPr>
        <w:t xml:space="preserve"> </w:t>
      </w:r>
      <w:r>
        <w:rPr>
          <w:rFonts w:hint="eastAsia" w:ascii="Times New Roman" w:hAnsi="Times New Roman" w:eastAsia="华文宋体"/>
        </w:rPr>
        <w:t>昆明:</w:t>
      </w:r>
      <w:r>
        <w:rPr>
          <w:rFonts w:ascii="Times New Roman" w:hAnsi="Times New Roman" w:eastAsia="华文宋体"/>
        </w:rPr>
        <w:t xml:space="preserve"> </w:t>
      </w:r>
      <w:r>
        <w:rPr>
          <w:rFonts w:hint="eastAsia" w:ascii="Times New Roman" w:hAnsi="Times New Roman" w:eastAsia="华文宋体"/>
        </w:rPr>
        <w:t>云南财经大学,</w:t>
      </w:r>
      <w:r>
        <w:rPr>
          <w:rFonts w:ascii="Times New Roman" w:hAnsi="Times New Roman" w:eastAsia="华文宋体"/>
        </w:rPr>
        <w:t xml:space="preserve"> 2022. [20] </w:t>
      </w:r>
      <w:r>
        <w:rPr>
          <w:rFonts w:hint="eastAsia" w:ascii="Times New Roman" w:hAnsi="Times New Roman" w:eastAsia="华文宋体"/>
        </w:rPr>
        <w:t>代盛,</w:t>
      </w:r>
      <w:r>
        <w:rPr>
          <w:rFonts w:ascii="Times New Roman" w:hAnsi="Times New Roman" w:eastAsia="华文宋体"/>
        </w:rPr>
        <w:t xml:space="preserve"> </w:t>
      </w:r>
      <w:r>
        <w:rPr>
          <w:rFonts w:hint="eastAsia" w:ascii="Times New Roman" w:hAnsi="Times New Roman" w:eastAsia="华文宋体"/>
        </w:rPr>
        <w:t>万翥来.</w:t>
      </w:r>
      <w:r>
        <w:rPr>
          <w:rFonts w:ascii="Times New Roman" w:hAnsi="Times New Roman" w:eastAsia="华文宋体"/>
        </w:rPr>
        <w:t xml:space="preserve"> </w:t>
      </w:r>
      <w:r>
        <w:rPr>
          <w:rFonts w:hint="eastAsia" w:ascii="Times New Roman" w:hAnsi="Times New Roman" w:eastAsia="华文宋体"/>
        </w:rPr>
        <w:t>中美贸易摩擦与我国企业外债融资成本[J].</w:t>
      </w:r>
      <w:r>
        <w:rPr>
          <w:rFonts w:ascii="Times New Roman" w:hAnsi="Times New Roman" w:eastAsia="华文宋体"/>
        </w:rPr>
        <w:t xml:space="preserve"> </w:t>
      </w:r>
      <w:r>
        <w:rPr>
          <w:rFonts w:hint="eastAsia" w:ascii="Times New Roman" w:hAnsi="Times New Roman" w:eastAsia="华文宋体"/>
        </w:rPr>
        <w:t>科学决策,</w:t>
      </w:r>
      <w:r>
        <w:rPr>
          <w:rFonts w:ascii="Times New Roman" w:hAnsi="Times New Roman" w:eastAsia="华文宋体"/>
        </w:rPr>
        <w:t xml:space="preserve"> 2022(03):89-100. [21] </w:t>
      </w:r>
      <w:r>
        <w:rPr>
          <w:rFonts w:hint="eastAsia" w:ascii="Times New Roman" w:hAnsi="Times New Roman" w:eastAsia="华文宋体"/>
        </w:rPr>
        <w:t>田野.</w:t>
      </w:r>
      <w:r>
        <w:rPr>
          <w:rFonts w:ascii="Times New Roman" w:hAnsi="Times New Roman" w:eastAsia="华文宋体"/>
        </w:rPr>
        <w:t xml:space="preserve"> </w:t>
      </w:r>
      <w:r>
        <w:rPr>
          <w:rFonts w:hint="eastAsia" w:ascii="Times New Roman" w:hAnsi="Times New Roman" w:eastAsia="华文宋体"/>
        </w:rPr>
        <w:t>债券融资殊异:</w:t>
      </w:r>
      <w:r>
        <w:rPr>
          <w:rFonts w:ascii="Times New Roman" w:hAnsi="Times New Roman" w:eastAsia="华文宋体"/>
        </w:rPr>
        <w:t xml:space="preserve"> </w:t>
      </w:r>
      <w:r>
        <w:rPr>
          <w:rFonts w:hint="eastAsia" w:ascii="Times New Roman" w:hAnsi="Times New Roman" w:eastAsia="华文宋体"/>
        </w:rPr>
        <w:t>石油央企境外美元债券比较分析[J].</w:t>
      </w:r>
      <w:r>
        <w:rPr>
          <w:rFonts w:ascii="Times New Roman" w:hAnsi="Times New Roman" w:eastAsia="华文宋体"/>
        </w:rPr>
        <w:t xml:space="preserve"> </w:t>
      </w:r>
      <w:r>
        <w:rPr>
          <w:rFonts w:hint="eastAsia" w:ascii="Times New Roman" w:hAnsi="Times New Roman" w:eastAsia="华文宋体"/>
        </w:rPr>
        <w:t>中国石油企业,</w:t>
      </w:r>
      <w:r>
        <w:rPr>
          <w:rFonts w:ascii="Times New Roman" w:hAnsi="Times New Roman" w:eastAsia="华文宋体"/>
        </w:rPr>
        <w:t xml:space="preserve"> 2022(Z1):145-147,155. [22] </w:t>
      </w:r>
      <w:r>
        <w:rPr>
          <w:rFonts w:hint="eastAsia" w:ascii="Times New Roman" w:hAnsi="Times New Roman" w:eastAsia="华文宋体"/>
        </w:rPr>
        <w:t>贾秀彦.</w:t>
      </w:r>
      <w:r>
        <w:rPr>
          <w:rFonts w:ascii="Times New Roman" w:hAnsi="Times New Roman" w:eastAsia="华文宋体"/>
        </w:rPr>
        <w:t xml:space="preserve"> </w:t>
      </w:r>
      <w:r>
        <w:rPr>
          <w:rFonts w:hint="eastAsia" w:ascii="Times New Roman" w:hAnsi="Times New Roman" w:eastAsia="华文宋体"/>
        </w:rPr>
        <w:t>资本市场开放的债务风险治理效应研究[D].</w:t>
      </w:r>
      <w:r>
        <w:rPr>
          <w:rFonts w:ascii="Times New Roman" w:hAnsi="Times New Roman" w:eastAsia="华文宋体"/>
        </w:rPr>
        <w:t xml:space="preserve"> </w:t>
      </w:r>
      <w:r>
        <w:rPr>
          <w:rFonts w:hint="eastAsia" w:ascii="Times New Roman" w:hAnsi="Times New Roman" w:eastAsia="华文宋体"/>
        </w:rPr>
        <w:t>成都:</w:t>
      </w:r>
      <w:r>
        <w:rPr>
          <w:rFonts w:ascii="Times New Roman" w:hAnsi="Times New Roman" w:eastAsia="华文宋体"/>
        </w:rPr>
        <w:t xml:space="preserve"> </w:t>
      </w:r>
      <w:r>
        <w:rPr>
          <w:rFonts w:hint="eastAsia" w:ascii="Times New Roman" w:hAnsi="Times New Roman" w:eastAsia="华文宋体"/>
        </w:rPr>
        <w:t>西南财经大学,</w:t>
      </w:r>
      <w:r>
        <w:rPr>
          <w:rFonts w:ascii="Times New Roman" w:hAnsi="Times New Roman" w:eastAsia="华文宋体"/>
        </w:rPr>
        <w:t xml:space="preserve"> 2022. [23] </w:t>
      </w:r>
      <w:r>
        <w:rPr>
          <w:rFonts w:hint="eastAsia" w:ascii="Times New Roman" w:hAnsi="Times New Roman" w:eastAsia="华文宋体"/>
        </w:rPr>
        <w:t>孙田.</w:t>
      </w:r>
      <w:r>
        <w:rPr>
          <w:rFonts w:ascii="Times New Roman" w:hAnsi="Times New Roman" w:eastAsia="华文宋体"/>
        </w:rPr>
        <w:t xml:space="preserve"> </w:t>
      </w:r>
      <w:r>
        <w:rPr>
          <w:rFonts w:hint="eastAsia" w:ascii="Times New Roman" w:hAnsi="Times New Roman" w:eastAsia="华文宋体"/>
        </w:rPr>
        <w:t>北京市轨道交通境外融资模式探索与创新[J].</w:t>
      </w:r>
      <w:r>
        <w:rPr>
          <w:rFonts w:ascii="Times New Roman" w:hAnsi="Times New Roman" w:eastAsia="华文宋体"/>
        </w:rPr>
        <w:t xml:space="preserve"> </w:t>
      </w:r>
      <w:r>
        <w:rPr>
          <w:rFonts w:hint="eastAsia" w:ascii="Times New Roman" w:hAnsi="Times New Roman" w:eastAsia="华文宋体"/>
        </w:rPr>
        <w:t>工程经济,</w:t>
      </w:r>
      <w:r>
        <w:rPr>
          <w:rFonts w:ascii="Times New Roman" w:hAnsi="Times New Roman" w:eastAsia="华文宋体"/>
        </w:rPr>
        <w:t xml:space="preserve"> 2022,32(03):39-45. [24] </w:t>
      </w:r>
      <w:r>
        <w:rPr>
          <w:rFonts w:hint="eastAsia" w:ascii="Times New Roman" w:hAnsi="Times New Roman" w:eastAsia="华文宋体"/>
        </w:rPr>
        <w:t>灵果.</w:t>
      </w:r>
      <w:r>
        <w:rPr>
          <w:rFonts w:ascii="Times New Roman" w:hAnsi="Times New Roman" w:eastAsia="华文宋体"/>
        </w:rPr>
        <w:t xml:space="preserve"> </w:t>
      </w:r>
      <w:r>
        <w:rPr>
          <w:rFonts w:hint="eastAsia" w:ascii="Times New Roman" w:hAnsi="Times New Roman" w:eastAsia="华文宋体"/>
        </w:rPr>
        <w:t>宏观审慎政策框架下企业跨境融资路径与效果研究[J].</w:t>
      </w:r>
      <w:r>
        <w:rPr>
          <w:rFonts w:ascii="Times New Roman" w:hAnsi="Times New Roman" w:eastAsia="华文宋体"/>
        </w:rPr>
        <w:t xml:space="preserve"> </w:t>
      </w:r>
      <w:r>
        <w:rPr>
          <w:rFonts w:hint="eastAsia" w:ascii="Times New Roman" w:hAnsi="Times New Roman" w:eastAsia="华文宋体"/>
        </w:rPr>
        <w:t>北方金融,</w:t>
      </w:r>
      <w:r>
        <w:rPr>
          <w:rFonts w:ascii="Times New Roman" w:hAnsi="Times New Roman" w:eastAsia="华文宋体"/>
        </w:rPr>
        <w:t xml:space="preserve"> 2022(01):99-101. [25] </w:t>
      </w:r>
      <w:r>
        <w:rPr>
          <w:rFonts w:hint="eastAsia" w:ascii="Times New Roman" w:hAnsi="Times New Roman" w:eastAsia="华文宋体"/>
        </w:rPr>
        <w:t>李治国.</w:t>
      </w:r>
      <w:r>
        <w:rPr>
          <w:rFonts w:ascii="Times New Roman" w:hAnsi="Times New Roman" w:eastAsia="华文宋体"/>
        </w:rPr>
        <w:t xml:space="preserve"> </w:t>
      </w:r>
      <w:r>
        <w:rPr>
          <w:rFonts w:hint="eastAsia" w:ascii="Times New Roman" w:hAnsi="Times New Roman" w:eastAsia="华文宋体"/>
        </w:rPr>
        <w:t>新国际形势下境外项目融资的坚持和突破[J].</w:t>
      </w:r>
      <w:r>
        <w:rPr>
          <w:rFonts w:ascii="Times New Roman" w:hAnsi="Times New Roman" w:eastAsia="华文宋体"/>
        </w:rPr>
        <w:t xml:space="preserve"> </w:t>
      </w:r>
      <w:r>
        <w:rPr>
          <w:rFonts w:hint="eastAsia" w:ascii="Times New Roman" w:hAnsi="Times New Roman" w:eastAsia="华文宋体"/>
        </w:rPr>
        <w:t>国际工程与劳务,</w:t>
      </w:r>
      <w:r>
        <w:rPr>
          <w:rFonts w:ascii="Times New Roman" w:hAnsi="Times New Roman" w:eastAsia="华文宋体"/>
        </w:rPr>
        <w:t xml:space="preserve"> 2022(08):33-35. [26] </w:t>
      </w:r>
      <w:r>
        <w:rPr>
          <w:rFonts w:hint="eastAsia" w:ascii="Times New Roman" w:hAnsi="Times New Roman" w:eastAsia="华文宋体"/>
        </w:rPr>
        <w:t>闫宗锋,</w:t>
      </w:r>
      <w:r>
        <w:rPr>
          <w:rFonts w:ascii="Times New Roman" w:hAnsi="Times New Roman" w:eastAsia="华文宋体"/>
        </w:rPr>
        <w:t xml:space="preserve"> </w:t>
      </w:r>
      <w:r>
        <w:rPr>
          <w:rFonts w:hint="eastAsia" w:ascii="Times New Roman" w:hAnsi="Times New Roman" w:eastAsia="华文宋体"/>
        </w:rPr>
        <w:t>朱建蓉.</w:t>
      </w:r>
      <w:r>
        <w:rPr>
          <w:rFonts w:ascii="Times New Roman" w:hAnsi="Times New Roman" w:eastAsia="华文宋体"/>
        </w:rPr>
        <w:t xml:space="preserve"> </w:t>
      </w:r>
      <w:r>
        <w:rPr>
          <w:rFonts w:hint="eastAsia" w:ascii="Times New Roman" w:hAnsi="Times New Roman" w:eastAsia="华文宋体"/>
        </w:rPr>
        <w:t>境外有限追索内保外贷融资及担保实践[J].</w:t>
      </w:r>
      <w:r>
        <w:rPr>
          <w:rFonts w:ascii="Times New Roman" w:hAnsi="Times New Roman" w:eastAsia="华文宋体"/>
        </w:rPr>
        <w:t xml:space="preserve"> </w:t>
      </w:r>
      <w:r>
        <w:rPr>
          <w:rFonts w:hint="eastAsia" w:ascii="Times New Roman" w:hAnsi="Times New Roman" w:eastAsia="华文宋体"/>
        </w:rPr>
        <w:t>国际工程与劳务,</w:t>
      </w:r>
      <w:r>
        <w:rPr>
          <w:rFonts w:ascii="Times New Roman" w:hAnsi="Times New Roman" w:eastAsia="华文宋体"/>
        </w:rPr>
        <w:t xml:space="preserve"> 2022(08):56-58. [27] </w:t>
      </w:r>
      <w:r>
        <w:rPr>
          <w:rFonts w:hint="eastAsia" w:ascii="Times New Roman" w:hAnsi="Times New Roman" w:eastAsia="华文宋体"/>
        </w:rPr>
        <w:t>王叙果,</w:t>
      </w:r>
      <w:r>
        <w:rPr>
          <w:rFonts w:ascii="Times New Roman" w:hAnsi="Times New Roman" w:eastAsia="华文宋体"/>
        </w:rPr>
        <w:t xml:space="preserve"> </w:t>
      </w:r>
      <w:r>
        <w:rPr>
          <w:rFonts w:hint="eastAsia" w:ascii="Times New Roman" w:hAnsi="Times New Roman" w:eastAsia="华文宋体"/>
        </w:rPr>
        <w:t>何暑子,</w:t>
      </w:r>
      <w:r>
        <w:rPr>
          <w:rFonts w:ascii="Times New Roman" w:hAnsi="Times New Roman" w:eastAsia="华文宋体"/>
        </w:rPr>
        <w:t xml:space="preserve"> </w:t>
      </w:r>
      <w:r>
        <w:rPr>
          <w:rFonts w:hint="eastAsia" w:ascii="Times New Roman" w:hAnsi="Times New Roman" w:eastAsia="华文宋体"/>
        </w:rPr>
        <w:t>隋学深.</w:t>
      </w:r>
      <w:r>
        <w:rPr>
          <w:rFonts w:ascii="Times New Roman" w:hAnsi="Times New Roman" w:eastAsia="华文宋体"/>
        </w:rPr>
        <w:t xml:space="preserve"> </w:t>
      </w:r>
      <w:r>
        <w:rPr>
          <w:rFonts w:hint="eastAsia" w:ascii="Times New Roman" w:hAnsi="Times New Roman" w:eastAsia="华文宋体"/>
        </w:rPr>
        <w:t>我国外债风险形成的管理体制原因及审计监督研究[J].</w:t>
      </w:r>
      <w:r>
        <w:rPr>
          <w:rFonts w:ascii="Times New Roman" w:hAnsi="Times New Roman" w:eastAsia="华文宋体"/>
        </w:rPr>
        <w:t xml:space="preserve"> </w:t>
      </w:r>
      <w:r>
        <w:rPr>
          <w:rFonts w:hint="eastAsia" w:ascii="Times New Roman" w:hAnsi="Times New Roman" w:eastAsia="华文宋体"/>
        </w:rPr>
        <w:t>中国审计评论,</w:t>
      </w:r>
      <w:r>
        <w:rPr>
          <w:rFonts w:ascii="Times New Roman" w:hAnsi="Times New Roman" w:eastAsia="华文宋体"/>
        </w:rPr>
        <w:t xml:space="preserve"> 2021(02):33-43. [28] </w:t>
      </w:r>
      <w:r>
        <w:rPr>
          <w:rFonts w:hint="eastAsia" w:ascii="Times New Roman" w:hAnsi="Times New Roman" w:eastAsia="华文宋体"/>
        </w:rPr>
        <w:t>李晓曦.</w:t>
      </w:r>
      <w:r>
        <w:rPr>
          <w:rFonts w:ascii="Times New Roman" w:hAnsi="Times New Roman" w:eastAsia="华文宋体"/>
        </w:rPr>
        <w:t xml:space="preserve"> </w:t>
      </w:r>
      <w:r>
        <w:rPr>
          <w:rFonts w:hint="eastAsia" w:ascii="Times New Roman" w:hAnsi="Times New Roman" w:eastAsia="华文宋体"/>
        </w:rPr>
        <w:t>非金融企业部门外债变化趋势[J].</w:t>
      </w:r>
      <w:r>
        <w:rPr>
          <w:rFonts w:ascii="Times New Roman" w:hAnsi="Times New Roman" w:eastAsia="华文宋体"/>
        </w:rPr>
        <w:t xml:space="preserve"> </w:t>
      </w:r>
      <w:r>
        <w:rPr>
          <w:rFonts w:hint="eastAsia" w:ascii="Times New Roman" w:hAnsi="Times New Roman" w:eastAsia="华文宋体"/>
        </w:rPr>
        <w:t>新经济,</w:t>
      </w:r>
      <w:r>
        <w:rPr>
          <w:rFonts w:ascii="Times New Roman" w:hAnsi="Times New Roman" w:eastAsia="华文宋体"/>
        </w:rPr>
        <w:t xml:space="preserve"> 2021(05):60-64. [29] </w:t>
      </w:r>
      <w:r>
        <w:rPr>
          <w:rFonts w:hint="eastAsia" w:ascii="Times New Roman" w:hAnsi="Times New Roman" w:eastAsia="华文宋体"/>
        </w:rPr>
        <w:t>李锦涵.</w:t>
      </w:r>
      <w:r>
        <w:rPr>
          <w:rFonts w:ascii="Times New Roman" w:hAnsi="Times New Roman" w:eastAsia="华文宋体"/>
        </w:rPr>
        <w:t xml:space="preserve"> </w:t>
      </w:r>
      <w:r>
        <w:rPr>
          <w:rFonts w:hint="eastAsia" w:ascii="Times New Roman" w:hAnsi="Times New Roman" w:eastAsia="华文宋体"/>
        </w:rPr>
        <w:t>资本项目跨境交易本外币政策比较:</w:t>
      </w:r>
      <w:r>
        <w:rPr>
          <w:rFonts w:ascii="Times New Roman" w:hAnsi="Times New Roman" w:eastAsia="华文宋体"/>
        </w:rPr>
        <w:t xml:space="preserve"> </w:t>
      </w:r>
      <w:r>
        <w:rPr>
          <w:rFonts w:hint="eastAsia" w:ascii="Times New Roman" w:hAnsi="Times New Roman" w:eastAsia="华文宋体"/>
        </w:rPr>
        <w:t>基于银发〔2020〕330号文实施前后的对比分析[J].</w:t>
      </w:r>
      <w:r>
        <w:rPr>
          <w:rFonts w:ascii="Times New Roman" w:hAnsi="Times New Roman" w:eastAsia="华文宋体"/>
        </w:rPr>
        <w:t xml:space="preserve"> </w:t>
      </w:r>
      <w:r>
        <w:rPr>
          <w:rFonts w:hint="eastAsia" w:ascii="Times New Roman" w:hAnsi="Times New Roman" w:eastAsia="华文宋体"/>
        </w:rPr>
        <w:t>中国外资,</w:t>
      </w:r>
      <w:r>
        <w:rPr>
          <w:rFonts w:ascii="Times New Roman" w:hAnsi="Times New Roman" w:eastAsia="华文宋体"/>
        </w:rPr>
        <w:t xml:space="preserve"> 2021(07):72-75. [30] </w:t>
      </w:r>
      <w:r>
        <w:rPr>
          <w:rFonts w:hint="eastAsia" w:ascii="Times New Roman" w:hAnsi="Times New Roman" w:eastAsia="华文宋体"/>
        </w:rPr>
        <w:t>张倩.</w:t>
      </w:r>
      <w:r>
        <w:rPr>
          <w:rFonts w:ascii="Times New Roman" w:hAnsi="Times New Roman" w:eastAsia="华文宋体"/>
        </w:rPr>
        <w:t xml:space="preserve"> </w:t>
      </w:r>
      <w:r>
        <w:rPr>
          <w:rFonts w:hint="eastAsia" w:ascii="Times New Roman" w:hAnsi="Times New Roman" w:eastAsia="华文宋体"/>
        </w:rPr>
        <w:t>广西企业境外发债现状与对策建议[J].</w:t>
      </w:r>
      <w:r>
        <w:rPr>
          <w:rFonts w:ascii="Times New Roman" w:hAnsi="Times New Roman" w:eastAsia="华文宋体"/>
        </w:rPr>
        <w:t xml:space="preserve"> </w:t>
      </w:r>
      <w:r>
        <w:rPr>
          <w:rFonts w:hint="eastAsia" w:ascii="Times New Roman" w:hAnsi="Times New Roman" w:eastAsia="华文宋体"/>
        </w:rPr>
        <w:t>现代营销(下旬刊),</w:t>
      </w:r>
      <w:r>
        <w:rPr>
          <w:rFonts w:ascii="Times New Roman" w:hAnsi="Times New Roman" w:eastAsia="华文宋体"/>
        </w:rPr>
        <w:t xml:space="preserve"> 2021(02):24-25. [31] </w:t>
      </w:r>
      <w:r>
        <w:rPr>
          <w:rFonts w:hint="eastAsia" w:ascii="Times New Roman" w:hAnsi="Times New Roman" w:eastAsia="华文宋体"/>
        </w:rPr>
        <w:t>张国斌.</w:t>
      </w:r>
      <w:r>
        <w:rPr>
          <w:rFonts w:ascii="Times New Roman" w:hAnsi="Times New Roman" w:eastAsia="华文宋体"/>
        </w:rPr>
        <w:t xml:space="preserve"> </w:t>
      </w:r>
      <w:r>
        <w:rPr>
          <w:rFonts w:hint="eastAsia" w:ascii="Times New Roman" w:hAnsi="Times New Roman" w:eastAsia="华文宋体"/>
        </w:rPr>
        <w:t>房地产企业外债融资分析[J].</w:t>
      </w:r>
      <w:r>
        <w:rPr>
          <w:rFonts w:ascii="Times New Roman" w:hAnsi="Times New Roman" w:eastAsia="华文宋体"/>
        </w:rPr>
        <w:t xml:space="preserve"> </w:t>
      </w:r>
      <w:r>
        <w:rPr>
          <w:rFonts w:hint="eastAsia" w:ascii="Times New Roman" w:hAnsi="Times New Roman" w:eastAsia="华文宋体"/>
        </w:rPr>
        <w:t>中国金融,</w:t>
      </w:r>
      <w:r>
        <w:rPr>
          <w:rFonts w:ascii="Times New Roman" w:hAnsi="Times New Roman" w:eastAsia="华文宋体"/>
        </w:rPr>
        <w:t xml:space="preserve"> 2021(03):62-63. [32] </w:t>
      </w:r>
      <w:r>
        <w:rPr>
          <w:rFonts w:hint="eastAsia" w:ascii="Times New Roman" w:hAnsi="Times New Roman" w:eastAsia="华文宋体"/>
        </w:rPr>
        <w:t>田雪彦.</w:t>
      </w:r>
      <w:r>
        <w:rPr>
          <w:rFonts w:ascii="Times New Roman" w:hAnsi="Times New Roman" w:eastAsia="华文宋体"/>
        </w:rPr>
        <w:t xml:space="preserve"> </w:t>
      </w:r>
      <w:r>
        <w:rPr>
          <w:rFonts w:hint="eastAsia" w:ascii="Times New Roman" w:hAnsi="Times New Roman" w:eastAsia="华文宋体"/>
        </w:rPr>
        <w:t>善用外债套期保值会计[J].</w:t>
      </w:r>
      <w:r>
        <w:rPr>
          <w:rFonts w:ascii="Times New Roman" w:hAnsi="Times New Roman" w:eastAsia="华文宋体"/>
        </w:rPr>
        <w:t xml:space="preserve"> </w:t>
      </w:r>
      <w:r>
        <w:rPr>
          <w:rFonts w:hint="eastAsia" w:ascii="Times New Roman" w:hAnsi="Times New Roman" w:eastAsia="华文宋体"/>
        </w:rPr>
        <w:t>中国外汇,</w:t>
      </w:r>
      <w:r>
        <w:rPr>
          <w:rFonts w:ascii="Times New Roman" w:hAnsi="Times New Roman" w:eastAsia="华文宋体"/>
        </w:rPr>
        <w:t xml:space="preserve"> 2021(02):25-27. [33] </w:t>
      </w:r>
      <w:r>
        <w:rPr>
          <w:rFonts w:hint="eastAsia" w:ascii="Times New Roman" w:hAnsi="Times New Roman" w:eastAsia="华文宋体"/>
        </w:rPr>
        <w:t>徐煦人.</w:t>
      </w:r>
      <w:r>
        <w:rPr>
          <w:rFonts w:ascii="Times New Roman" w:hAnsi="Times New Roman" w:eastAsia="华文宋体"/>
        </w:rPr>
        <w:t xml:space="preserve"> </w:t>
      </w:r>
      <w:r>
        <w:rPr>
          <w:rFonts w:hint="eastAsia" w:ascii="Times New Roman" w:hAnsi="Times New Roman" w:eastAsia="华文宋体"/>
        </w:rPr>
        <w:t>出口信用保险在境外项目融资中的价值分析:</w:t>
      </w:r>
      <w:r>
        <w:rPr>
          <w:rFonts w:ascii="Times New Roman" w:hAnsi="Times New Roman" w:eastAsia="华文宋体"/>
        </w:rPr>
        <w:t xml:space="preserve"> </w:t>
      </w:r>
      <w:r>
        <w:rPr>
          <w:rFonts w:hint="eastAsia" w:ascii="Times New Roman" w:hAnsi="Times New Roman" w:eastAsia="华文宋体"/>
        </w:rPr>
        <w:t>以电力项目为例[J].</w:t>
      </w:r>
      <w:r>
        <w:rPr>
          <w:rFonts w:ascii="Times New Roman" w:hAnsi="Times New Roman" w:eastAsia="华文宋体"/>
        </w:rPr>
        <w:t xml:space="preserve"> </w:t>
      </w:r>
      <w:r>
        <w:rPr>
          <w:rFonts w:hint="eastAsia" w:ascii="Times New Roman" w:hAnsi="Times New Roman" w:eastAsia="华文宋体"/>
        </w:rPr>
        <w:t>开发性金融研究,</w:t>
      </w:r>
      <w:r>
        <w:rPr>
          <w:rFonts w:ascii="Times New Roman" w:hAnsi="Times New Roman" w:eastAsia="华文宋体"/>
        </w:rPr>
        <w:t xml:space="preserve"> 2021(06):40-47. [34] </w:t>
      </w:r>
      <w:r>
        <w:rPr>
          <w:rFonts w:hint="eastAsia" w:ascii="Times New Roman" w:hAnsi="Times New Roman" w:eastAsia="华文宋体"/>
        </w:rPr>
        <w:t>傅永双.</w:t>
      </w:r>
      <w:r>
        <w:rPr>
          <w:rFonts w:ascii="Times New Roman" w:hAnsi="Times New Roman" w:eastAsia="华文宋体"/>
        </w:rPr>
        <w:t xml:space="preserve"> </w:t>
      </w:r>
      <w:r>
        <w:rPr>
          <w:rFonts w:hint="eastAsia" w:ascii="Times New Roman" w:hAnsi="Times New Roman" w:eastAsia="华文宋体"/>
        </w:rPr>
        <w:t>中国上市公司举借外币债务的影响因素研究[D].</w:t>
      </w:r>
      <w:r>
        <w:rPr>
          <w:rFonts w:ascii="Times New Roman" w:hAnsi="Times New Roman" w:eastAsia="华文宋体"/>
        </w:rPr>
        <w:t xml:space="preserve"> </w:t>
      </w:r>
      <w:r>
        <w:rPr>
          <w:rFonts w:hint="eastAsia" w:ascii="Times New Roman" w:hAnsi="Times New Roman" w:eastAsia="华文宋体"/>
        </w:rPr>
        <w:t>哈尔滨:</w:t>
      </w:r>
      <w:r>
        <w:rPr>
          <w:rFonts w:ascii="Times New Roman" w:hAnsi="Times New Roman" w:eastAsia="华文宋体"/>
        </w:rPr>
        <w:t xml:space="preserve"> </w:t>
      </w:r>
      <w:r>
        <w:rPr>
          <w:rFonts w:hint="eastAsia" w:ascii="Times New Roman" w:hAnsi="Times New Roman" w:eastAsia="华文宋体"/>
        </w:rPr>
        <w:t>哈尔滨工业大学,</w:t>
      </w:r>
      <w:r>
        <w:rPr>
          <w:rFonts w:ascii="Times New Roman" w:hAnsi="Times New Roman" w:eastAsia="华文宋体"/>
        </w:rPr>
        <w:t xml:space="preserve"> 2021. [35] </w:t>
      </w:r>
      <w:r>
        <w:rPr>
          <w:rFonts w:hint="eastAsia" w:ascii="Times New Roman" w:hAnsi="Times New Roman" w:eastAsia="华文宋体"/>
        </w:rPr>
        <w:t>原盼盼.</w:t>
      </w:r>
      <w:r>
        <w:rPr>
          <w:rFonts w:ascii="Times New Roman" w:hAnsi="Times New Roman" w:eastAsia="华文宋体"/>
        </w:rPr>
        <w:t xml:space="preserve"> </w:t>
      </w:r>
      <w:r>
        <w:rPr>
          <w:rFonts w:hint="eastAsia" w:ascii="Times New Roman" w:hAnsi="Times New Roman" w:eastAsia="华文宋体"/>
        </w:rPr>
        <w:t>公司外币债务融资研究[D].</w:t>
      </w:r>
      <w:r>
        <w:rPr>
          <w:rFonts w:ascii="Times New Roman" w:hAnsi="Times New Roman" w:eastAsia="华文宋体"/>
        </w:rPr>
        <w:t xml:space="preserve"> </w:t>
      </w:r>
      <w:r>
        <w:rPr>
          <w:rFonts w:hint="eastAsia" w:ascii="Times New Roman" w:hAnsi="Times New Roman" w:eastAsia="华文宋体"/>
        </w:rPr>
        <w:t>武汉:</w:t>
      </w:r>
      <w:r>
        <w:rPr>
          <w:rFonts w:ascii="Times New Roman" w:hAnsi="Times New Roman" w:eastAsia="华文宋体"/>
        </w:rPr>
        <w:t xml:space="preserve"> </w:t>
      </w:r>
      <w:r>
        <w:rPr>
          <w:rFonts w:hint="eastAsia" w:ascii="Times New Roman" w:hAnsi="Times New Roman" w:eastAsia="华文宋体"/>
        </w:rPr>
        <w:t>中南财经政法大学,</w:t>
      </w:r>
      <w:r>
        <w:rPr>
          <w:rFonts w:ascii="Times New Roman" w:hAnsi="Times New Roman" w:eastAsia="华文宋体"/>
        </w:rPr>
        <w:t xml:space="preserve"> 2020. [36] </w:t>
      </w:r>
      <w:r>
        <w:rPr>
          <w:rFonts w:hint="eastAsia" w:ascii="Times New Roman" w:hAnsi="Times New Roman" w:eastAsia="华文宋体"/>
        </w:rPr>
        <w:t>宋亚楠.</w:t>
      </w:r>
      <w:r>
        <w:rPr>
          <w:rFonts w:ascii="Times New Roman" w:hAnsi="Times New Roman" w:eastAsia="华文宋体"/>
        </w:rPr>
        <w:t xml:space="preserve"> </w:t>
      </w:r>
      <w:r>
        <w:rPr>
          <w:rFonts w:hint="eastAsia" w:ascii="Times New Roman" w:hAnsi="Times New Roman" w:eastAsia="华文宋体"/>
        </w:rPr>
        <w:t>碧桂园海外债风险测度及防范研究[D].</w:t>
      </w:r>
      <w:r>
        <w:rPr>
          <w:rFonts w:ascii="Times New Roman" w:hAnsi="Times New Roman" w:eastAsia="华文宋体"/>
        </w:rPr>
        <w:t xml:space="preserve"> </w:t>
      </w:r>
      <w:r>
        <w:rPr>
          <w:rFonts w:hint="eastAsia" w:ascii="Times New Roman" w:hAnsi="Times New Roman" w:eastAsia="华文宋体"/>
        </w:rPr>
        <w:t>大连:</w:t>
      </w:r>
      <w:r>
        <w:rPr>
          <w:rFonts w:ascii="Times New Roman" w:hAnsi="Times New Roman" w:eastAsia="华文宋体"/>
        </w:rPr>
        <w:t xml:space="preserve"> </w:t>
      </w:r>
      <w:r>
        <w:rPr>
          <w:rFonts w:hint="eastAsia" w:ascii="Times New Roman" w:hAnsi="Times New Roman" w:eastAsia="华文宋体"/>
        </w:rPr>
        <w:t>大连理工大学,</w:t>
      </w:r>
      <w:r>
        <w:rPr>
          <w:rFonts w:ascii="Times New Roman" w:hAnsi="Times New Roman" w:eastAsia="华文宋体"/>
        </w:rPr>
        <w:t xml:space="preserve"> 2020. [37] </w:t>
      </w:r>
      <w:r>
        <w:rPr>
          <w:rFonts w:hint="eastAsia" w:ascii="Times New Roman" w:hAnsi="Times New Roman" w:eastAsia="华文宋体"/>
        </w:rPr>
        <w:t>王蓓琳.</w:t>
      </w:r>
      <w:r>
        <w:rPr>
          <w:rFonts w:ascii="Times New Roman" w:hAnsi="Times New Roman" w:eastAsia="华文宋体"/>
        </w:rPr>
        <w:t xml:space="preserve"> </w:t>
      </w:r>
      <w:r>
        <w:rPr>
          <w:rFonts w:hint="eastAsia" w:ascii="Times New Roman" w:hAnsi="Times New Roman" w:eastAsia="华文宋体"/>
        </w:rPr>
        <w:t>民营企业境外发行债券案例研究[D].</w:t>
      </w:r>
      <w:r>
        <w:rPr>
          <w:rFonts w:ascii="Times New Roman" w:hAnsi="Times New Roman" w:eastAsia="华文宋体"/>
        </w:rPr>
        <w:t xml:space="preserve"> </w:t>
      </w:r>
      <w:r>
        <w:rPr>
          <w:rFonts w:hint="eastAsia" w:ascii="Times New Roman" w:hAnsi="Times New Roman" w:eastAsia="华文宋体"/>
        </w:rPr>
        <w:t>武汉:</w:t>
      </w:r>
      <w:r>
        <w:rPr>
          <w:rFonts w:ascii="Times New Roman" w:hAnsi="Times New Roman" w:eastAsia="华文宋体"/>
        </w:rPr>
        <w:t xml:space="preserve"> </w:t>
      </w:r>
      <w:r>
        <w:rPr>
          <w:rFonts w:hint="eastAsia" w:ascii="Times New Roman" w:hAnsi="Times New Roman" w:eastAsia="华文宋体"/>
        </w:rPr>
        <w:t>中南财经政法大学,</w:t>
      </w:r>
      <w:r>
        <w:rPr>
          <w:rFonts w:ascii="Times New Roman" w:hAnsi="Times New Roman" w:eastAsia="华文宋体"/>
        </w:rPr>
        <w:t xml:space="preserve"> 2020. [38] </w:t>
      </w:r>
      <w:r>
        <w:rPr>
          <w:rFonts w:hint="eastAsia" w:ascii="Times New Roman" w:hAnsi="Times New Roman" w:eastAsia="华文宋体"/>
        </w:rPr>
        <w:t>孟迪.</w:t>
      </w:r>
      <w:r>
        <w:rPr>
          <w:rFonts w:ascii="Times New Roman" w:hAnsi="Times New Roman" w:eastAsia="华文宋体"/>
        </w:rPr>
        <w:t xml:space="preserve"> </w:t>
      </w:r>
      <w:r>
        <w:rPr>
          <w:rFonts w:hint="eastAsia" w:ascii="Times New Roman" w:hAnsi="Times New Roman" w:eastAsia="华文宋体"/>
        </w:rPr>
        <w:t>我国上市公司外债融资对公司绩效的影响研究[D].</w:t>
      </w:r>
      <w:r>
        <w:rPr>
          <w:rFonts w:ascii="Times New Roman" w:hAnsi="Times New Roman" w:eastAsia="华文宋体"/>
        </w:rPr>
        <w:t xml:space="preserve"> </w:t>
      </w:r>
      <w:r>
        <w:rPr>
          <w:rFonts w:hint="eastAsia" w:ascii="Times New Roman" w:hAnsi="Times New Roman" w:eastAsia="华文宋体"/>
        </w:rPr>
        <w:t>济南:</w:t>
      </w:r>
      <w:r>
        <w:rPr>
          <w:rFonts w:ascii="Times New Roman" w:hAnsi="Times New Roman" w:eastAsia="华文宋体"/>
        </w:rPr>
        <w:t xml:space="preserve"> </w:t>
      </w:r>
      <w:r>
        <w:rPr>
          <w:rFonts w:hint="eastAsia" w:ascii="Times New Roman" w:hAnsi="Times New Roman" w:eastAsia="华文宋体"/>
        </w:rPr>
        <w:t>山东大学,</w:t>
      </w:r>
      <w:r>
        <w:rPr>
          <w:rFonts w:ascii="Times New Roman" w:hAnsi="Times New Roman" w:eastAsia="华文宋体"/>
        </w:rPr>
        <w:t xml:space="preserve"> 2020. [39] </w:t>
      </w:r>
      <w:r>
        <w:rPr>
          <w:rFonts w:hint="eastAsia" w:ascii="Times New Roman" w:hAnsi="Times New Roman" w:eastAsia="华文宋体"/>
        </w:rPr>
        <w:t>曹姝贤,</w:t>
      </w:r>
      <w:r>
        <w:rPr>
          <w:rFonts w:ascii="Times New Roman" w:hAnsi="Times New Roman" w:eastAsia="华文宋体"/>
        </w:rPr>
        <w:t xml:space="preserve"> </w:t>
      </w:r>
      <w:r>
        <w:rPr>
          <w:rFonts w:hint="eastAsia" w:ascii="Times New Roman" w:hAnsi="Times New Roman" w:eastAsia="华文宋体"/>
        </w:rPr>
        <w:t>陈吟野.</w:t>
      </w:r>
      <w:r>
        <w:rPr>
          <w:rFonts w:ascii="Times New Roman" w:hAnsi="Times New Roman" w:eastAsia="华文宋体"/>
        </w:rPr>
        <w:t xml:space="preserve"> </w:t>
      </w:r>
      <w:r>
        <w:rPr>
          <w:rFonts w:hint="eastAsia" w:ascii="Times New Roman" w:hAnsi="Times New Roman" w:eastAsia="华文宋体"/>
        </w:rPr>
        <w:t>非金融机构国民原则外债统计研究[J].</w:t>
      </w:r>
      <w:r>
        <w:rPr>
          <w:rFonts w:ascii="Times New Roman" w:hAnsi="Times New Roman" w:eastAsia="华文宋体"/>
        </w:rPr>
        <w:t xml:space="preserve"> </w:t>
      </w:r>
      <w:r>
        <w:rPr>
          <w:rFonts w:hint="eastAsia" w:ascii="Times New Roman" w:hAnsi="Times New Roman" w:eastAsia="华文宋体"/>
        </w:rPr>
        <w:t>金融纵横,</w:t>
      </w:r>
      <w:r>
        <w:rPr>
          <w:rFonts w:ascii="Times New Roman" w:hAnsi="Times New Roman" w:eastAsia="华文宋体"/>
        </w:rPr>
        <w:t xml:space="preserve"> 2020(08):76-84. [40] </w:t>
      </w:r>
      <w:r>
        <w:rPr>
          <w:rFonts w:hint="eastAsia" w:ascii="Times New Roman" w:hAnsi="Times New Roman" w:eastAsia="华文宋体"/>
        </w:rPr>
        <w:t>陈国松,</w:t>
      </w:r>
      <w:r>
        <w:rPr>
          <w:rFonts w:ascii="Times New Roman" w:hAnsi="Times New Roman" w:eastAsia="华文宋体"/>
        </w:rPr>
        <w:t xml:space="preserve"> </w:t>
      </w:r>
      <w:r>
        <w:rPr>
          <w:rFonts w:hint="eastAsia" w:ascii="Times New Roman" w:hAnsi="Times New Roman" w:eastAsia="华文宋体"/>
        </w:rPr>
        <w:t>赵万.</w:t>
      </w:r>
      <w:r>
        <w:rPr>
          <w:rFonts w:ascii="Times New Roman" w:hAnsi="Times New Roman" w:eastAsia="华文宋体"/>
        </w:rPr>
        <w:t xml:space="preserve"> </w:t>
      </w:r>
      <w:r>
        <w:rPr>
          <w:rFonts w:hint="eastAsia" w:ascii="Times New Roman" w:hAnsi="Times New Roman" w:eastAsia="华文宋体"/>
        </w:rPr>
        <w:t>借助外债政策红利主动作为[J].</w:t>
      </w:r>
      <w:r>
        <w:rPr>
          <w:rFonts w:ascii="Times New Roman" w:hAnsi="Times New Roman" w:eastAsia="华文宋体"/>
        </w:rPr>
        <w:t xml:space="preserve"> </w:t>
      </w:r>
      <w:r>
        <w:rPr>
          <w:rFonts w:hint="eastAsia" w:ascii="Times New Roman" w:hAnsi="Times New Roman" w:eastAsia="华文宋体"/>
        </w:rPr>
        <w:t>中国外汇,</w:t>
      </w:r>
      <w:r>
        <w:rPr>
          <w:rFonts w:ascii="Times New Roman" w:hAnsi="Times New Roman" w:eastAsia="华文宋体"/>
        </w:rPr>
        <w:t xml:space="preserve"> 2020(11):58-60. [41] </w:t>
      </w:r>
      <w:r>
        <w:rPr>
          <w:rFonts w:hint="eastAsia" w:ascii="Times New Roman" w:hAnsi="Times New Roman" w:eastAsia="华文宋体"/>
        </w:rPr>
        <w:t>白玉杰.</w:t>
      </w:r>
      <w:r>
        <w:rPr>
          <w:rFonts w:ascii="Times New Roman" w:hAnsi="Times New Roman" w:eastAsia="华文宋体"/>
        </w:rPr>
        <w:t xml:space="preserve"> </w:t>
      </w:r>
      <w:r>
        <w:rPr>
          <w:rFonts w:hint="eastAsia" w:ascii="Times New Roman" w:hAnsi="Times New Roman" w:eastAsia="华文宋体"/>
        </w:rPr>
        <w:t>中关村外债便利化试点政策再升级[J].</w:t>
      </w:r>
      <w:r>
        <w:rPr>
          <w:rFonts w:ascii="Times New Roman" w:hAnsi="Times New Roman" w:eastAsia="华文宋体"/>
        </w:rPr>
        <w:t xml:space="preserve"> </w:t>
      </w:r>
      <w:r>
        <w:rPr>
          <w:rFonts w:hint="eastAsia" w:ascii="Times New Roman" w:hAnsi="Times New Roman" w:eastAsia="华文宋体"/>
        </w:rPr>
        <w:t>中关村,</w:t>
      </w:r>
      <w:r>
        <w:rPr>
          <w:rFonts w:ascii="Times New Roman" w:hAnsi="Times New Roman" w:eastAsia="华文宋体"/>
        </w:rPr>
        <w:t xml:space="preserve"> 2020(07):13. [42] </w:t>
      </w:r>
      <w:r>
        <w:rPr>
          <w:rFonts w:hint="eastAsia" w:ascii="Times New Roman" w:hAnsi="Times New Roman" w:eastAsia="华文宋体"/>
        </w:rPr>
        <w:t>马亚丽.</w:t>
      </w:r>
      <w:r>
        <w:rPr>
          <w:rFonts w:ascii="Times New Roman" w:hAnsi="Times New Roman" w:eastAsia="华文宋体"/>
        </w:rPr>
        <w:t xml:space="preserve"> </w:t>
      </w:r>
      <w:r>
        <w:rPr>
          <w:rFonts w:hint="eastAsia" w:ascii="Times New Roman" w:hAnsi="Times New Roman" w:eastAsia="华文宋体"/>
        </w:rPr>
        <w:t>地方政府外债风险管理探析[J].</w:t>
      </w:r>
      <w:r>
        <w:rPr>
          <w:rFonts w:ascii="Times New Roman" w:hAnsi="Times New Roman" w:eastAsia="华文宋体"/>
        </w:rPr>
        <w:t xml:space="preserve"> </w:t>
      </w:r>
      <w:r>
        <w:rPr>
          <w:rFonts w:hint="eastAsia" w:ascii="Times New Roman" w:hAnsi="Times New Roman" w:eastAsia="华文宋体"/>
        </w:rPr>
        <w:t>纳税,</w:t>
      </w:r>
      <w:r>
        <w:rPr>
          <w:rFonts w:ascii="Times New Roman" w:hAnsi="Times New Roman" w:eastAsia="华文宋体"/>
        </w:rPr>
        <w:t xml:space="preserve"> 2020,14(29):159-160. [43] </w:t>
      </w:r>
      <w:r>
        <w:rPr>
          <w:rFonts w:hint="eastAsia" w:ascii="Times New Roman" w:hAnsi="Times New Roman" w:eastAsia="华文宋体"/>
        </w:rPr>
        <w:t>林昱明.</w:t>
      </w:r>
      <w:r>
        <w:rPr>
          <w:rFonts w:ascii="Times New Roman" w:hAnsi="Times New Roman" w:eastAsia="华文宋体"/>
        </w:rPr>
        <w:t xml:space="preserve"> </w:t>
      </w:r>
      <w:r>
        <w:rPr>
          <w:rFonts w:hint="eastAsia" w:ascii="Times New Roman" w:hAnsi="Times New Roman" w:eastAsia="华文宋体"/>
        </w:rPr>
        <w:t>中国上市制造业企业外汇风险管理措施及效果研究[D].</w:t>
      </w:r>
      <w:r>
        <w:rPr>
          <w:rFonts w:ascii="Times New Roman" w:hAnsi="Times New Roman" w:eastAsia="华文宋体"/>
        </w:rPr>
        <w:t xml:space="preserve"> </w:t>
      </w:r>
      <w:r>
        <w:rPr>
          <w:rFonts w:hint="eastAsia" w:ascii="Times New Roman" w:hAnsi="Times New Roman" w:eastAsia="华文宋体"/>
        </w:rPr>
        <w:t>广州:</w:t>
      </w:r>
      <w:r>
        <w:rPr>
          <w:rFonts w:ascii="Times New Roman" w:hAnsi="Times New Roman" w:eastAsia="华文宋体"/>
        </w:rPr>
        <w:t xml:space="preserve"> </w:t>
      </w:r>
      <w:r>
        <w:rPr>
          <w:rFonts w:hint="eastAsia" w:ascii="Times New Roman" w:hAnsi="Times New Roman" w:eastAsia="华文宋体"/>
        </w:rPr>
        <w:t>华南理工大学,</w:t>
      </w:r>
      <w:r>
        <w:rPr>
          <w:rFonts w:ascii="Times New Roman" w:hAnsi="Times New Roman" w:eastAsia="华文宋体"/>
        </w:rPr>
        <w:t xml:space="preserve"> 2019. [44] </w:t>
      </w:r>
      <w:r>
        <w:rPr>
          <w:rFonts w:hint="eastAsia" w:ascii="Times New Roman" w:hAnsi="Times New Roman" w:eastAsia="华文宋体"/>
        </w:rPr>
        <w:t>胡晓璇.</w:t>
      </w:r>
      <w:r>
        <w:rPr>
          <w:rFonts w:ascii="Times New Roman" w:hAnsi="Times New Roman" w:eastAsia="华文宋体"/>
        </w:rPr>
        <w:t xml:space="preserve"> </w:t>
      </w:r>
      <w:r>
        <w:rPr>
          <w:rFonts w:hint="eastAsia" w:ascii="Times New Roman" w:hAnsi="Times New Roman" w:eastAsia="华文宋体"/>
        </w:rPr>
        <w:t>G银行“跨境直贷”金融产品设计[D].</w:t>
      </w:r>
      <w:r>
        <w:rPr>
          <w:rFonts w:ascii="Times New Roman" w:hAnsi="Times New Roman" w:eastAsia="华文宋体"/>
        </w:rPr>
        <w:t xml:space="preserve"> </w:t>
      </w:r>
      <w:r>
        <w:rPr>
          <w:rFonts w:hint="eastAsia" w:ascii="Times New Roman" w:hAnsi="Times New Roman" w:eastAsia="华文宋体"/>
        </w:rPr>
        <w:t>蚌埠:</w:t>
      </w:r>
      <w:r>
        <w:rPr>
          <w:rFonts w:ascii="Times New Roman" w:hAnsi="Times New Roman" w:eastAsia="华文宋体"/>
        </w:rPr>
        <w:t xml:space="preserve"> </w:t>
      </w:r>
      <w:r>
        <w:rPr>
          <w:rFonts w:hint="eastAsia" w:ascii="Times New Roman" w:hAnsi="Times New Roman" w:eastAsia="华文宋体"/>
        </w:rPr>
        <w:t>安徽财经大学,</w:t>
      </w:r>
      <w:r>
        <w:rPr>
          <w:rFonts w:ascii="Times New Roman" w:hAnsi="Times New Roman" w:eastAsia="华文宋体"/>
        </w:rPr>
        <w:t xml:space="preserve"> 2019. [45] Allayannis G, Brown G W, Klapper L F. Capital structure and financial risk: Evidence from foreign debt use in East Asia[J]. Journal of Finance, 2003,58(6):2667-2710. [46] Bruno V, Shin H S. Global dollar credit and carry trades: A firm-level analysis[J]. Review of Financial Studies, 2017,30(3):703-749. [47] Hofmann B, Shim I, Shin H S. Bond risk premia and the exchange rate[J]. BIS Quarterly Review, 2020(09):45-58. [48] Avdjiev S, McCauley R N, Shin H S. Breaking free of the triple coincidence in international finance[J]. Economic Policy, 2016,31(87):409-451. [49] Carstens A, Shin H S. Emerging market economies and global financial conditions[Z]. BIS Speeches, 2019. [50] Kalemli-Ozcan S, Liu X. Global financial cycles and external borrowing by firms[J]. IMF Economic Review, 2019,67(4):589-628. [51] Acharya V, Qian J, Yang Z. In the shadow of banks: Financing patterns and systemic risk[J]. Review of Financial Studies, 2022,35(10):4650-4698. [52] International Monetary Fund. Global Financial Stability Report: Safeguarding Financial Stability Amid High Inflation and Geopolitical Risks[R]. Washington, D.C.: IMF, 2023. [53] International Monetary Fund. Global Financial Stability Report: The Last Mile, Financial Vulnerabilities, and Risks[R]. Washington, D.C.: IMF, 2024. [54] World Bank. International Debt Report 2024[R]. Washington, D.C.: World Bank, 2024. [55] Bank for International Settlements. Quarterly Review: International Banking and Financial Market Developments[R]. Basel: BIS, 2024. [56] Federal Reserve. Federal Open Market Committee issues FOMC statement[EB/OL]. 2022-03-16. [57] Federal Reserve. Federal Open Market Committee issues FOMC statement[EB/OL]. 2023-07-26. [58] Federal Reserve. Federal Open Market Committee issues FOMC statement[EB/OL]. 2008-12-16. [59] National Development and Reform Commission. Circular on Promoting the Reform of the Administrative System on Filing and Registration for Issuance of Foreign Debts by Enterprises[Z]. 2015. [60] </w:t>
      </w:r>
      <w:r>
        <w:rPr>
          <w:rFonts w:hint="eastAsia" w:ascii="Times New Roman" w:hAnsi="Times New Roman" w:eastAsia="华文宋体"/>
        </w:rPr>
        <w:t>中国人民银行,</w:t>
      </w:r>
      <w:r>
        <w:rPr>
          <w:rFonts w:ascii="Times New Roman" w:hAnsi="Times New Roman" w:eastAsia="华文宋体"/>
        </w:rPr>
        <w:t xml:space="preserve"> </w:t>
      </w:r>
      <w:r>
        <w:rPr>
          <w:rFonts w:hint="eastAsia" w:ascii="Times New Roman" w:hAnsi="Times New Roman" w:eastAsia="华文宋体"/>
        </w:rPr>
        <w:t>国家外汇管理局.</w:t>
      </w:r>
      <w:r>
        <w:rPr>
          <w:rFonts w:ascii="Times New Roman" w:hAnsi="Times New Roman" w:eastAsia="华文宋体"/>
        </w:rPr>
        <w:t xml:space="preserve"> </w:t>
      </w:r>
      <w:r>
        <w:rPr>
          <w:rFonts w:hint="eastAsia" w:ascii="Times New Roman" w:hAnsi="Times New Roman" w:eastAsia="华文宋体"/>
        </w:rPr>
        <w:t>关于调整全口径跨境融资宏观审慎调节参数的通知[Z].</w:t>
      </w:r>
      <w:r>
        <w:rPr>
          <w:rFonts w:ascii="Times New Roman" w:hAnsi="Times New Roman" w:eastAsia="华文宋体"/>
        </w:rPr>
        <w:t xml:space="preserve"> 2020. [61] </w:t>
      </w:r>
      <w:r>
        <w:rPr>
          <w:rFonts w:hint="eastAsia" w:ascii="Times New Roman" w:hAnsi="Times New Roman" w:eastAsia="华文宋体"/>
        </w:rPr>
        <w:t>国家发展改革委.</w:t>
      </w:r>
      <w:r>
        <w:rPr>
          <w:rFonts w:ascii="Times New Roman" w:hAnsi="Times New Roman" w:eastAsia="华文宋体"/>
        </w:rPr>
        <w:t xml:space="preserve"> </w:t>
      </w:r>
      <w:r>
        <w:rPr>
          <w:rFonts w:hint="eastAsia" w:ascii="Times New Roman" w:hAnsi="Times New Roman" w:eastAsia="华文宋体"/>
        </w:rPr>
        <w:t>企业中长期外债审核登记管理办法答记者问[EB/OL].</w:t>
      </w:r>
      <w:r>
        <w:rPr>
          <w:rFonts w:ascii="Times New Roman" w:hAnsi="Times New Roman" w:eastAsia="华文宋体"/>
        </w:rPr>
        <w:t xml:space="preserve"> 2023. [62] </w:t>
      </w:r>
      <w:r>
        <w:rPr>
          <w:rFonts w:hint="eastAsia" w:ascii="Times New Roman" w:hAnsi="Times New Roman" w:eastAsia="华文宋体"/>
        </w:rPr>
        <w:t>国家发展改革委.</w:t>
      </w:r>
      <w:r>
        <w:rPr>
          <w:rFonts w:ascii="Times New Roman" w:hAnsi="Times New Roman" w:eastAsia="华文宋体"/>
        </w:rPr>
        <w:t xml:space="preserve"> </w:t>
      </w:r>
      <w:r>
        <w:rPr>
          <w:rFonts w:hint="eastAsia" w:ascii="Times New Roman" w:hAnsi="Times New Roman" w:eastAsia="华文宋体"/>
        </w:rPr>
        <w:t>支持优质企业借用中长期外债促进实体经济高质量发展的通知[Z].</w:t>
      </w:r>
      <w:r>
        <w:rPr>
          <w:rFonts w:ascii="Times New Roman" w:hAnsi="Times New Roman" w:eastAsia="华文宋体"/>
        </w:rPr>
        <w:t xml:space="preserve"> 2024. [63] </w:t>
      </w:r>
      <w:r>
        <w:rPr>
          <w:rFonts w:hint="eastAsia" w:ascii="Times New Roman" w:hAnsi="Times New Roman" w:eastAsia="华文宋体"/>
        </w:rPr>
        <w:t>漳州市九龙江集团有限公司.</w:t>
      </w:r>
      <w:r>
        <w:rPr>
          <w:rFonts w:ascii="Times New Roman" w:hAnsi="Times New Roman" w:eastAsia="华文宋体"/>
        </w:rPr>
        <w:t xml:space="preserve"> </w:t>
      </w:r>
      <w:r>
        <w:rPr>
          <w:rFonts w:hint="eastAsia" w:ascii="Times New Roman" w:hAnsi="Times New Roman" w:eastAsia="华文宋体"/>
        </w:rPr>
        <w:t>2025年度第一期超短期融资券募集说明书[R].</w:t>
      </w:r>
      <w:r>
        <w:rPr>
          <w:rFonts w:ascii="Times New Roman" w:hAnsi="Times New Roman" w:eastAsia="华文宋体"/>
        </w:rPr>
        <w:t xml:space="preserve"> 2025. [64] </w:t>
      </w:r>
      <w:r>
        <w:rPr>
          <w:rFonts w:hint="eastAsia" w:ascii="Times New Roman" w:hAnsi="Times New Roman" w:eastAsia="华文宋体"/>
        </w:rPr>
        <w:t>漳州市九龙江集团有限公司.</w:t>
      </w:r>
      <w:r>
        <w:rPr>
          <w:rFonts w:ascii="Times New Roman" w:hAnsi="Times New Roman" w:eastAsia="华文宋体"/>
        </w:rPr>
        <w:t xml:space="preserve"> </w:t>
      </w:r>
      <w:r>
        <w:rPr>
          <w:rFonts w:hint="eastAsia" w:ascii="Times New Roman" w:hAnsi="Times New Roman" w:eastAsia="华文宋体"/>
        </w:rPr>
        <w:t>2024年年度报告[R].</w:t>
      </w:r>
      <w:r>
        <w:rPr>
          <w:rFonts w:ascii="Times New Roman" w:hAnsi="Times New Roman" w:eastAsia="华文宋体"/>
        </w:rPr>
        <w:t xml:space="preserve"> 2025. [65] </w:t>
      </w:r>
      <w:r>
        <w:rPr>
          <w:rFonts w:hint="eastAsia" w:ascii="Times New Roman" w:hAnsi="Times New Roman" w:eastAsia="华文宋体"/>
        </w:rPr>
        <w:t>漳州市九龙江集团有限公司.</w:t>
      </w:r>
      <w:r>
        <w:rPr>
          <w:rFonts w:ascii="Times New Roman" w:hAnsi="Times New Roman" w:eastAsia="华文宋体"/>
        </w:rPr>
        <w:t xml:space="preserve"> </w:t>
      </w:r>
      <w:r>
        <w:rPr>
          <w:rFonts w:hint="eastAsia" w:ascii="Times New Roman" w:hAnsi="Times New Roman" w:eastAsia="华文宋体"/>
        </w:rPr>
        <w:t>2025年度跟踪评级报告[R].</w:t>
      </w:r>
      <w:r>
        <w:rPr>
          <w:rFonts w:ascii="Times New Roman" w:hAnsi="Times New Roman" w:eastAsia="华文宋体"/>
        </w:rPr>
        <w:t xml:space="preserve"> 2025. [66] </w:t>
      </w:r>
      <w:r>
        <w:rPr>
          <w:rFonts w:hint="eastAsia" w:ascii="Times New Roman" w:hAnsi="Times New Roman" w:eastAsia="华文宋体"/>
        </w:rPr>
        <w:t>大公国际资信评估有限公司.</w:t>
      </w:r>
      <w:r>
        <w:rPr>
          <w:rFonts w:ascii="Times New Roman" w:hAnsi="Times New Roman" w:eastAsia="华文宋体"/>
        </w:rPr>
        <w:t xml:space="preserve"> </w:t>
      </w:r>
      <w:r>
        <w:rPr>
          <w:rFonts w:hint="eastAsia" w:ascii="Times New Roman" w:hAnsi="Times New Roman" w:eastAsia="华文宋体"/>
        </w:rPr>
        <w:t>漳州市九龙江集团有限公司2025年度跟踪评级报告[R].</w:t>
      </w:r>
      <w:r>
        <w:rPr>
          <w:rFonts w:ascii="Times New Roman" w:hAnsi="Times New Roman" w:eastAsia="华文宋体"/>
        </w:rPr>
        <w:t xml:space="preserve"> 2025. [67] </w:t>
      </w:r>
      <w:r>
        <w:rPr>
          <w:rFonts w:hint="eastAsia" w:ascii="Times New Roman" w:hAnsi="Times New Roman" w:eastAsia="华文宋体"/>
        </w:rPr>
        <w:t>联合国际.</w:t>
      </w:r>
      <w:r>
        <w:rPr>
          <w:rFonts w:ascii="Times New Roman" w:hAnsi="Times New Roman" w:eastAsia="华文宋体"/>
        </w:rPr>
        <w:t xml:space="preserve"> </w:t>
      </w:r>
      <w:r>
        <w:rPr>
          <w:rFonts w:hint="eastAsia" w:ascii="Times New Roman" w:hAnsi="Times New Roman" w:eastAsia="华文宋体"/>
        </w:rPr>
        <w:t>漳州市九龙江集团有限公司评级公告[EB/OL].</w:t>
      </w:r>
      <w:r>
        <w:rPr>
          <w:rFonts w:ascii="Times New Roman" w:hAnsi="Times New Roman" w:eastAsia="华文宋体"/>
        </w:rPr>
        <w:t xml:space="preserve"> 2024. [68] </w:t>
      </w:r>
      <w:r>
        <w:rPr>
          <w:rFonts w:hint="eastAsia" w:ascii="Times New Roman" w:hAnsi="Times New Roman" w:eastAsia="华文宋体"/>
        </w:rPr>
        <w:t>联合国际.</w:t>
      </w:r>
      <w:r>
        <w:rPr>
          <w:rFonts w:ascii="Times New Roman" w:hAnsi="Times New Roman" w:eastAsia="华文宋体"/>
        </w:rPr>
        <w:t xml:space="preserve"> </w:t>
      </w:r>
      <w:r>
        <w:rPr>
          <w:rFonts w:hint="eastAsia" w:ascii="Times New Roman" w:hAnsi="Times New Roman" w:eastAsia="华文宋体"/>
        </w:rPr>
        <w:t>漳州市九龙江集团有限公司评级公告[EB/OL].</w:t>
      </w:r>
      <w:r>
        <w:rPr>
          <w:rFonts w:ascii="Times New Roman" w:hAnsi="Times New Roman" w:eastAsia="华文宋体"/>
        </w:rPr>
        <w:t xml:space="preserve"> 2025. [69] S&amp;P Global Ratings. Jiulongjiang Group proposed senior unsecured notes rated ‘BBB-’[EB/OL]. 2025. [70] Fitch Ratings. Fitch rates Jiulongjiang Group green bond issue ‘BBB-(EXP)’[EB/OL]. 2025. [71] iFinD. </w:t>
      </w:r>
      <w:r>
        <w:rPr>
          <w:rFonts w:hint="eastAsia" w:ascii="Times New Roman" w:hAnsi="Times New Roman" w:eastAsia="华文宋体"/>
        </w:rPr>
        <w:t>漳州市九龙江集团发行5亿美元3年期转型债信息汇总[EB/OL].</w:t>
      </w:r>
      <w:r>
        <w:rPr>
          <w:rFonts w:ascii="Times New Roman" w:hAnsi="Times New Roman" w:eastAsia="华文宋体"/>
        </w:rPr>
        <w:t xml:space="preserve"> 2025. [72] </w:t>
      </w:r>
      <w:r>
        <w:rPr>
          <w:rFonts w:hint="eastAsia" w:ascii="Times New Roman" w:hAnsi="Times New Roman" w:eastAsia="华文宋体"/>
        </w:rPr>
        <w:t>金融界.</w:t>
      </w:r>
      <w:r>
        <w:rPr>
          <w:rFonts w:ascii="Times New Roman" w:hAnsi="Times New Roman" w:eastAsia="华文宋体"/>
        </w:rPr>
        <w:t xml:space="preserve"> </w:t>
      </w:r>
      <w:r>
        <w:rPr>
          <w:rFonts w:hint="eastAsia" w:ascii="Times New Roman" w:hAnsi="Times New Roman" w:eastAsia="华文宋体"/>
        </w:rPr>
        <w:t>九龙江集团主体及相关债项2025年跟踪评级报告摘编[EB/OL].</w:t>
      </w:r>
      <w:r>
        <w:rPr>
          <w:rFonts w:ascii="Times New Roman" w:hAnsi="Times New Roman" w:eastAsia="华文宋体"/>
        </w:rPr>
        <w:t xml:space="preserve"> 2025. [73] </w:t>
      </w:r>
      <w:r>
        <w:rPr>
          <w:rFonts w:hint="eastAsia" w:ascii="Times New Roman" w:hAnsi="Times New Roman" w:eastAsia="华文宋体"/>
        </w:rPr>
        <w:t>新浪财经.</w:t>
      </w:r>
      <w:r>
        <w:rPr>
          <w:rFonts w:ascii="Times New Roman" w:hAnsi="Times New Roman" w:eastAsia="华文宋体"/>
        </w:rPr>
        <w:t xml:space="preserve"> </w:t>
      </w:r>
      <w:r>
        <w:rPr>
          <w:rFonts w:hint="eastAsia" w:ascii="Times New Roman" w:hAnsi="Times New Roman" w:eastAsia="华文宋体"/>
        </w:rPr>
        <w:t>九龙江集团首发5亿美元转型债券并实现较优定价[EB/OL].</w:t>
      </w:r>
      <w:r>
        <w:rPr>
          <w:rFonts w:ascii="Times New Roman" w:hAnsi="Times New Roman" w:eastAsia="华文宋体"/>
        </w:rPr>
        <w:t xml:space="preserve"> 2025. [74] </w:t>
      </w:r>
      <w:r>
        <w:rPr>
          <w:rFonts w:hint="eastAsia" w:ascii="Times New Roman" w:hAnsi="Times New Roman" w:eastAsia="华文宋体"/>
        </w:rPr>
        <w:t>中国债券信息网.</w:t>
      </w:r>
      <w:r>
        <w:rPr>
          <w:rFonts w:ascii="Times New Roman" w:hAnsi="Times New Roman" w:eastAsia="华文宋体"/>
        </w:rPr>
        <w:t xml:space="preserve"> </w:t>
      </w:r>
      <w:r>
        <w:rPr>
          <w:rFonts w:hint="eastAsia" w:ascii="Times New Roman" w:hAnsi="Times New Roman" w:eastAsia="华文宋体"/>
        </w:rPr>
        <w:t>中资离岸债发行与存续信息数据库[DB/OL].</w:t>
      </w:r>
      <w:r>
        <w:rPr>
          <w:rFonts w:ascii="Times New Roman" w:hAnsi="Times New Roman" w:eastAsia="华文宋体"/>
        </w:rPr>
        <w:t xml:space="preserve"> 2025.</w:t>
      </w:r>
    </w:p>
    <w:bookmarkEnd w:id="110"/>
    <w:p w14:paraId="6AC55E36">
      <w:pPr>
        <w:pStyle w:val="4"/>
        <w:rPr>
          <w:rFonts w:ascii="Times New Roman" w:hAnsi="Times New Roman" w:eastAsia="华文宋体"/>
        </w:rPr>
      </w:pPr>
      <w:bookmarkStart w:id="111" w:name="附录"/>
      <w:r>
        <w:rPr>
          <w:rFonts w:hint="eastAsia" w:ascii="Times New Roman" w:hAnsi="Times New Roman" w:eastAsia="华文宋体"/>
        </w:rPr>
        <w:t>附录</w:t>
      </w:r>
    </w:p>
    <w:p w14:paraId="35550A81">
      <w:pPr>
        <w:pStyle w:val="5"/>
        <w:rPr>
          <w:rFonts w:ascii="Times New Roman" w:hAnsi="Times New Roman" w:eastAsia="华文宋体"/>
        </w:rPr>
      </w:pPr>
      <w:bookmarkStart w:id="112" w:name="附录一-九龙江集团主要财务指标摘要"/>
      <w:r>
        <w:rPr>
          <w:rFonts w:hint="eastAsia" w:ascii="Times New Roman" w:hAnsi="Times New Roman" w:eastAsia="华文宋体"/>
        </w:rPr>
        <w:t>附录一</w:t>
      </w:r>
      <w:r>
        <w:rPr>
          <w:rFonts w:ascii="Times New Roman" w:hAnsi="Times New Roman" w:eastAsia="华文宋体"/>
        </w:rPr>
        <w:t xml:space="preserve"> </w:t>
      </w:r>
      <w:r>
        <w:rPr>
          <w:rFonts w:hint="eastAsia" w:ascii="Times New Roman" w:hAnsi="Times New Roman" w:eastAsia="华文宋体"/>
        </w:rPr>
        <w:t>九龙江集团主要财务指标摘要</w:t>
      </w:r>
    </w:p>
    <w:tbl>
      <w:tblPr>
        <w:tblStyle w:val="41"/>
        <w:tblW w:w="0" w:type="auto"/>
        <w:tblInd w:w="0" w:type="dxa"/>
        <w:tblLayout w:type="autofit"/>
        <w:tblCellMar>
          <w:top w:w="0" w:type="dxa"/>
          <w:left w:w="108" w:type="dxa"/>
          <w:bottom w:w="0" w:type="dxa"/>
          <w:right w:w="108" w:type="dxa"/>
        </w:tblCellMar>
      </w:tblPr>
      <w:tblGrid>
        <w:gridCol w:w="2376"/>
        <w:gridCol w:w="996"/>
        <w:gridCol w:w="996"/>
        <w:gridCol w:w="996"/>
        <w:gridCol w:w="1679"/>
      </w:tblGrid>
      <w:tr w14:paraId="775CB2DB">
        <w:tblPrEx>
          <w:tblCellMar>
            <w:top w:w="0" w:type="dxa"/>
            <w:left w:w="108" w:type="dxa"/>
            <w:bottom w:w="0" w:type="dxa"/>
            <w:right w:w="108" w:type="dxa"/>
          </w:tblCellMar>
        </w:tblPrEx>
        <w:trPr>
          <w:tblHeader/>
        </w:trPr>
        <w:tc>
          <w:p w14:paraId="1FEB0940">
            <w:pPr>
              <w:pStyle w:val="24"/>
              <w:rPr>
                <w:rFonts w:ascii="Times New Roman" w:hAnsi="Times New Roman" w:eastAsia="华文宋体"/>
              </w:rPr>
            </w:pPr>
            <w:r>
              <w:rPr>
                <w:rFonts w:hint="eastAsia" w:ascii="Times New Roman" w:hAnsi="Times New Roman" w:eastAsia="华文宋体"/>
              </w:rPr>
              <w:t>项目</w:t>
            </w:r>
          </w:p>
        </w:tc>
        <w:tc>
          <w:p w14:paraId="6DBDF0A1">
            <w:pPr>
              <w:pStyle w:val="24"/>
              <w:jc w:val="right"/>
              <w:rPr>
                <w:rFonts w:ascii="Times New Roman" w:hAnsi="Times New Roman" w:eastAsia="华文宋体"/>
              </w:rPr>
            </w:pPr>
            <w:r>
              <w:rPr>
                <w:rFonts w:hint="eastAsia" w:ascii="Times New Roman" w:hAnsi="Times New Roman" w:eastAsia="华文宋体"/>
              </w:rPr>
              <w:t>2022年</w:t>
            </w:r>
          </w:p>
        </w:tc>
        <w:tc>
          <w:p w14:paraId="22EA8655">
            <w:pPr>
              <w:pStyle w:val="24"/>
              <w:jc w:val="right"/>
              <w:rPr>
                <w:rFonts w:ascii="Times New Roman" w:hAnsi="Times New Roman" w:eastAsia="华文宋体"/>
              </w:rPr>
            </w:pPr>
            <w:r>
              <w:rPr>
                <w:rFonts w:hint="eastAsia" w:ascii="Times New Roman" w:hAnsi="Times New Roman" w:eastAsia="华文宋体"/>
              </w:rPr>
              <w:t>2023年</w:t>
            </w:r>
          </w:p>
        </w:tc>
        <w:tc>
          <w:p w14:paraId="37D9EDA6">
            <w:pPr>
              <w:pStyle w:val="24"/>
              <w:jc w:val="right"/>
              <w:rPr>
                <w:rFonts w:ascii="Times New Roman" w:hAnsi="Times New Roman" w:eastAsia="华文宋体"/>
              </w:rPr>
            </w:pPr>
            <w:r>
              <w:rPr>
                <w:rFonts w:hint="eastAsia" w:ascii="Times New Roman" w:hAnsi="Times New Roman" w:eastAsia="华文宋体"/>
              </w:rPr>
              <w:t>2024年</w:t>
            </w:r>
          </w:p>
        </w:tc>
        <w:tc>
          <w:p w14:paraId="7D332995">
            <w:pPr>
              <w:pStyle w:val="24"/>
              <w:jc w:val="right"/>
              <w:rPr>
                <w:rFonts w:ascii="Times New Roman" w:hAnsi="Times New Roman" w:eastAsia="华文宋体"/>
              </w:rPr>
            </w:pPr>
            <w:r>
              <w:rPr>
                <w:rFonts w:hint="eastAsia" w:ascii="Times New Roman" w:hAnsi="Times New Roman" w:eastAsia="华文宋体"/>
              </w:rPr>
              <w:t>2025年3月末</w:t>
            </w:r>
          </w:p>
        </w:tc>
      </w:tr>
      <w:tr w14:paraId="1F0E92F3">
        <w:tblPrEx>
          <w:tblCellMar>
            <w:top w:w="0" w:type="dxa"/>
            <w:left w:w="108" w:type="dxa"/>
            <w:bottom w:w="0" w:type="dxa"/>
            <w:right w:w="108" w:type="dxa"/>
          </w:tblCellMar>
        </w:tblPrEx>
        <w:tc>
          <w:p w14:paraId="1D5722C8">
            <w:pPr>
              <w:pStyle w:val="24"/>
              <w:rPr>
                <w:rFonts w:ascii="Times New Roman" w:hAnsi="Times New Roman" w:eastAsia="华文宋体"/>
              </w:rPr>
            </w:pPr>
            <w:r>
              <w:rPr>
                <w:rFonts w:hint="eastAsia" w:ascii="Times New Roman" w:hAnsi="Times New Roman" w:eastAsia="华文宋体"/>
              </w:rPr>
              <w:t>总资产（亿元）</w:t>
            </w:r>
          </w:p>
        </w:tc>
        <w:tc>
          <w:p w14:paraId="4CA48EE9">
            <w:pPr>
              <w:pStyle w:val="24"/>
              <w:jc w:val="right"/>
              <w:rPr>
                <w:rFonts w:ascii="Times New Roman" w:hAnsi="Times New Roman" w:eastAsia="华文宋体"/>
              </w:rPr>
            </w:pPr>
            <w:r>
              <w:rPr>
                <w:rFonts w:ascii="Times New Roman" w:hAnsi="Times New Roman" w:eastAsia="华文宋体"/>
              </w:rPr>
              <w:t>1183.56</w:t>
            </w:r>
          </w:p>
        </w:tc>
        <w:tc>
          <w:p w14:paraId="489F5C0D">
            <w:pPr>
              <w:pStyle w:val="24"/>
              <w:jc w:val="right"/>
              <w:rPr>
                <w:rFonts w:ascii="Times New Roman" w:hAnsi="Times New Roman" w:eastAsia="华文宋体"/>
              </w:rPr>
            </w:pPr>
            <w:r>
              <w:rPr>
                <w:rFonts w:ascii="Times New Roman" w:hAnsi="Times New Roman" w:eastAsia="华文宋体"/>
              </w:rPr>
              <w:t>1245.99</w:t>
            </w:r>
          </w:p>
        </w:tc>
        <w:tc>
          <w:p w14:paraId="136D1971">
            <w:pPr>
              <w:pStyle w:val="24"/>
              <w:jc w:val="right"/>
              <w:rPr>
                <w:rFonts w:ascii="Times New Roman" w:hAnsi="Times New Roman" w:eastAsia="华文宋体"/>
              </w:rPr>
            </w:pPr>
            <w:r>
              <w:rPr>
                <w:rFonts w:ascii="Times New Roman" w:hAnsi="Times New Roman" w:eastAsia="华文宋体"/>
              </w:rPr>
              <w:t>1389.41</w:t>
            </w:r>
          </w:p>
        </w:tc>
        <w:tc>
          <w:p w14:paraId="121F040D">
            <w:pPr>
              <w:pStyle w:val="24"/>
              <w:jc w:val="right"/>
              <w:rPr>
                <w:rFonts w:ascii="Times New Roman" w:hAnsi="Times New Roman" w:eastAsia="华文宋体"/>
              </w:rPr>
            </w:pPr>
            <w:r>
              <w:rPr>
                <w:rFonts w:ascii="Times New Roman" w:hAnsi="Times New Roman" w:eastAsia="华文宋体"/>
              </w:rPr>
              <w:t>1459.88</w:t>
            </w:r>
          </w:p>
        </w:tc>
      </w:tr>
      <w:tr w14:paraId="1F1B5F9E">
        <w:tblPrEx>
          <w:tblCellMar>
            <w:top w:w="0" w:type="dxa"/>
            <w:left w:w="108" w:type="dxa"/>
            <w:bottom w:w="0" w:type="dxa"/>
            <w:right w:w="108" w:type="dxa"/>
          </w:tblCellMar>
        </w:tblPrEx>
        <w:tc>
          <w:p w14:paraId="448D2475">
            <w:pPr>
              <w:pStyle w:val="24"/>
              <w:rPr>
                <w:rFonts w:ascii="Times New Roman" w:hAnsi="Times New Roman" w:eastAsia="华文宋体"/>
              </w:rPr>
            </w:pPr>
            <w:r>
              <w:rPr>
                <w:rFonts w:hint="eastAsia" w:ascii="Times New Roman" w:hAnsi="Times New Roman" w:eastAsia="华文宋体"/>
              </w:rPr>
              <w:t>所有者权益（亿元）</w:t>
            </w:r>
          </w:p>
        </w:tc>
        <w:tc>
          <w:p w14:paraId="5C025B4A">
            <w:pPr>
              <w:pStyle w:val="24"/>
              <w:jc w:val="right"/>
              <w:rPr>
                <w:rFonts w:ascii="Times New Roman" w:hAnsi="Times New Roman" w:eastAsia="华文宋体"/>
              </w:rPr>
            </w:pPr>
            <w:r>
              <w:rPr>
                <w:rFonts w:ascii="Times New Roman" w:hAnsi="Times New Roman" w:eastAsia="华文宋体"/>
              </w:rPr>
              <w:t>389.55</w:t>
            </w:r>
          </w:p>
        </w:tc>
        <w:tc>
          <w:p w14:paraId="1294152B">
            <w:pPr>
              <w:pStyle w:val="24"/>
              <w:jc w:val="right"/>
              <w:rPr>
                <w:rFonts w:ascii="Times New Roman" w:hAnsi="Times New Roman" w:eastAsia="华文宋体"/>
              </w:rPr>
            </w:pPr>
            <w:r>
              <w:rPr>
                <w:rFonts w:ascii="Times New Roman" w:hAnsi="Times New Roman" w:eastAsia="华文宋体"/>
              </w:rPr>
              <w:t>431.25</w:t>
            </w:r>
          </w:p>
        </w:tc>
        <w:tc>
          <w:p w14:paraId="607649F1">
            <w:pPr>
              <w:pStyle w:val="24"/>
              <w:jc w:val="right"/>
              <w:rPr>
                <w:rFonts w:ascii="Times New Roman" w:hAnsi="Times New Roman" w:eastAsia="华文宋体"/>
              </w:rPr>
            </w:pPr>
            <w:r>
              <w:rPr>
                <w:rFonts w:ascii="Times New Roman" w:hAnsi="Times New Roman" w:eastAsia="华文宋体"/>
              </w:rPr>
              <w:t>432.95</w:t>
            </w:r>
          </w:p>
        </w:tc>
        <w:tc>
          <w:p w14:paraId="3A1818C0">
            <w:pPr>
              <w:pStyle w:val="24"/>
              <w:jc w:val="right"/>
              <w:rPr>
                <w:rFonts w:ascii="Times New Roman" w:hAnsi="Times New Roman" w:eastAsia="华文宋体"/>
              </w:rPr>
            </w:pPr>
            <w:r>
              <w:rPr>
                <w:rFonts w:ascii="Times New Roman" w:hAnsi="Times New Roman" w:eastAsia="华文宋体"/>
              </w:rPr>
              <w:t>477.96</w:t>
            </w:r>
          </w:p>
        </w:tc>
      </w:tr>
      <w:tr w14:paraId="17147D61">
        <w:tblPrEx>
          <w:tblCellMar>
            <w:top w:w="0" w:type="dxa"/>
            <w:left w:w="108" w:type="dxa"/>
            <w:bottom w:w="0" w:type="dxa"/>
            <w:right w:w="108" w:type="dxa"/>
          </w:tblCellMar>
        </w:tblPrEx>
        <w:tc>
          <w:p w14:paraId="3355EAE1">
            <w:pPr>
              <w:pStyle w:val="24"/>
              <w:rPr>
                <w:rFonts w:ascii="Times New Roman" w:hAnsi="Times New Roman" w:eastAsia="华文宋体"/>
              </w:rPr>
            </w:pPr>
            <w:r>
              <w:rPr>
                <w:rFonts w:hint="eastAsia" w:ascii="Times New Roman" w:hAnsi="Times New Roman" w:eastAsia="华文宋体"/>
              </w:rPr>
              <w:t>营业收入（亿元）</w:t>
            </w:r>
          </w:p>
        </w:tc>
        <w:tc>
          <w:p w14:paraId="49513022">
            <w:pPr>
              <w:pStyle w:val="24"/>
              <w:jc w:val="right"/>
              <w:rPr>
                <w:rFonts w:ascii="Times New Roman" w:hAnsi="Times New Roman" w:eastAsia="华文宋体"/>
              </w:rPr>
            </w:pPr>
            <w:r>
              <w:rPr>
                <w:rFonts w:ascii="Times New Roman" w:hAnsi="Times New Roman" w:eastAsia="华文宋体"/>
              </w:rPr>
              <w:t>584.56</w:t>
            </w:r>
          </w:p>
        </w:tc>
        <w:tc>
          <w:p w14:paraId="2127F93D">
            <w:pPr>
              <w:pStyle w:val="24"/>
              <w:jc w:val="right"/>
              <w:rPr>
                <w:rFonts w:ascii="Times New Roman" w:hAnsi="Times New Roman" w:eastAsia="华文宋体"/>
              </w:rPr>
            </w:pPr>
            <w:r>
              <w:rPr>
                <w:rFonts w:ascii="Times New Roman" w:hAnsi="Times New Roman" w:eastAsia="华文宋体"/>
              </w:rPr>
              <w:t>704.21</w:t>
            </w:r>
          </w:p>
        </w:tc>
        <w:tc>
          <w:p w14:paraId="39C266C3">
            <w:pPr>
              <w:pStyle w:val="24"/>
              <w:jc w:val="right"/>
              <w:rPr>
                <w:rFonts w:ascii="Times New Roman" w:hAnsi="Times New Roman" w:eastAsia="华文宋体"/>
              </w:rPr>
            </w:pPr>
            <w:r>
              <w:rPr>
                <w:rFonts w:ascii="Times New Roman" w:hAnsi="Times New Roman" w:eastAsia="华文宋体"/>
              </w:rPr>
              <w:t>763.82</w:t>
            </w:r>
          </w:p>
        </w:tc>
        <w:tc>
          <w:p w14:paraId="4D014182">
            <w:pPr>
              <w:pStyle w:val="24"/>
              <w:jc w:val="right"/>
              <w:rPr>
                <w:rFonts w:ascii="Times New Roman" w:hAnsi="Times New Roman" w:eastAsia="华文宋体"/>
              </w:rPr>
            </w:pPr>
            <w:r>
              <w:rPr>
                <w:rFonts w:ascii="Times New Roman" w:hAnsi="Times New Roman" w:eastAsia="华文宋体"/>
              </w:rPr>
              <w:t>169.94</w:t>
            </w:r>
          </w:p>
        </w:tc>
      </w:tr>
      <w:tr w14:paraId="053B087C">
        <w:tblPrEx>
          <w:tblCellMar>
            <w:top w:w="0" w:type="dxa"/>
            <w:left w:w="108" w:type="dxa"/>
            <w:bottom w:w="0" w:type="dxa"/>
            <w:right w:w="108" w:type="dxa"/>
          </w:tblCellMar>
        </w:tblPrEx>
        <w:tc>
          <w:p w14:paraId="3DD41BB3">
            <w:pPr>
              <w:pStyle w:val="24"/>
              <w:rPr>
                <w:rFonts w:ascii="Times New Roman" w:hAnsi="Times New Roman" w:eastAsia="华文宋体"/>
              </w:rPr>
            </w:pPr>
            <w:r>
              <w:rPr>
                <w:rFonts w:hint="eastAsia" w:ascii="Times New Roman" w:hAnsi="Times New Roman" w:eastAsia="华文宋体"/>
              </w:rPr>
              <w:t>净利润（亿元）</w:t>
            </w:r>
          </w:p>
        </w:tc>
        <w:tc>
          <w:p w14:paraId="77956AE9">
            <w:pPr>
              <w:pStyle w:val="24"/>
              <w:jc w:val="right"/>
              <w:rPr>
                <w:rFonts w:ascii="Times New Roman" w:hAnsi="Times New Roman" w:eastAsia="华文宋体"/>
              </w:rPr>
            </w:pPr>
            <w:r>
              <w:rPr>
                <w:rFonts w:ascii="Times New Roman" w:hAnsi="Times New Roman" w:eastAsia="华文宋体"/>
              </w:rPr>
              <w:t>22.44</w:t>
            </w:r>
          </w:p>
        </w:tc>
        <w:tc>
          <w:p w14:paraId="0FF3D84E">
            <w:pPr>
              <w:pStyle w:val="24"/>
              <w:jc w:val="right"/>
              <w:rPr>
                <w:rFonts w:ascii="Times New Roman" w:hAnsi="Times New Roman" w:eastAsia="华文宋体"/>
              </w:rPr>
            </w:pPr>
            <w:r>
              <w:rPr>
                <w:rFonts w:ascii="Times New Roman" w:hAnsi="Times New Roman" w:eastAsia="华文宋体"/>
              </w:rPr>
              <w:t>36.16</w:t>
            </w:r>
          </w:p>
        </w:tc>
        <w:tc>
          <w:p w14:paraId="1F727D74">
            <w:pPr>
              <w:pStyle w:val="24"/>
              <w:jc w:val="right"/>
              <w:rPr>
                <w:rFonts w:ascii="Times New Roman" w:hAnsi="Times New Roman" w:eastAsia="华文宋体"/>
              </w:rPr>
            </w:pPr>
            <w:r>
              <w:rPr>
                <w:rFonts w:ascii="Times New Roman" w:hAnsi="Times New Roman" w:eastAsia="华文宋体"/>
              </w:rPr>
              <w:t>33.29</w:t>
            </w:r>
          </w:p>
        </w:tc>
        <w:tc>
          <w:p w14:paraId="132286F3">
            <w:pPr>
              <w:pStyle w:val="24"/>
              <w:jc w:val="right"/>
              <w:rPr>
                <w:rFonts w:ascii="Times New Roman" w:hAnsi="Times New Roman" w:eastAsia="华文宋体"/>
              </w:rPr>
            </w:pPr>
            <w:r>
              <w:rPr>
                <w:rFonts w:ascii="Times New Roman" w:hAnsi="Times New Roman" w:eastAsia="华文宋体"/>
              </w:rPr>
              <w:t>3.89</w:t>
            </w:r>
          </w:p>
        </w:tc>
      </w:tr>
      <w:tr w14:paraId="18BEDCC9">
        <w:tblPrEx>
          <w:tblCellMar>
            <w:top w:w="0" w:type="dxa"/>
            <w:left w:w="108" w:type="dxa"/>
            <w:bottom w:w="0" w:type="dxa"/>
            <w:right w:w="108" w:type="dxa"/>
          </w:tblCellMar>
        </w:tblPrEx>
        <w:tc>
          <w:p w14:paraId="6D59350B">
            <w:pPr>
              <w:pStyle w:val="24"/>
              <w:rPr>
                <w:rFonts w:ascii="Times New Roman" w:hAnsi="Times New Roman" w:eastAsia="华文宋体"/>
              </w:rPr>
            </w:pPr>
            <w:r>
              <w:rPr>
                <w:rFonts w:hint="eastAsia" w:ascii="Times New Roman" w:hAnsi="Times New Roman" w:eastAsia="华文宋体"/>
              </w:rPr>
              <w:t>资产负债率（%）</w:t>
            </w:r>
          </w:p>
        </w:tc>
        <w:tc>
          <w:p w14:paraId="0419CA1F">
            <w:pPr>
              <w:pStyle w:val="24"/>
              <w:jc w:val="right"/>
              <w:rPr>
                <w:rFonts w:ascii="Times New Roman" w:hAnsi="Times New Roman" w:eastAsia="华文宋体"/>
              </w:rPr>
            </w:pPr>
            <w:r>
              <w:rPr>
                <w:rFonts w:ascii="Times New Roman" w:hAnsi="Times New Roman" w:eastAsia="华文宋体"/>
              </w:rPr>
              <w:t>67.09</w:t>
            </w:r>
          </w:p>
        </w:tc>
        <w:tc>
          <w:p w14:paraId="7F138136">
            <w:pPr>
              <w:pStyle w:val="24"/>
              <w:jc w:val="right"/>
              <w:rPr>
                <w:rFonts w:ascii="Times New Roman" w:hAnsi="Times New Roman" w:eastAsia="华文宋体"/>
              </w:rPr>
            </w:pPr>
            <w:r>
              <w:rPr>
                <w:rFonts w:ascii="Times New Roman" w:hAnsi="Times New Roman" w:eastAsia="华文宋体"/>
              </w:rPr>
              <w:t>65.39</w:t>
            </w:r>
          </w:p>
        </w:tc>
        <w:tc>
          <w:p w14:paraId="6DBDA378">
            <w:pPr>
              <w:pStyle w:val="24"/>
              <w:jc w:val="right"/>
              <w:rPr>
                <w:rFonts w:ascii="Times New Roman" w:hAnsi="Times New Roman" w:eastAsia="华文宋体"/>
              </w:rPr>
            </w:pPr>
            <w:r>
              <w:rPr>
                <w:rFonts w:ascii="Times New Roman" w:hAnsi="Times New Roman" w:eastAsia="华文宋体"/>
              </w:rPr>
              <w:t>68.84</w:t>
            </w:r>
          </w:p>
        </w:tc>
        <w:tc>
          <w:p w14:paraId="1D3964FD">
            <w:pPr>
              <w:pStyle w:val="24"/>
              <w:jc w:val="right"/>
              <w:rPr>
                <w:rFonts w:ascii="Times New Roman" w:hAnsi="Times New Roman" w:eastAsia="华文宋体"/>
              </w:rPr>
            </w:pPr>
            <w:r>
              <w:rPr>
                <w:rFonts w:ascii="Times New Roman" w:hAnsi="Times New Roman" w:eastAsia="华文宋体"/>
              </w:rPr>
              <w:t>67.24</w:t>
            </w:r>
          </w:p>
        </w:tc>
      </w:tr>
      <w:bookmarkEnd w:id="112"/>
    </w:tbl>
    <w:p w14:paraId="6E1863C9">
      <w:pPr>
        <w:pStyle w:val="5"/>
        <w:rPr>
          <w:rFonts w:ascii="Times New Roman" w:hAnsi="Times New Roman" w:eastAsia="华文宋体"/>
        </w:rPr>
      </w:pPr>
      <w:bookmarkStart w:id="113" w:name="附录二-九龙江集团2024年业务构成摘要"/>
      <w:r>
        <w:rPr>
          <w:rFonts w:hint="eastAsia" w:ascii="Times New Roman" w:hAnsi="Times New Roman" w:eastAsia="华文宋体"/>
        </w:rPr>
        <w:t>附录二</w:t>
      </w:r>
      <w:r>
        <w:rPr>
          <w:rFonts w:ascii="Times New Roman" w:hAnsi="Times New Roman" w:eastAsia="华文宋体"/>
        </w:rPr>
        <w:t xml:space="preserve"> </w:t>
      </w:r>
      <w:r>
        <w:rPr>
          <w:rFonts w:hint="eastAsia" w:ascii="Times New Roman" w:hAnsi="Times New Roman" w:eastAsia="华文宋体"/>
        </w:rPr>
        <w:t>九龙江集团2024年业务构成摘要</w:t>
      </w:r>
    </w:p>
    <w:tbl>
      <w:tblPr>
        <w:tblStyle w:val="41"/>
        <w:tblW w:w="0" w:type="auto"/>
        <w:tblInd w:w="0" w:type="dxa"/>
        <w:tblLayout w:type="autofit"/>
        <w:tblCellMar>
          <w:top w:w="0" w:type="dxa"/>
          <w:left w:w="108" w:type="dxa"/>
          <w:bottom w:w="0" w:type="dxa"/>
          <w:right w:w="108" w:type="dxa"/>
        </w:tblCellMar>
      </w:tblPr>
      <w:tblGrid>
        <w:gridCol w:w="1286"/>
        <w:gridCol w:w="1551"/>
        <w:gridCol w:w="1727"/>
        <w:gridCol w:w="1519"/>
        <w:gridCol w:w="2773"/>
      </w:tblGrid>
      <w:tr w14:paraId="1AD6955F">
        <w:tblPrEx>
          <w:tblCellMar>
            <w:top w:w="0" w:type="dxa"/>
            <w:left w:w="108" w:type="dxa"/>
            <w:bottom w:w="0" w:type="dxa"/>
            <w:right w:w="108" w:type="dxa"/>
          </w:tblCellMar>
        </w:tblPrEx>
        <w:trPr>
          <w:tblHeader/>
        </w:trPr>
        <w:tc>
          <w:p w14:paraId="24AE86F4">
            <w:pPr>
              <w:pStyle w:val="24"/>
              <w:rPr>
                <w:rFonts w:ascii="Times New Roman" w:hAnsi="Times New Roman" w:eastAsia="华文宋体"/>
              </w:rPr>
            </w:pPr>
            <w:r>
              <w:rPr>
                <w:rFonts w:hint="eastAsia" w:ascii="Times New Roman" w:hAnsi="Times New Roman" w:eastAsia="华文宋体"/>
              </w:rPr>
              <w:t>业务板块</w:t>
            </w:r>
          </w:p>
        </w:tc>
        <w:tc>
          <w:p w14:paraId="5B1ABFB2">
            <w:pPr>
              <w:pStyle w:val="24"/>
              <w:jc w:val="right"/>
              <w:rPr>
                <w:rFonts w:ascii="Times New Roman" w:hAnsi="Times New Roman" w:eastAsia="华文宋体"/>
              </w:rPr>
            </w:pPr>
            <w:r>
              <w:rPr>
                <w:rFonts w:hint="eastAsia" w:ascii="Times New Roman" w:hAnsi="Times New Roman" w:eastAsia="华文宋体"/>
              </w:rPr>
              <w:t>收入（亿元）</w:t>
            </w:r>
          </w:p>
        </w:tc>
        <w:tc>
          <w:p w14:paraId="48594D59">
            <w:pPr>
              <w:pStyle w:val="24"/>
              <w:jc w:val="right"/>
              <w:rPr>
                <w:rFonts w:ascii="Times New Roman" w:hAnsi="Times New Roman" w:eastAsia="华文宋体"/>
              </w:rPr>
            </w:pPr>
            <w:r>
              <w:rPr>
                <w:rFonts w:hint="eastAsia" w:ascii="Times New Roman" w:hAnsi="Times New Roman" w:eastAsia="华文宋体"/>
              </w:rPr>
              <w:t>收入占比（%）</w:t>
            </w:r>
          </w:p>
        </w:tc>
        <w:tc>
          <w:p w14:paraId="206E79BB">
            <w:pPr>
              <w:pStyle w:val="24"/>
              <w:jc w:val="right"/>
              <w:rPr>
                <w:rFonts w:ascii="Times New Roman" w:hAnsi="Times New Roman" w:eastAsia="华文宋体"/>
              </w:rPr>
            </w:pPr>
            <w:r>
              <w:rPr>
                <w:rFonts w:hint="eastAsia" w:ascii="Times New Roman" w:hAnsi="Times New Roman" w:eastAsia="华文宋体"/>
              </w:rPr>
              <w:t>毛利率（%）</w:t>
            </w:r>
          </w:p>
        </w:tc>
        <w:tc>
          <w:p w14:paraId="047B1678">
            <w:pPr>
              <w:pStyle w:val="24"/>
              <w:rPr>
                <w:rFonts w:ascii="Times New Roman" w:hAnsi="Times New Roman" w:eastAsia="华文宋体"/>
              </w:rPr>
            </w:pPr>
            <w:r>
              <w:rPr>
                <w:rFonts w:hint="eastAsia" w:ascii="Times New Roman" w:hAnsi="Times New Roman" w:eastAsia="华文宋体"/>
              </w:rPr>
              <w:t>主要特征</w:t>
            </w:r>
          </w:p>
        </w:tc>
      </w:tr>
      <w:tr w14:paraId="4FC16A95">
        <w:tblPrEx>
          <w:tblCellMar>
            <w:top w:w="0" w:type="dxa"/>
            <w:left w:w="108" w:type="dxa"/>
            <w:bottom w:w="0" w:type="dxa"/>
            <w:right w:w="108" w:type="dxa"/>
          </w:tblCellMar>
        </w:tblPrEx>
        <w:tc>
          <w:p w14:paraId="01AC1213">
            <w:pPr>
              <w:pStyle w:val="24"/>
              <w:rPr>
                <w:rFonts w:ascii="Times New Roman" w:hAnsi="Times New Roman" w:eastAsia="华文宋体"/>
              </w:rPr>
            </w:pPr>
            <w:r>
              <w:rPr>
                <w:rFonts w:hint="eastAsia" w:ascii="Times New Roman" w:hAnsi="Times New Roman" w:eastAsia="华文宋体"/>
              </w:rPr>
              <w:t>药业</w:t>
            </w:r>
          </w:p>
        </w:tc>
        <w:tc>
          <w:p w14:paraId="1636CD69">
            <w:pPr>
              <w:pStyle w:val="24"/>
              <w:jc w:val="right"/>
              <w:rPr>
                <w:rFonts w:ascii="Times New Roman" w:hAnsi="Times New Roman" w:eastAsia="华文宋体"/>
              </w:rPr>
            </w:pPr>
            <w:r>
              <w:rPr>
                <w:rFonts w:ascii="Times New Roman" w:hAnsi="Times New Roman" w:eastAsia="华文宋体"/>
              </w:rPr>
              <w:t>107.56</w:t>
            </w:r>
          </w:p>
        </w:tc>
        <w:tc>
          <w:p w14:paraId="4D151EBC">
            <w:pPr>
              <w:pStyle w:val="24"/>
              <w:jc w:val="right"/>
              <w:rPr>
                <w:rFonts w:ascii="Times New Roman" w:hAnsi="Times New Roman" w:eastAsia="华文宋体"/>
              </w:rPr>
            </w:pPr>
            <w:r>
              <w:rPr>
                <w:rFonts w:ascii="Times New Roman" w:hAnsi="Times New Roman" w:eastAsia="华文宋体"/>
              </w:rPr>
              <w:t>14.08</w:t>
            </w:r>
          </w:p>
        </w:tc>
        <w:tc>
          <w:p w14:paraId="0558E9B3">
            <w:pPr>
              <w:pStyle w:val="24"/>
              <w:jc w:val="right"/>
              <w:rPr>
                <w:rFonts w:ascii="Times New Roman" w:hAnsi="Times New Roman" w:eastAsia="华文宋体"/>
              </w:rPr>
            </w:pPr>
            <w:r>
              <w:rPr>
                <w:rFonts w:ascii="Times New Roman" w:hAnsi="Times New Roman" w:eastAsia="华文宋体"/>
              </w:rPr>
              <w:t>42.84</w:t>
            </w:r>
          </w:p>
        </w:tc>
        <w:tc>
          <w:p w14:paraId="635737DE">
            <w:pPr>
              <w:pStyle w:val="24"/>
              <w:rPr>
                <w:rFonts w:ascii="Times New Roman" w:hAnsi="Times New Roman" w:eastAsia="华文宋体"/>
              </w:rPr>
            </w:pPr>
            <w:r>
              <w:rPr>
                <w:rFonts w:hint="eastAsia" w:ascii="Times New Roman" w:hAnsi="Times New Roman" w:eastAsia="华文宋体"/>
              </w:rPr>
              <w:t>利润核心来源，品牌价值高</w:t>
            </w:r>
          </w:p>
        </w:tc>
      </w:tr>
      <w:tr w14:paraId="1C9DB310">
        <w:tblPrEx>
          <w:tblCellMar>
            <w:top w:w="0" w:type="dxa"/>
            <w:left w:w="108" w:type="dxa"/>
            <w:bottom w:w="0" w:type="dxa"/>
            <w:right w:w="108" w:type="dxa"/>
          </w:tblCellMar>
        </w:tblPrEx>
        <w:tc>
          <w:p w14:paraId="0B075D7A">
            <w:pPr>
              <w:pStyle w:val="24"/>
              <w:rPr>
                <w:rFonts w:ascii="Times New Roman" w:hAnsi="Times New Roman" w:eastAsia="华文宋体"/>
              </w:rPr>
            </w:pPr>
            <w:r>
              <w:rPr>
                <w:rFonts w:hint="eastAsia" w:ascii="Times New Roman" w:hAnsi="Times New Roman" w:eastAsia="华文宋体"/>
              </w:rPr>
              <w:t>机械制造</w:t>
            </w:r>
          </w:p>
        </w:tc>
        <w:tc>
          <w:p w14:paraId="02E20003">
            <w:pPr>
              <w:pStyle w:val="24"/>
              <w:jc w:val="right"/>
              <w:rPr>
                <w:rFonts w:ascii="Times New Roman" w:hAnsi="Times New Roman" w:eastAsia="华文宋体"/>
              </w:rPr>
            </w:pPr>
            <w:r>
              <w:rPr>
                <w:rFonts w:ascii="Times New Roman" w:hAnsi="Times New Roman" w:eastAsia="华文宋体"/>
              </w:rPr>
              <w:t>9.59</w:t>
            </w:r>
          </w:p>
        </w:tc>
        <w:tc>
          <w:p w14:paraId="1049411F">
            <w:pPr>
              <w:pStyle w:val="24"/>
              <w:jc w:val="right"/>
              <w:rPr>
                <w:rFonts w:ascii="Times New Roman" w:hAnsi="Times New Roman" w:eastAsia="华文宋体"/>
              </w:rPr>
            </w:pPr>
            <w:r>
              <w:rPr>
                <w:rFonts w:ascii="Times New Roman" w:hAnsi="Times New Roman" w:eastAsia="华文宋体"/>
              </w:rPr>
              <w:t>1.26</w:t>
            </w:r>
          </w:p>
        </w:tc>
        <w:tc>
          <w:p w14:paraId="4832D206">
            <w:pPr>
              <w:pStyle w:val="24"/>
              <w:jc w:val="right"/>
              <w:rPr>
                <w:rFonts w:ascii="Times New Roman" w:hAnsi="Times New Roman" w:eastAsia="华文宋体"/>
              </w:rPr>
            </w:pPr>
            <w:r>
              <w:rPr>
                <w:rFonts w:ascii="Times New Roman" w:hAnsi="Times New Roman" w:eastAsia="华文宋体"/>
              </w:rPr>
              <w:t>27.98</w:t>
            </w:r>
          </w:p>
        </w:tc>
        <w:tc>
          <w:p w14:paraId="68399B9F">
            <w:pPr>
              <w:pStyle w:val="24"/>
              <w:rPr>
                <w:rFonts w:ascii="Times New Roman" w:hAnsi="Times New Roman" w:eastAsia="华文宋体"/>
              </w:rPr>
            </w:pPr>
            <w:r>
              <w:rPr>
                <w:rFonts w:hint="eastAsia" w:ascii="Times New Roman" w:hAnsi="Times New Roman" w:eastAsia="华文宋体"/>
              </w:rPr>
              <w:t>规模较小但盈利能力较好</w:t>
            </w:r>
          </w:p>
        </w:tc>
      </w:tr>
      <w:tr w14:paraId="434B0626">
        <w:tblPrEx>
          <w:tblCellMar>
            <w:top w:w="0" w:type="dxa"/>
            <w:left w:w="108" w:type="dxa"/>
            <w:bottom w:w="0" w:type="dxa"/>
            <w:right w:w="108" w:type="dxa"/>
          </w:tblCellMar>
        </w:tblPrEx>
        <w:tc>
          <w:p w14:paraId="1757349F">
            <w:pPr>
              <w:pStyle w:val="24"/>
              <w:rPr>
                <w:rFonts w:ascii="Times New Roman" w:hAnsi="Times New Roman" w:eastAsia="华文宋体"/>
              </w:rPr>
            </w:pPr>
            <w:r>
              <w:rPr>
                <w:rFonts w:hint="eastAsia" w:ascii="Times New Roman" w:hAnsi="Times New Roman" w:eastAsia="华文宋体"/>
              </w:rPr>
              <w:t>资金管理</w:t>
            </w:r>
          </w:p>
        </w:tc>
        <w:tc>
          <w:p w14:paraId="442115B8">
            <w:pPr>
              <w:pStyle w:val="24"/>
              <w:jc w:val="right"/>
              <w:rPr>
                <w:rFonts w:ascii="Times New Roman" w:hAnsi="Times New Roman" w:eastAsia="华文宋体"/>
              </w:rPr>
            </w:pPr>
            <w:r>
              <w:rPr>
                <w:rFonts w:ascii="Times New Roman" w:hAnsi="Times New Roman" w:eastAsia="华文宋体"/>
              </w:rPr>
              <w:t>28.39</w:t>
            </w:r>
          </w:p>
        </w:tc>
        <w:tc>
          <w:p w14:paraId="02FD9BD1">
            <w:pPr>
              <w:pStyle w:val="24"/>
              <w:jc w:val="right"/>
              <w:rPr>
                <w:rFonts w:ascii="Times New Roman" w:hAnsi="Times New Roman" w:eastAsia="华文宋体"/>
              </w:rPr>
            </w:pPr>
            <w:r>
              <w:rPr>
                <w:rFonts w:ascii="Times New Roman" w:hAnsi="Times New Roman" w:eastAsia="华文宋体"/>
              </w:rPr>
              <w:t>3.72</w:t>
            </w:r>
          </w:p>
        </w:tc>
        <w:tc>
          <w:p w14:paraId="7B3969EB">
            <w:pPr>
              <w:pStyle w:val="24"/>
              <w:jc w:val="right"/>
              <w:rPr>
                <w:rFonts w:ascii="Times New Roman" w:hAnsi="Times New Roman" w:eastAsia="华文宋体"/>
              </w:rPr>
            </w:pPr>
            <w:r>
              <w:rPr>
                <w:rFonts w:ascii="Times New Roman" w:hAnsi="Times New Roman" w:eastAsia="华文宋体"/>
              </w:rPr>
              <w:t>54.22</w:t>
            </w:r>
          </w:p>
        </w:tc>
        <w:tc>
          <w:p w14:paraId="0C05C4B5">
            <w:pPr>
              <w:pStyle w:val="24"/>
              <w:rPr>
                <w:rFonts w:ascii="Times New Roman" w:hAnsi="Times New Roman" w:eastAsia="华文宋体"/>
              </w:rPr>
            </w:pPr>
            <w:r>
              <w:rPr>
                <w:rFonts w:hint="eastAsia" w:ascii="Times New Roman" w:hAnsi="Times New Roman" w:eastAsia="华文宋体"/>
              </w:rPr>
              <w:t>对利润和资金统筹有支撑</w:t>
            </w:r>
          </w:p>
        </w:tc>
      </w:tr>
      <w:tr w14:paraId="7D466E0D">
        <w:tblPrEx>
          <w:tblCellMar>
            <w:top w:w="0" w:type="dxa"/>
            <w:left w:w="108" w:type="dxa"/>
            <w:bottom w:w="0" w:type="dxa"/>
            <w:right w:w="108" w:type="dxa"/>
          </w:tblCellMar>
        </w:tblPrEx>
        <w:tc>
          <w:p w14:paraId="1F3E988D">
            <w:pPr>
              <w:pStyle w:val="24"/>
              <w:rPr>
                <w:rFonts w:ascii="Times New Roman" w:hAnsi="Times New Roman" w:eastAsia="华文宋体"/>
              </w:rPr>
            </w:pPr>
            <w:r>
              <w:rPr>
                <w:rFonts w:hint="eastAsia" w:ascii="Times New Roman" w:hAnsi="Times New Roman" w:eastAsia="华文宋体"/>
              </w:rPr>
              <w:t>贸易及其他</w:t>
            </w:r>
          </w:p>
        </w:tc>
        <w:tc>
          <w:p w14:paraId="2B9DCBFF">
            <w:pPr>
              <w:pStyle w:val="24"/>
              <w:jc w:val="right"/>
              <w:rPr>
                <w:rFonts w:ascii="Times New Roman" w:hAnsi="Times New Roman" w:eastAsia="华文宋体"/>
              </w:rPr>
            </w:pPr>
            <w:r>
              <w:rPr>
                <w:rFonts w:ascii="Times New Roman" w:hAnsi="Times New Roman" w:eastAsia="华文宋体"/>
              </w:rPr>
              <w:t>618.28</w:t>
            </w:r>
          </w:p>
        </w:tc>
        <w:tc>
          <w:p w14:paraId="1FD747B6">
            <w:pPr>
              <w:pStyle w:val="24"/>
              <w:jc w:val="right"/>
              <w:rPr>
                <w:rFonts w:ascii="Times New Roman" w:hAnsi="Times New Roman" w:eastAsia="华文宋体"/>
              </w:rPr>
            </w:pPr>
            <w:r>
              <w:rPr>
                <w:rFonts w:ascii="Times New Roman" w:hAnsi="Times New Roman" w:eastAsia="华文宋体"/>
              </w:rPr>
              <w:t>80.94</w:t>
            </w:r>
          </w:p>
        </w:tc>
        <w:tc>
          <w:p w14:paraId="36B4AC74">
            <w:pPr>
              <w:pStyle w:val="24"/>
              <w:jc w:val="right"/>
              <w:rPr>
                <w:rFonts w:ascii="Times New Roman" w:hAnsi="Times New Roman" w:eastAsia="华文宋体"/>
              </w:rPr>
            </w:pPr>
            <w:r>
              <w:rPr>
                <w:rFonts w:hint="eastAsia" w:ascii="Times New Roman" w:hAnsi="Times New Roman" w:eastAsia="华文宋体"/>
              </w:rPr>
              <w:t>0.58左右</w:t>
            </w:r>
          </w:p>
        </w:tc>
        <w:tc>
          <w:p w14:paraId="5BDB7DD9">
            <w:pPr>
              <w:pStyle w:val="24"/>
              <w:rPr>
                <w:rFonts w:ascii="Times New Roman" w:hAnsi="Times New Roman" w:eastAsia="华文宋体"/>
              </w:rPr>
            </w:pPr>
            <w:r>
              <w:rPr>
                <w:rFonts w:hint="eastAsia" w:ascii="Times New Roman" w:hAnsi="Times New Roman" w:eastAsia="华文宋体"/>
              </w:rPr>
              <w:t>收入规模大但盈利贡献有限</w:t>
            </w:r>
          </w:p>
        </w:tc>
      </w:tr>
      <w:bookmarkEnd w:id="113"/>
    </w:tbl>
    <w:p w14:paraId="2A8BA5CC">
      <w:pPr>
        <w:pStyle w:val="5"/>
        <w:rPr>
          <w:rFonts w:ascii="Times New Roman" w:hAnsi="Times New Roman" w:eastAsia="华文宋体"/>
        </w:rPr>
      </w:pPr>
      <w:bookmarkStart w:id="114" w:name="附录三-九龙江集团境外债融资风险识别清单"/>
      <w:r>
        <w:rPr>
          <w:rFonts w:hint="eastAsia" w:ascii="Times New Roman" w:hAnsi="Times New Roman" w:eastAsia="华文宋体"/>
        </w:rPr>
        <w:t>附录三</w:t>
      </w:r>
      <w:r>
        <w:rPr>
          <w:rFonts w:ascii="Times New Roman" w:hAnsi="Times New Roman" w:eastAsia="华文宋体"/>
        </w:rPr>
        <w:t xml:space="preserve"> </w:t>
      </w:r>
      <w:r>
        <w:rPr>
          <w:rFonts w:hint="eastAsia" w:ascii="Times New Roman" w:hAnsi="Times New Roman" w:eastAsia="华文宋体"/>
        </w:rPr>
        <w:t>九龙江集团境外债融资风险识别清单</w:t>
      </w:r>
    </w:p>
    <w:p w14:paraId="1AD3CB91">
      <w:pPr>
        <w:pStyle w:val="24"/>
        <w:numPr>
          <w:ilvl w:val="0"/>
          <w:numId w:val="1"/>
        </w:numPr>
        <w:rPr>
          <w:rFonts w:ascii="Times New Roman" w:hAnsi="Times New Roman" w:eastAsia="华文宋体"/>
        </w:rPr>
      </w:pPr>
      <w:r>
        <w:rPr>
          <w:rFonts w:hint="eastAsia" w:ascii="Times New Roman" w:hAnsi="Times New Roman" w:eastAsia="华文宋体"/>
        </w:rPr>
        <w:t>是否存在足够覆盖美元债利息和本金的外币经营现金流。</w:t>
      </w:r>
    </w:p>
    <w:p w14:paraId="78DEAE22">
      <w:pPr>
        <w:pStyle w:val="24"/>
        <w:numPr>
          <w:ilvl w:val="0"/>
          <w:numId w:val="1"/>
        </w:numPr>
        <w:rPr>
          <w:rFonts w:ascii="Times New Roman" w:hAnsi="Times New Roman" w:eastAsia="华文宋体"/>
        </w:rPr>
      </w:pPr>
      <w:r>
        <w:rPr>
          <w:rFonts w:hint="eastAsia" w:ascii="Times New Roman" w:hAnsi="Times New Roman" w:eastAsia="华文宋体"/>
        </w:rPr>
        <w:t>是否建立了年度、季度和月度三个层次的外币偿债现金流预测机制。</w:t>
      </w:r>
    </w:p>
    <w:p w14:paraId="24314F00">
      <w:pPr>
        <w:pStyle w:val="24"/>
        <w:numPr>
          <w:ilvl w:val="0"/>
          <w:numId w:val="1"/>
        </w:numPr>
        <w:rPr>
          <w:rFonts w:ascii="Times New Roman" w:hAnsi="Times New Roman" w:eastAsia="华文宋体"/>
        </w:rPr>
      </w:pPr>
      <w:r>
        <w:rPr>
          <w:rFonts w:hint="eastAsia" w:ascii="Times New Roman" w:hAnsi="Times New Roman" w:eastAsia="华文宋体"/>
        </w:rPr>
        <w:t>是否形成滚动套保制度，并明确远期、掉期、互换等工具的授权边界。</w:t>
      </w:r>
    </w:p>
    <w:p w14:paraId="12839516">
      <w:pPr>
        <w:pStyle w:val="24"/>
        <w:numPr>
          <w:ilvl w:val="0"/>
          <w:numId w:val="1"/>
        </w:numPr>
        <w:rPr>
          <w:rFonts w:ascii="Times New Roman" w:hAnsi="Times New Roman" w:eastAsia="华文宋体"/>
        </w:rPr>
      </w:pPr>
      <w:r>
        <w:rPr>
          <w:rFonts w:hint="eastAsia" w:ascii="Times New Roman" w:hAnsi="Times New Roman" w:eastAsia="华文宋体"/>
        </w:rPr>
        <w:t>外债到期是否与境内债、银行授信到期形成过度重叠。</w:t>
      </w:r>
    </w:p>
    <w:p w14:paraId="3ED1A7BE">
      <w:pPr>
        <w:pStyle w:val="24"/>
        <w:numPr>
          <w:ilvl w:val="0"/>
          <w:numId w:val="1"/>
        </w:numPr>
        <w:rPr>
          <w:rFonts w:ascii="Times New Roman" w:hAnsi="Times New Roman" w:eastAsia="华文宋体"/>
        </w:rPr>
      </w:pPr>
      <w:r>
        <w:rPr>
          <w:rFonts w:hint="eastAsia" w:ascii="Times New Roman" w:hAnsi="Times New Roman" w:eastAsia="华文宋体"/>
        </w:rPr>
        <w:t>募集资金是否严格按照审核登记和募集说明文件用途使用。</w:t>
      </w:r>
    </w:p>
    <w:p w14:paraId="43041347">
      <w:pPr>
        <w:pStyle w:val="24"/>
        <w:numPr>
          <w:ilvl w:val="0"/>
          <w:numId w:val="1"/>
        </w:numPr>
        <w:rPr>
          <w:rFonts w:ascii="Times New Roman" w:hAnsi="Times New Roman" w:eastAsia="华文宋体"/>
        </w:rPr>
      </w:pPr>
      <w:r>
        <w:rPr>
          <w:rFonts w:hint="eastAsia" w:ascii="Times New Roman" w:hAnsi="Times New Roman" w:eastAsia="华文宋体"/>
        </w:rPr>
        <w:t>重大项目投资回款节奏是否与债务期限相匹配。</w:t>
      </w:r>
      <w:bookmarkStart w:id="115" w:name="_GoBack"/>
      <w:bookmarkEnd w:id="115"/>
    </w:p>
    <w:p w14:paraId="11BF4918">
      <w:pPr>
        <w:pStyle w:val="24"/>
        <w:numPr>
          <w:ilvl w:val="0"/>
          <w:numId w:val="1"/>
        </w:numPr>
        <w:rPr>
          <w:rFonts w:ascii="Times New Roman" w:hAnsi="Times New Roman" w:eastAsia="华文宋体"/>
        </w:rPr>
      </w:pPr>
      <w:r>
        <w:rPr>
          <w:rFonts w:hint="eastAsia" w:ascii="Times New Roman" w:hAnsi="Times New Roman" w:eastAsia="华文宋体"/>
        </w:rPr>
        <w:t>是否建立常态化英文披露与投资者沟通机制。</w:t>
      </w:r>
    </w:p>
    <w:p w14:paraId="49B53F3D">
      <w:pPr>
        <w:pStyle w:val="24"/>
        <w:numPr>
          <w:ilvl w:val="0"/>
          <w:numId w:val="1"/>
        </w:numPr>
        <w:rPr>
          <w:rFonts w:ascii="Times New Roman" w:hAnsi="Times New Roman" w:eastAsia="华文宋体"/>
        </w:rPr>
      </w:pPr>
      <w:r>
        <w:rPr>
          <w:rFonts w:hint="eastAsia" w:ascii="Times New Roman" w:hAnsi="Times New Roman" w:eastAsia="华文宋体"/>
        </w:rPr>
        <w:t>若境外窗口关闭，是否具备境内替代融资或资产流动化方案。</w:t>
      </w:r>
    </w:p>
    <w:bookmarkEnd w:id="0"/>
    <w:bookmarkEnd w:id="111"/>
    <w:bookmarkEnd w:id="11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华文宋体">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2BD75B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38971</Words>
  <Characters>42341</Characters>
  <Lines>12</Lines>
  <Paragraphs>8</Paragraphs>
  <TotalTime>168</TotalTime>
  <ScaleCrop>false</ScaleCrop>
  <LinksUpToDate>false</LinksUpToDate>
  <CharactersWithSpaces>43007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2026-03-09T14:57:00Z</dcterms:created>
  <dc:creator>bogu</dc:creator>
  <cp:lastModifiedBy>bogu</cp:lastModifiedBy>
  <dcterms:modified xsi:type="dcterms:W3CDTF">2026-03-10T16:19:11Z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eyJoZGlkIjoiYzMyMDQwNDI3ZDQyNWQwYTYzNDUwM2RmMjA4Nzc2N2UiLCJ1c2VySWQiOiIyNjEwMTUwNDkifQ==</vt:lpwstr>
  </property>
  <property fmtid="{D5CDD505-2E9C-101B-9397-08002B2CF9AE}" pid="3" name="KSOProductBuildVer">
    <vt:lpwstr>2052-12.1.0.25225</vt:lpwstr>
  </property>
  <property fmtid="{D5CDD505-2E9C-101B-9397-08002B2CF9AE}" pid="4" name="ICV">
    <vt:lpwstr>1BBFB0DA3AEF46EDBF68092098908F86_12</vt:lpwstr>
  </property>
</Properties>
</file>