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F45F3B">
      <w:pPr>
        <w:pStyle w:val="140"/>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36"/>
        </w:rPr>
        <w:t xml:space="preserve">ВСТУП</w:t>
      </w:r>
      <w:r/>
    </w:p>
    <w:p w14:paraId="4208E9B6">
      <w:pPr>
        <w:pBdr>
          <w:top w:val="none" w:color="000000" w:sz="4" w:space="0"/>
          <w:left w:val="none" w:color="000000" w:sz="4" w:space="0"/>
          <w:bottom w:val="none" w:color="000000" w:sz="4" w:space="0"/>
          <w:right w:val="none" w:color="000000" w:sz="4" w:space="0"/>
        </w:pBdr>
        <w:bidi w:val="false"/>
        <w:spacing/>
        <w:ind w:right="0" w:firstLine="0" w:left="0"/>
        <w:rPr>
          <w:sz w:val="28"/>
          <w:szCs w:val="28"/>
        </w:rPr>
      </w:pPr>
      <w:r>
        <w:rPr>
          <w:rFonts w:ascii="Times New Roman" w:hAnsi="Times New Roman" w:eastAsia="Times New Roman" w:cs="Times New Roman"/>
          <w:b/>
          <w:color w:val="000000"/>
          <w:sz w:val="28"/>
          <w:szCs w:val="28"/>
        </w:rPr>
        <w:t xml:space="preserve">Актуальність теми.</w:t>
      </w:r>
      <w:r>
        <w:rPr>
          <w:rFonts w:ascii="Times New Roman" w:hAnsi="Times New Roman" w:eastAsia="Times New Roman" w:cs="Times New Roman"/>
          <w:color w:val="000000"/>
          <w:sz w:val="28"/>
          <w:szCs w:val="28"/>
        </w:rPr>
        <w:t xml:space="preserve"> У сучасному світі права людини є фундаментальною цінністю, навколо якої будується правова система будь-якої демократичної держави. Питання забезпечення та захисту прав і свобод особи набуває особливої гостроти в умовах глобальних викликів, збройних конфлі</w:t>
      </w:r>
      <w:r>
        <w:rPr>
          <w:rFonts w:ascii="Times New Roman" w:hAnsi="Times New Roman" w:eastAsia="Times New Roman" w:cs="Times New Roman"/>
          <w:color w:val="000000"/>
          <w:sz w:val="28"/>
          <w:szCs w:val="28"/>
        </w:rPr>
        <w:t xml:space="preserve">ктів та трансформації міжнародного правопорядку. Для України, яка обрала шлях євроінтеграції, приведення національного механізму захисту прав людини у відповідність до міжнародних стандартів є не лише юридичним обов’язком, а й необхідною умовою сталого роз</w:t>
      </w:r>
      <w:r>
        <w:rPr>
          <w:rFonts w:ascii="Times New Roman" w:hAnsi="Times New Roman" w:eastAsia="Times New Roman" w:cs="Times New Roman"/>
          <w:color w:val="000000"/>
          <w:sz w:val="28"/>
          <w:szCs w:val="28"/>
        </w:rPr>
        <w:t xml:space="preserve">витку суспільства. Станом на 2026 рік, в умовах подолання наслідків правового режиму воєнного стану та активної цифрової трансформації державних послуг, дослідження ефективності засобів захисту прав особи стає пріоритетним завданням юридичної науки.</w:t>
      </w:r>
      <w:r>
        <w:rPr>
          <w:sz w:val="28"/>
          <w:szCs w:val="28"/>
        </w:rPr>
      </w:r>
    </w:p>
    <w:p w14:paraId="1D5F5415">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Об’єктом дослідження</w:t>
      </w:r>
      <w:r>
        <w:rPr>
          <w:rFonts w:ascii="Times New Roman" w:hAnsi="Times New Roman" w:eastAsia="Times New Roman" w:cs="Times New Roman"/>
          <w:color w:val="000000"/>
          <w:sz w:val="28"/>
          <w:szCs w:val="28"/>
        </w:rPr>
        <w:t xml:space="preserve"> є суспільні відносини, що виникають у процесі реалізації, забезпечення та захисту прав і свобод людини і громадянина на міжнародному та національному рівнях.</w:t>
      </w:r>
      <w:r>
        <w:rPr>
          <w:sz w:val="28"/>
          <w:szCs w:val="28"/>
        </w:rPr>
      </w:r>
    </w:p>
    <w:p w14:paraId="0DB2C3A5">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Предметом дослідження</w:t>
      </w:r>
      <w:r>
        <w:rPr>
          <w:rFonts w:ascii="Times New Roman" w:hAnsi="Times New Roman" w:eastAsia="Times New Roman" w:cs="Times New Roman"/>
          <w:color w:val="000000"/>
          <w:sz w:val="28"/>
          <w:szCs w:val="28"/>
        </w:rPr>
        <w:t xml:space="preserve"> є теоретичні засади концепції прав людини, міжнародно-правові акти (ООН, Рада Європи) та норми національного законодавства України, що регулюють функціонування механізмів захисту прав особи.</w:t>
      </w:r>
      <w:r>
        <w:rPr>
          <w:sz w:val="28"/>
          <w:szCs w:val="28"/>
        </w:rPr>
      </w:r>
    </w:p>
    <w:p w14:paraId="13AFC606">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Метою курсової роботи</w:t>
      </w:r>
      <w:r>
        <w:rPr>
          <w:rFonts w:ascii="Times New Roman" w:hAnsi="Times New Roman" w:eastAsia="Times New Roman" w:cs="Times New Roman"/>
          <w:color w:val="000000"/>
          <w:sz w:val="28"/>
          <w:szCs w:val="28"/>
        </w:rPr>
        <w:t xml:space="preserve"> є здійснення комплексного аналізу міжнародних стандартів прав людини, дослідження еволюції їх формування та оцінка ефективності сучасного національного механізму їх захисту в Україні.</w:t>
      </w:r>
      <w:r>
        <w:rPr>
          <w:sz w:val="28"/>
          <w:szCs w:val="28"/>
        </w:rPr>
      </w:r>
    </w:p>
    <w:p w14:paraId="3E0B104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Для досягнення поставленої мети визначено такі завдання:</w:t>
      </w:r>
      <w:r>
        <w:rPr>
          <w:sz w:val="28"/>
          <w:szCs w:val="28"/>
        </w:rPr>
      </w:r>
    </w:p>
    <w:p w14:paraId="1C03CF63">
      <w:pPr>
        <w:pStyle w:val="668"/>
        <w:numPr>
          <w:ilvl w:val="0"/>
          <w:numId w:val="19"/>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Дослідити історичні етапи формування ідей прав людини від античності до сучасності.</w:t>
      </w:r>
      <w:r>
        <w:rPr>
          <w:sz w:val="28"/>
          <w:szCs w:val="28"/>
        </w:rPr>
      </w:r>
    </w:p>
    <w:p w14:paraId="160A73A4">
      <w:pPr>
        <w:pStyle w:val="668"/>
        <w:numPr>
          <w:ilvl w:val="0"/>
          <w:numId w:val="19"/>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Проаналізувати класифікацію прав та свобод за теорією «поколінь».</w:t>
      </w:r>
      <w:r>
        <w:rPr>
          <w:sz w:val="28"/>
          <w:szCs w:val="28"/>
        </w:rPr>
      </w:r>
    </w:p>
    <w:p w14:paraId="1FBB36A3">
      <w:pPr>
        <w:pStyle w:val="668"/>
        <w:numPr>
          <w:ilvl w:val="0"/>
          <w:numId w:val="19"/>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Розкрити роль Організації Об’єднаних Націй та Європейського суду з прав людини у глобальній системі захисту прав.</w:t>
      </w:r>
      <w:r>
        <w:rPr>
          <w:sz w:val="28"/>
          <w:szCs w:val="28"/>
        </w:rPr>
      </w:r>
    </w:p>
    <w:p w14:paraId="67DB25DC">
      <w:pPr>
        <w:pStyle w:val="668"/>
        <w:numPr>
          <w:ilvl w:val="0"/>
          <w:numId w:val="19"/>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Охарактеризувати конституційно-правові гарантії прав особи в Україні.</w:t>
      </w:r>
      <w:r>
        <w:rPr>
          <w:sz w:val="28"/>
          <w:szCs w:val="28"/>
        </w:rPr>
      </w:r>
    </w:p>
    <w:p w14:paraId="2BEAB2A7">
      <w:pPr>
        <w:pStyle w:val="668"/>
        <w:numPr>
          <w:ilvl w:val="0"/>
          <w:numId w:val="19"/>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Вивчити повноваження Уповноваженого Верховної Ради України з прав людини.</w:t>
      </w:r>
      <w:r>
        <w:rPr>
          <w:sz w:val="28"/>
          <w:szCs w:val="28"/>
        </w:rPr>
      </w:r>
    </w:p>
    <w:p w14:paraId="10190CB8">
      <w:pPr>
        <w:pStyle w:val="668"/>
        <w:numPr>
          <w:ilvl w:val="0"/>
          <w:numId w:val="19"/>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color w:val="000000"/>
          <w:sz w:val="28"/>
          <w:szCs w:val="28"/>
        </w:rPr>
        <w:t xml:space="preserve">Визначити специфіку захисту прав людини в умовах воєнного стану та виклики цифрової епохи.</w:t>
      </w:r>
      <w:r>
        <w:rPr>
          <w:sz w:val="28"/>
          <w:szCs w:val="28"/>
        </w:rPr>
      </w:r>
    </w:p>
    <w:p w14:paraId="4328D2F1">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Методологічна основа дослідження.</w:t>
      </w:r>
      <w:r>
        <w:rPr>
          <w:rFonts w:ascii="Times New Roman" w:hAnsi="Times New Roman" w:eastAsia="Times New Roman" w:cs="Times New Roman"/>
          <w:color w:val="000000"/>
          <w:sz w:val="28"/>
          <w:szCs w:val="28"/>
        </w:rPr>
        <w:t xml:space="preserve"> У роботі використано комплекс загальнонаукових та спеціальних методів. </w:t>
      </w:r>
      <w:r>
        <w:rPr>
          <w:rFonts w:ascii="Times New Roman" w:hAnsi="Times New Roman" w:eastAsia="Times New Roman" w:cs="Times New Roman"/>
          <w:i/>
          <w:color w:val="000000"/>
          <w:sz w:val="28"/>
          <w:szCs w:val="28"/>
        </w:rPr>
        <w:t xml:space="preserve">Діалектичний метод</w:t>
      </w:r>
      <w:r>
        <w:rPr>
          <w:rFonts w:ascii="Times New Roman" w:hAnsi="Times New Roman" w:eastAsia="Times New Roman" w:cs="Times New Roman"/>
          <w:color w:val="000000"/>
          <w:sz w:val="28"/>
          <w:szCs w:val="28"/>
        </w:rPr>
        <w:t xml:space="preserve"> дозволив розглянути права людини у їх постійному розвитку та взаємозв'язку. </w:t>
      </w:r>
      <w:r>
        <w:rPr>
          <w:rFonts w:ascii="Times New Roman" w:hAnsi="Times New Roman" w:eastAsia="Times New Roman" w:cs="Times New Roman"/>
          <w:i/>
          <w:color w:val="000000"/>
          <w:sz w:val="28"/>
          <w:szCs w:val="28"/>
        </w:rPr>
        <w:t xml:space="preserve">Порівняльно-правовий метод</w:t>
      </w:r>
      <w:r>
        <w:rPr>
          <w:rFonts w:ascii="Times New Roman" w:hAnsi="Times New Roman" w:eastAsia="Times New Roman" w:cs="Times New Roman"/>
          <w:color w:val="000000"/>
          <w:sz w:val="28"/>
          <w:szCs w:val="28"/>
        </w:rPr>
        <w:t xml:space="preserve"> застосовано для зіставлення норм національного законодавства із міжнародними стандартами. </w:t>
      </w:r>
      <w:r>
        <w:rPr>
          <w:rFonts w:ascii="Times New Roman" w:hAnsi="Times New Roman" w:eastAsia="Times New Roman" w:cs="Times New Roman"/>
          <w:i/>
          <w:color w:val="000000"/>
          <w:sz w:val="28"/>
          <w:szCs w:val="28"/>
        </w:rPr>
        <w:t xml:space="preserve">Історико-правовий метод</w:t>
      </w:r>
      <w:r>
        <w:rPr>
          <w:rFonts w:ascii="Times New Roman" w:hAnsi="Times New Roman" w:eastAsia="Times New Roman" w:cs="Times New Roman"/>
          <w:color w:val="000000"/>
          <w:sz w:val="28"/>
          <w:szCs w:val="28"/>
        </w:rPr>
        <w:t xml:space="preserve"> допоміг простежити генезис правових ідей. </w:t>
      </w:r>
      <w:r>
        <w:rPr>
          <w:rFonts w:ascii="Times New Roman" w:hAnsi="Times New Roman" w:eastAsia="Times New Roman" w:cs="Times New Roman"/>
          <w:i/>
          <w:color w:val="000000"/>
          <w:sz w:val="28"/>
          <w:szCs w:val="28"/>
        </w:rPr>
        <w:t xml:space="preserve">Системно-структурний метод</w:t>
      </w:r>
      <w:r>
        <w:rPr>
          <w:rFonts w:ascii="Times New Roman" w:hAnsi="Times New Roman" w:eastAsia="Times New Roman" w:cs="Times New Roman"/>
          <w:color w:val="000000"/>
          <w:sz w:val="28"/>
          <w:szCs w:val="28"/>
        </w:rPr>
        <w:t xml:space="preserve"> використано для аналізу національного механізму захисту як цілісної системи державних інституцій.</w:t>
      </w:r>
      <w:r>
        <w:rPr>
          <w:sz w:val="28"/>
          <w:szCs w:val="28"/>
        </w:rPr>
      </w:r>
    </w:p>
    <w:p w14:paraId="4353912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Наукова новизна</w:t>
      </w:r>
      <w:r>
        <w:rPr>
          <w:rFonts w:ascii="Times New Roman" w:hAnsi="Times New Roman" w:eastAsia="Times New Roman" w:cs="Times New Roman"/>
          <w:color w:val="000000"/>
          <w:sz w:val="28"/>
          <w:szCs w:val="28"/>
        </w:rPr>
        <w:t xml:space="preserve"> дослідження полягає у спробі системного аналізу стану дотримання прав людини в Україні з урахуванням сучасних викликів: правового режиму воєнного стану, цифровізації правосуддя та новітніх стандартів Європейського суду з прав людини.</w:t>
      </w:r>
      <w:r>
        <w:rPr>
          <w:sz w:val="28"/>
          <w:szCs w:val="28"/>
        </w:rPr>
      </w:r>
    </w:p>
    <w:p w14:paraId="0589990B">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Практичне значення роботи</w:t>
      </w:r>
      <w:r>
        <w:rPr>
          <w:rFonts w:ascii="Times New Roman" w:hAnsi="Times New Roman" w:eastAsia="Times New Roman" w:cs="Times New Roman"/>
          <w:color w:val="000000"/>
          <w:sz w:val="28"/>
          <w:szCs w:val="28"/>
        </w:rPr>
        <w:t xml:space="preserve"> полягає у можливості використання її результатів для подальшого вивчення теорії права, підготовки до семінарських занять або як бази для написання дипломної роботи.</w:t>
      </w:r>
      <w:r>
        <w:rPr>
          <w:rFonts w:ascii="Times New Roman" w:hAnsi="Times New Roman" w:eastAsia="Times New Roman" w:cs="Times New Roman"/>
          <w:b/>
          <w:bCs/>
          <w:color w:val="000000"/>
          <w:sz w:val="28"/>
          <w:szCs w:val="28"/>
        </w:rPr>
      </w:r>
      <w:r>
        <w:rPr>
          <w:rFonts w:ascii="Times New Roman" w:hAnsi="Times New Roman" w:eastAsia="Times New Roman" w:cs="Times New Roman"/>
          <w:sz w:val="28"/>
          <w:szCs w:val="28"/>
        </w:rPr>
      </w:r>
    </w:p>
    <w:p w14:paraId="426F99C6">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sz w:val="36"/>
        </w:rPr>
      </w:r>
      <w:r>
        <w:rPr>
          <w:rFonts w:ascii="Times New Roman" w:hAnsi="Times New Roman" w:eastAsia="Times New Roman" w:cs="Times New Roman"/>
          <w:b/>
          <w:color w:val="000000"/>
          <w:sz w:val="36"/>
        </w:rPr>
      </w:r>
      <w:r>
        <w:rPr>
          <w:rFonts w:ascii="Times New Roman" w:hAnsi="Times New Roman" w:eastAsia="Times New Roman" w:cs="Times New Roman"/>
          <w:b/>
          <w:bCs/>
          <w:color w:val="000000"/>
          <w:sz w:val="36"/>
          <w:szCs w:val="36"/>
        </w:rPr>
      </w:r>
      <w:r/>
      <w:r>
        <w:rPr>
          <w:rFonts w:ascii="Times New Roman" w:hAnsi="Times New Roman" w:eastAsia="Times New Roman" w:cs="Times New Roman"/>
          <w:b/>
          <w:bCs/>
          <w:color w:val="000000"/>
          <w:sz w:val="36"/>
          <w:szCs w:val="36"/>
        </w:rPr>
      </w:r>
      <w:r>
        <w:rPr>
          <w:rFonts w:ascii="Times New Roman" w:hAnsi="Times New Roman" w:eastAsia="Times New Roman" w:cs="Times New Roman"/>
          <w:b/>
          <w:color w:val="000000"/>
          <w:sz w:val="36"/>
        </w:rPr>
        <w:br w:type="page" w:clear="all"/>
      </w:r>
      <w:r>
        <w:rPr>
          <w:rFonts w:ascii="Times New Roman" w:hAnsi="Times New Roman" w:eastAsia="Times New Roman" w:cs="Times New Roman"/>
          <w:b/>
          <w:bCs/>
          <w:color w:val="000000"/>
          <w:sz w:val="36"/>
          <w:szCs w:val="36"/>
        </w:rPr>
      </w:r>
      <w:r/>
      <w:r>
        <w:rPr>
          <w:rFonts w:ascii="Times New Roman" w:hAnsi="Times New Roman" w:eastAsia="Times New Roman" w:cs="Times New Roman"/>
          <w:b/>
          <w:bCs/>
          <w:color w:val="000000"/>
          <w:sz w:val="36"/>
          <w:szCs w:val="36"/>
        </w:rPr>
      </w:r>
    </w:p>
    <w:p w14:paraId="1C953A7D">
      <w:pPr>
        <w:pStyle w:val="140"/>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36"/>
          <w:szCs w:val="36"/>
        </w:rPr>
      </w:pPr>
      <w:r>
        <w:rPr>
          <w:rFonts w:ascii="Times New Roman" w:hAnsi="Times New Roman" w:eastAsia="Times New Roman" w:cs="Times New Roman"/>
          <w:b/>
          <w:color w:val="000000"/>
          <w:sz w:val="36"/>
        </w:rPr>
        <w:t xml:space="preserve">РОЗДІЛ 1. ТЕОРЕТИКО-ПРАВОВІ ЗАСАДИ КОНЦЕПЦІЇ ПРАВ ЛЮДИНИ</w:t>
      </w:r>
      <w:r/>
      <w:r/>
    </w:p>
    <w:p w14:paraId="71A0A6EC">
      <w:pPr>
        <w:pStyle w:val="141"/>
        <w:pBdr>
          <w:top w:val="none" w:color="000000" w:sz="4" w:space="0"/>
          <w:left w:val="none" w:color="000000" w:sz="4" w:space="0"/>
          <w:bottom w:val="none" w:color="000000" w:sz="4" w:space="0"/>
          <w:right w:val="none" w:color="000000" w:sz="4" w:space="0"/>
        </w:pBdr>
        <w:spacing/>
        <w:ind w:right="0" w:firstLine="0" w:left="0"/>
        <w:jc w:val="both"/>
        <w:rPr>
          <w:sz w:val="32"/>
          <w:szCs w:val="32"/>
        </w:rPr>
      </w:pPr>
      <w:r>
        <w:rPr>
          <w:rFonts w:ascii="Times New Roman" w:hAnsi="Times New Roman" w:eastAsia="Times New Roman" w:cs="Times New Roman"/>
          <w:b/>
          <w:color w:val="000000"/>
          <w:sz w:val="32"/>
          <w:szCs w:val="32"/>
        </w:rPr>
        <w:t xml:space="preserve">1.1. Еволюція ідей прав людини: від античності до сучасності</w:t>
      </w:r>
      <w:r>
        <w:rPr>
          <w:sz w:val="32"/>
          <w:szCs w:val="32"/>
        </w:rPr>
      </w:r>
    </w:p>
    <w:p w14:paraId="45EFAE3D">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Ідея прав людини не з’явилася миттєво; вона є результатом тривалого історичного розвитку філософської та юридичної думки.</w:t>
      </w:r>
      <w:r>
        <w:rPr>
          <w:sz w:val="28"/>
          <w:szCs w:val="28"/>
        </w:rPr>
      </w:r>
    </w:p>
    <w:p w14:paraId="59233EDA">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Античний період:</w:t>
      </w:r>
      <w:r>
        <w:rPr>
          <w:rFonts w:ascii="Times New Roman" w:hAnsi="Times New Roman" w:eastAsia="Times New Roman" w:cs="Times New Roman"/>
          <w:color w:val="000000"/>
          <w:sz w:val="28"/>
          <w:szCs w:val="28"/>
        </w:rPr>
        <w:t xml:space="preserve"> Перші паростки ідей про рівність можна знайти у працях софістів та стоїків, які стверджували, що всі люди рівні від природи. Давньогрецька «ісономія» (рівність усіх перед законом) стала фундаментом для майбутніх концепцій громадянства.</w:t>
      </w:r>
      <w:r>
        <w:rPr>
          <w:rFonts w:ascii="Times New Roman" w:hAnsi="Times New Roman" w:eastAsia="Times New Roman" w:cs="Times New Roman"/>
          <w:sz w:val="28"/>
          <w:szCs w:val="28"/>
        </w:rPr>
      </w:r>
    </w:p>
    <w:p w14:paraId="6D6BEDEC">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sz w:val="28"/>
          <w:szCs w:val="28"/>
        </w:rPr>
        <w:t xml:space="preserve">Антична спадщина: У Давній Греції поняття «права» було нерозривно пов’язане зі статусом громадянина поліса. Софісти (Антіфонт, Гіппій) першими висловили революційну для того часу думку: «Природа зробила всіх людей рівними». Стоїки пішли далі, розробивши ко</w:t>
      </w:r>
      <w:r>
        <w:rPr>
          <w:rFonts w:ascii="Times New Roman" w:hAnsi="Times New Roman" w:eastAsia="Times New Roman" w:cs="Times New Roman"/>
          <w:sz w:val="28"/>
          <w:szCs w:val="28"/>
        </w:rPr>
        <w:t xml:space="preserve">нцепцію космополітизму — ідею про те, що кожна людина є громадянином світу, а над законами конкретної держави стоїть «вищий природний закон».</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569083C3">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Середньовіччя:</w:t>
      </w:r>
      <w:r>
        <w:rPr>
          <w:rFonts w:ascii="Times New Roman" w:hAnsi="Times New Roman" w:eastAsia="Times New Roman" w:cs="Times New Roman"/>
          <w:color w:val="000000"/>
          <w:sz w:val="28"/>
          <w:szCs w:val="28"/>
        </w:rPr>
        <w:t xml:space="preserve"> Важливою віхою стала </w:t>
      </w:r>
      <w:r>
        <w:rPr>
          <w:rFonts w:ascii="Times New Roman" w:hAnsi="Times New Roman" w:eastAsia="Times New Roman" w:cs="Times New Roman"/>
          <w:b/>
          <w:color w:val="000000"/>
          <w:sz w:val="28"/>
          <w:szCs w:val="28"/>
        </w:rPr>
        <w:t xml:space="preserve">Велика хартія вольностей 1215 року</w:t>
      </w:r>
      <w:r>
        <w:rPr>
          <w:rFonts w:ascii="Times New Roman" w:hAnsi="Times New Roman" w:eastAsia="Times New Roman" w:cs="Times New Roman"/>
          <w:color w:val="000000"/>
          <w:sz w:val="28"/>
          <w:szCs w:val="28"/>
        </w:rPr>
        <w:t xml:space="preserve"> (Magna Carta), яка вперше обмежила свавілля монарха та закріпила право на належну правову процедуру.</w:t>
      </w:r>
      <w:r>
        <w:rPr>
          <w:rFonts w:ascii="Times New Roman" w:hAnsi="Times New Roman" w:eastAsia="Times New Roman" w:cs="Times New Roman"/>
          <w:sz w:val="28"/>
          <w:szCs w:val="28"/>
        </w:rPr>
      </w:r>
    </w:p>
    <w:p w14:paraId="5173A273">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sz w:val="28"/>
          <w:szCs w:val="28"/>
        </w:rPr>
        <w:t xml:space="preserve">Середньовічний дуалізм: Хоча середньовіччя вважається періодом феодальної ієрархії, саме тоді закладалися правові обмеження влади. Magna Carta 1215 року у ст. 39 закріпила принцип: «Жодна вільна людина не може бути арештована або ув'язнена інакше, як за за</w:t>
      </w:r>
      <w:r>
        <w:rPr>
          <w:rFonts w:ascii="Times New Roman" w:hAnsi="Times New Roman" w:eastAsia="Times New Roman" w:cs="Times New Roman"/>
          <w:sz w:val="28"/>
          <w:szCs w:val="28"/>
        </w:rPr>
        <w:t xml:space="preserve">конним вироком рівних їй та за законом країни». Це стало прототипом сучасної презумпції невинуватості.</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31232C13">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Епоха Просвітництва:</w:t>
      </w:r>
      <w:r>
        <w:rPr>
          <w:rFonts w:ascii="Times New Roman" w:hAnsi="Times New Roman" w:eastAsia="Times New Roman" w:cs="Times New Roman"/>
          <w:color w:val="000000"/>
          <w:sz w:val="28"/>
          <w:szCs w:val="28"/>
        </w:rPr>
        <w:t xml:space="preserve"> Справжній прорив стався у XVII–XVIII століттях завдяки теоріям «природного права» (Дж. Локк, Ш. Монтеск’є, Ж.-Ж. Руссо). Вони довели, що права на життя, свободу та власність є вродженими і невідчужуваними, а держава лише має їх охороняти.</w:t>
      </w:r>
      <w:r>
        <w:rPr>
          <w:rFonts w:ascii="Times New Roman" w:hAnsi="Times New Roman" w:eastAsia="Times New Roman" w:cs="Times New Roman"/>
          <w:sz w:val="28"/>
          <w:szCs w:val="28"/>
        </w:rPr>
      </w:r>
    </w:p>
    <w:p w14:paraId="7AF036A6">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sz w:val="28"/>
          <w:szCs w:val="28"/>
        </w:rPr>
        <w:t xml:space="preserve">Епоха Нового часу (Раціоналізм): Джон Локк у своєму «Другому трактаті про врядування» обґрунтував, що права на життя, свободу та власність людина має від народження, а держава створюється лише для їх захисту через «суспільний договір». Якщо держава порушує</w:t>
      </w:r>
      <w:r>
        <w:rPr>
          <w:rFonts w:ascii="Times New Roman" w:hAnsi="Times New Roman" w:eastAsia="Times New Roman" w:cs="Times New Roman"/>
          <w:sz w:val="28"/>
          <w:szCs w:val="28"/>
        </w:rPr>
        <w:t xml:space="preserve"> ці права, народ має право на повстання. Ці ідеї стали фундаментом Білля про права 1689 року (Англія) та Білля про права 1791 року (США).</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1FAE6DF0">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Перші конституційні акти:</w:t>
      </w:r>
      <w:r>
        <w:rPr>
          <w:rFonts w:ascii="Times New Roman" w:hAnsi="Times New Roman" w:eastAsia="Times New Roman" w:cs="Times New Roman"/>
          <w:color w:val="000000"/>
          <w:sz w:val="28"/>
          <w:szCs w:val="28"/>
        </w:rPr>
        <w:t xml:space="preserve"> Ці ідеї втілилися в Декларації незалежності США (1776 р.) та французькій Декларації прав людини і громадянина (1789 р.), які стали взірцем для всього світу.</w:t>
      </w:r>
      <w:r>
        <w:rPr>
          <w:rFonts w:ascii="Times New Roman" w:hAnsi="Times New Roman" w:eastAsia="Times New Roman" w:cs="Times New Roman"/>
          <w:sz w:val="28"/>
          <w:szCs w:val="28"/>
        </w:rPr>
      </w:r>
    </w:p>
    <w:p w14:paraId="415694D9">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t xml:space="preserve">Французька революція: Декларація прав людини і громадянина 1789 року вперше проголосила: «Люди народжуються і залишаються вільними і рівними у правах». Вона змінила статус людини з «підданого» на «громадянина».</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3DEEFC26">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Сучасний етап розвитку розпочався після Другої світової війни з прийняттям </w:t>
      </w:r>
      <w:r>
        <w:rPr>
          <w:rFonts w:ascii="Times New Roman" w:hAnsi="Times New Roman" w:eastAsia="Times New Roman" w:cs="Times New Roman"/>
          <w:b/>
          <w:color w:val="000000"/>
          <w:sz w:val="28"/>
          <w:szCs w:val="28"/>
        </w:rPr>
        <w:t xml:space="preserve">Загальної декларації прав людини 1948 року</w:t>
      </w:r>
      <w:r>
        <w:rPr>
          <w:rFonts w:ascii="Times New Roman" w:hAnsi="Times New Roman" w:eastAsia="Times New Roman" w:cs="Times New Roman"/>
          <w:color w:val="000000"/>
          <w:sz w:val="28"/>
          <w:szCs w:val="28"/>
        </w:rPr>
        <w:t xml:space="preserve">, яка проголосила права людини універсальним стандартом для всіх народів.</w:t>
      </w:r>
      <w:r>
        <w:rPr>
          <w:sz w:val="28"/>
          <w:szCs w:val="28"/>
        </w:rPr>
      </w:r>
      <w:r>
        <w:rPr>
          <w:rFonts w:ascii="Times New Roman" w:hAnsi="Times New Roman" w:eastAsia="Times New Roman" w:cs="Times New Roman"/>
          <w:sz w:val="28"/>
          <w:szCs w:val="28"/>
        </w:rPr>
      </w:r>
    </w:p>
    <w:p w14:paraId="0A5B7615">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sz w:val="28"/>
          <w:szCs w:val="28"/>
        </w:rPr>
      </w:r>
      <w:r>
        <w:rPr>
          <w:sz w:val="28"/>
          <w:szCs w:val="28"/>
        </w:rPr>
      </w:r>
    </w:p>
    <w:p w14:paraId="2153AFB6">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sz w:val="28"/>
          <w:szCs w:val="28"/>
        </w:rPr>
      </w:r>
      <w:r>
        <w:rPr>
          <w:sz w:val="28"/>
          <w:szCs w:val="28"/>
        </w:rPr>
      </w:r>
      <w:r>
        <w:rPr>
          <w:sz w:val="28"/>
          <w:szCs w:val="28"/>
        </w:rPr>
      </w:r>
      <w:r/>
      <w:r>
        <w:rPr>
          <w:sz w:val="28"/>
          <w:szCs w:val="28"/>
        </w:rPr>
      </w:r>
    </w:p>
    <w:p w14:paraId="6A9351D7">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sz w:val="28"/>
          <w:szCs w:val="28"/>
        </w:rPr>
        <w:br w:type="page" w:clear="all"/>
      </w:r>
      <w:r>
        <w:rPr>
          <w:sz w:val="28"/>
          <w:szCs w:val="28"/>
        </w:rPr>
      </w:r>
      <w:r/>
    </w:p>
    <w:p w14:paraId="2043B7C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8"/>
          <w:szCs w:val="28"/>
        </w:rPr>
      </w:pPr>
      <w:r>
        <w:rPr>
          <w:sz w:val="28"/>
          <w:szCs w:val="28"/>
        </w:rPr>
      </w:r>
      <w:r>
        <w:rPr>
          <w:rFonts w:ascii="Times New Roman" w:hAnsi="Times New Roman" w:eastAsia="Times New Roman" w:cs="Times New Roman"/>
          <w:b/>
          <w:color w:val="000000"/>
          <w:sz w:val="32"/>
          <w:szCs w:val="32"/>
        </w:rPr>
        <w:t xml:space="preserve">1.2. Класифікація прав та свобод людини і громадянина: теорія «трьох поколінь»</w:t>
      </w:r>
      <w:r/>
      <w:r/>
    </w:p>
    <w:p w14:paraId="4E0AF5E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8"/>
          <w:szCs w:val="28"/>
          <w:highlight w:val="none"/>
        </w:rPr>
      </w:pPr>
      <w:r>
        <w:rPr>
          <w:rFonts w:ascii="Times New Roman" w:hAnsi="Times New Roman" w:eastAsia="Times New Roman" w:cs="Times New Roman"/>
          <w:color w:val="000000"/>
          <w:sz w:val="28"/>
          <w:szCs w:val="28"/>
        </w:rPr>
        <w:t xml:space="preserve">У сучасній юридичній науці найбільш поширеною є класифікація прав людини за часом їхнього виникнення, відома як концепція «поколінь прав людини»:</w:t>
      </w:r>
      <w:r>
        <w:rPr>
          <w:sz w:val="28"/>
          <w:szCs w:val="28"/>
        </w:rPr>
      </w:r>
    </w:p>
    <w:p w14:paraId="5D8145FB">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Перше покоління (Громадянські та політичні права):</w:t>
      </w:r>
      <w:r>
        <w:rPr>
          <w:rFonts w:ascii="Times New Roman" w:hAnsi="Times New Roman" w:eastAsia="Times New Roman" w:cs="Times New Roman"/>
          <w:color w:val="000000"/>
          <w:sz w:val="28"/>
          <w:szCs w:val="28"/>
        </w:rPr>
        <w:t xml:space="preserve"> Сформувалося у XVIII ст. (епоха буржуазних революцій). Це так звані «негативні» права, які вимагають від держави утримуватися від втручання у сферу свободи особи. Сюди відносять: право на життя, недоторканність житла, свободу слова, право на участь в упра</w:t>
      </w:r>
      <w:r>
        <w:rPr>
          <w:rFonts w:ascii="Times New Roman" w:hAnsi="Times New Roman" w:eastAsia="Times New Roman" w:cs="Times New Roman"/>
          <w:color w:val="000000"/>
          <w:sz w:val="28"/>
          <w:szCs w:val="28"/>
        </w:rPr>
        <w:t xml:space="preserve">влінні державою.</w:t>
      </w:r>
      <w:r>
        <w:rPr>
          <w:sz w:val="28"/>
          <w:szCs w:val="28"/>
        </w:rPr>
      </w:r>
    </w:p>
    <w:p w14:paraId="30AC16FE">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Друге покоління (Соціально-економічні та культурні права):</w:t>
      </w:r>
      <w:r>
        <w:rPr>
          <w:rFonts w:ascii="Times New Roman" w:hAnsi="Times New Roman" w:eastAsia="Times New Roman" w:cs="Times New Roman"/>
          <w:color w:val="000000"/>
          <w:sz w:val="28"/>
          <w:szCs w:val="28"/>
        </w:rPr>
        <w:t xml:space="preserve"> Виникло на початку XX ст. під впливом соціальних рухів. Це «позитивні» права, реалізація яких потребує активної діяльності держави. Наприклад: право на працю, соціальне забезпечення, освіту, медичну допомогу.</w:t>
      </w:r>
      <w:r>
        <w:rPr>
          <w:sz w:val="28"/>
          <w:szCs w:val="28"/>
        </w:rPr>
      </w:r>
    </w:p>
    <w:p w14:paraId="0597F14E">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Третє покоління (Колективні права або права солідарності):</w:t>
      </w:r>
      <w:r>
        <w:rPr>
          <w:rFonts w:ascii="Times New Roman" w:hAnsi="Times New Roman" w:eastAsia="Times New Roman" w:cs="Times New Roman"/>
          <w:color w:val="000000"/>
          <w:sz w:val="28"/>
          <w:szCs w:val="28"/>
        </w:rPr>
        <w:t xml:space="preserve"> Почало формуватися після Другої світової війни. Вони належать не лише окремій особі, а й цілим спільнотам (народам). Це право на мир, на здорове довкілля, на самовизначення, на розвиток.</w:t>
      </w:r>
      <w:r>
        <w:rPr>
          <w:sz w:val="28"/>
          <w:szCs w:val="28"/>
        </w:rPr>
      </w:r>
    </w:p>
    <w:p w14:paraId="24BFCA23">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Четверте покоління (дискусійне):</w:t>
      </w:r>
      <w:r>
        <w:rPr>
          <w:rFonts w:ascii="Times New Roman" w:hAnsi="Times New Roman" w:eastAsia="Times New Roman" w:cs="Times New Roman"/>
          <w:color w:val="000000"/>
          <w:sz w:val="28"/>
          <w:szCs w:val="28"/>
        </w:rPr>
        <w:t xml:space="preserve"> У сучасній доктрині до нього відносять права, пов’язані з науково-технічним прогресом (біоетика, право на зміну статі, цифрові права та право на евтаназію).</w:t>
      </w:r>
      <w:r>
        <w:rPr>
          <w:sz w:val="28"/>
          <w:szCs w:val="28"/>
        </w:rPr>
      </w:r>
    </w:p>
    <w:p w14:paraId="00DD3143">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b/>
          <w:color w:val="000000"/>
          <w:sz w:val="36"/>
        </w:rPr>
      </w:r>
      <w:r>
        <w:rPr>
          <w:rFonts w:ascii="Times New Roman" w:hAnsi="Times New Roman" w:eastAsia="Times New Roman" w:cs="Times New Roman"/>
          <w:b/>
          <w:bCs/>
          <w:color w:val="000000"/>
          <w:sz w:val="36"/>
          <w:szCs w:val="36"/>
        </w:rPr>
      </w:r>
    </w:p>
    <w:p w14:paraId="4555F35A">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sz w:val="36"/>
        </w:rPr>
      </w:r>
      <w:r>
        <w:rPr>
          <w:rFonts w:ascii="Times New Roman" w:hAnsi="Times New Roman" w:eastAsia="Times New Roman" w:cs="Times New Roman"/>
          <w:b/>
          <w:color w:val="000000"/>
          <w:sz w:val="36"/>
        </w:rPr>
      </w:r>
      <w:r>
        <w:rPr>
          <w:rFonts w:ascii="Times New Roman" w:hAnsi="Times New Roman" w:eastAsia="Times New Roman" w:cs="Times New Roman"/>
          <w:b/>
          <w:bCs/>
          <w:color w:val="000000"/>
          <w:sz w:val="36"/>
          <w:szCs w:val="36"/>
        </w:rPr>
      </w:r>
      <w:r/>
      <w:r>
        <w:rPr>
          <w:rFonts w:ascii="Times New Roman" w:hAnsi="Times New Roman" w:eastAsia="Times New Roman" w:cs="Times New Roman"/>
          <w:b/>
          <w:bCs/>
          <w:color w:val="000000"/>
          <w:sz w:val="36"/>
          <w:szCs w:val="36"/>
        </w:rPr>
      </w:r>
    </w:p>
    <w:p w14:paraId="70429AB5">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b/>
          <w:color w:val="000000"/>
          <w:sz w:val="36"/>
        </w:rPr>
      </w:r>
      <w:r>
        <w:rPr>
          <w:rFonts w:ascii="Times New Roman" w:hAnsi="Times New Roman" w:eastAsia="Times New Roman" w:cs="Times New Roman"/>
          <w:b/>
          <w:bCs/>
          <w:color w:val="000000"/>
          <w:sz w:val="36"/>
          <w:szCs w:val="36"/>
        </w:rPr>
      </w:r>
    </w:p>
    <w:p w14:paraId="50A531AF">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b/>
          <w:color w:val="000000"/>
          <w:sz w:val="36"/>
        </w:rPr>
        <w:br w:type="page" w:clear="all"/>
      </w:r>
      <w:r>
        <w:rPr>
          <w:rFonts w:ascii="Times New Roman" w:hAnsi="Times New Roman" w:eastAsia="Times New Roman" w:cs="Times New Roman"/>
          <w:b/>
          <w:bCs/>
          <w:color w:val="000000"/>
          <w:sz w:val="36"/>
          <w:szCs w:val="36"/>
        </w:rPr>
      </w:r>
      <w:r/>
    </w:p>
    <w:p w14:paraId="2EB8F567">
      <w:pPr>
        <w:pStyle w:val="14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1.</w:t>
      </w:r>
      <w:r>
        <w:rPr>
          <w:rFonts w:ascii="Times New Roman" w:hAnsi="Times New Roman" w:eastAsia="Times New Roman" w:cs="Times New Roman"/>
          <w:b/>
          <w:color w:val="000000"/>
          <w:sz w:val="32"/>
          <w:szCs w:val="32"/>
          <w:lang w:val="en-US"/>
        </w:rPr>
        <w:t xml:space="preserve">3</w:t>
      </w:r>
      <w:r>
        <w:rPr>
          <w:rFonts w:ascii="Times New Roman" w:hAnsi="Times New Roman" w:eastAsia="Times New Roman" w:cs="Times New Roman"/>
          <w:b/>
          <w:color w:val="000000"/>
          <w:sz w:val="32"/>
          <w:szCs w:val="32"/>
        </w:rPr>
        <w:t xml:space="preserve">. Класифікація прав та свобод: детальний аналіз (РОЗШИРЕНО)</w:t>
      </w:r>
      <w:r>
        <w:rPr>
          <w:sz w:val="32"/>
          <w:szCs w:val="32"/>
        </w:rPr>
      </w:r>
    </w:p>
    <w:p w14:paraId="7923585A">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Класифікація — це не просто список, це ієрархія обов’язків держави перед людиною.</w:t>
      </w:r>
      <w:r>
        <w:rPr>
          <w:sz w:val="28"/>
          <w:szCs w:val="28"/>
        </w:rPr>
      </w:r>
    </w:p>
    <w:p w14:paraId="57C01B00">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1. Громадянські (особисті) права:</w:t>
      </w:r>
      <w:r>
        <w:rPr>
          <w:rFonts w:ascii="Times New Roman" w:hAnsi="Times New Roman" w:eastAsia="Times New Roman" w:cs="Times New Roman"/>
          <w:color w:val="000000"/>
          <w:sz w:val="28"/>
          <w:szCs w:val="28"/>
        </w:rPr>
        <w:t xml:space="preserve"> Це фундамент. Їх мета — забезпечити автономію особистості від держави.</w:t>
      </w:r>
      <w:r>
        <w:rPr>
          <w:sz w:val="28"/>
          <w:szCs w:val="28"/>
        </w:rPr>
      </w:r>
    </w:p>
    <w:p w14:paraId="2B9CE30A">
      <w:pPr>
        <w:pStyle w:val="668"/>
        <w:numPr>
          <w:ilvl w:val="0"/>
          <w:numId w:val="9"/>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i/>
          <w:color w:val="000000"/>
          <w:sz w:val="28"/>
          <w:szCs w:val="28"/>
        </w:rPr>
        <w:t xml:space="preserve">Право на життя:</w:t>
      </w:r>
      <w:r>
        <w:rPr>
          <w:rFonts w:ascii="Times New Roman" w:hAnsi="Times New Roman" w:eastAsia="Times New Roman" w:cs="Times New Roman"/>
          <w:color w:val="000000"/>
          <w:sz w:val="28"/>
          <w:szCs w:val="28"/>
        </w:rPr>
        <w:t xml:space="preserve"> Включає заборону свавільного позбавлення життя та обов’язок держави розслідувати випадки смерті.</w:t>
      </w:r>
      <w:r>
        <w:rPr>
          <w:sz w:val="28"/>
          <w:szCs w:val="28"/>
        </w:rPr>
      </w:r>
    </w:p>
    <w:p w14:paraId="5DA10B1A">
      <w:pPr>
        <w:pStyle w:val="668"/>
        <w:numPr>
          <w:ilvl w:val="0"/>
          <w:numId w:val="9"/>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i/>
          <w:color w:val="000000"/>
          <w:sz w:val="28"/>
          <w:szCs w:val="28"/>
        </w:rPr>
        <w:t xml:space="preserve">Право на гідність:</w:t>
      </w:r>
      <w:r>
        <w:rPr>
          <w:rFonts w:ascii="Times New Roman" w:hAnsi="Times New Roman" w:eastAsia="Times New Roman" w:cs="Times New Roman"/>
          <w:color w:val="000000"/>
          <w:sz w:val="28"/>
          <w:szCs w:val="28"/>
        </w:rPr>
        <w:t xml:space="preserve"> Заборона катувань, нелюдського або такого, що принижує гідність, поводження (ст. 3 ЄКПЛ).</w:t>
      </w:r>
      <w:r>
        <w:rPr>
          <w:sz w:val="28"/>
          <w:szCs w:val="28"/>
        </w:rPr>
      </w:r>
    </w:p>
    <w:p w14:paraId="6A1D5299">
      <w:pPr>
        <w:pStyle w:val="668"/>
        <w:numPr>
          <w:ilvl w:val="0"/>
          <w:numId w:val="9"/>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i/>
          <w:color w:val="000000"/>
          <w:sz w:val="28"/>
          <w:szCs w:val="28"/>
        </w:rPr>
        <w:t xml:space="preserve">Право на свободу та особисту недоторканність:</w:t>
      </w:r>
      <w:r>
        <w:rPr>
          <w:rFonts w:ascii="Times New Roman" w:hAnsi="Times New Roman" w:eastAsia="Times New Roman" w:cs="Times New Roman"/>
          <w:color w:val="000000"/>
          <w:sz w:val="28"/>
          <w:szCs w:val="28"/>
        </w:rPr>
        <w:t xml:space="preserve"> Захист від незаконних затримань.</w:t>
      </w:r>
      <w:r>
        <w:rPr>
          <w:sz w:val="28"/>
          <w:szCs w:val="28"/>
        </w:rPr>
      </w:r>
    </w:p>
    <w:p w14:paraId="0B673379">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2. Політичні права:</w:t>
      </w:r>
      <w:r>
        <w:rPr>
          <w:rFonts w:ascii="Times New Roman" w:hAnsi="Times New Roman" w:eastAsia="Times New Roman" w:cs="Times New Roman"/>
          <w:color w:val="000000"/>
          <w:sz w:val="28"/>
          <w:szCs w:val="28"/>
        </w:rPr>
        <w:t xml:space="preserve"> Забезпечують участь людини в управлінні державою. Сюди належать: виборче право (активне і пасивне), право на свободу асоціацій (створення партій) та право на мирні зібрання. Особливістю цих прав є те, що вони часто належать лише громадянам конкретної краї</w:t>
      </w:r>
      <w:r>
        <w:rPr>
          <w:rFonts w:ascii="Times New Roman" w:hAnsi="Times New Roman" w:eastAsia="Times New Roman" w:cs="Times New Roman"/>
          <w:color w:val="000000"/>
          <w:sz w:val="28"/>
          <w:szCs w:val="28"/>
        </w:rPr>
        <w:t xml:space="preserve">ни.</w:t>
      </w:r>
      <w:r>
        <w:rPr>
          <w:sz w:val="28"/>
          <w:szCs w:val="28"/>
        </w:rPr>
      </w:r>
    </w:p>
    <w:p w14:paraId="70A8A023">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3. Соціально-економічні та культурні права:</w:t>
      </w:r>
      <w:r>
        <w:rPr>
          <w:rFonts w:ascii="Times New Roman" w:hAnsi="Times New Roman" w:eastAsia="Times New Roman" w:cs="Times New Roman"/>
          <w:color w:val="000000"/>
          <w:sz w:val="28"/>
          <w:szCs w:val="28"/>
        </w:rPr>
        <w:t xml:space="preserve"> Ці права вимагають від держави «позитивних дій» — витрачання бюджетних коштів.</w:t>
      </w:r>
      <w:r>
        <w:rPr>
          <w:sz w:val="28"/>
          <w:szCs w:val="28"/>
        </w:rPr>
      </w:r>
    </w:p>
    <w:p w14:paraId="35DA5A9C">
      <w:pPr>
        <w:pStyle w:val="668"/>
        <w:numPr>
          <w:ilvl w:val="0"/>
          <w:numId w:val="10"/>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i/>
          <w:color w:val="000000"/>
          <w:sz w:val="28"/>
          <w:szCs w:val="28"/>
        </w:rPr>
        <w:t xml:space="preserve">Право на працю:</w:t>
      </w:r>
      <w:r>
        <w:rPr>
          <w:rFonts w:ascii="Times New Roman" w:hAnsi="Times New Roman" w:eastAsia="Times New Roman" w:cs="Times New Roman"/>
          <w:color w:val="000000"/>
          <w:sz w:val="28"/>
          <w:szCs w:val="28"/>
        </w:rPr>
        <w:t xml:space="preserve"> Не лише можливість працювати, а й захист від безробіття та право на безпечні умови праці.</w:t>
      </w:r>
      <w:r>
        <w:rPr>
          <w:sz w:val="28"/>
          <w:szCs w:val="28"/>
        </w:rPr>
      </w:r>
    </w:p>
    <w:p w14:paraId="1C8E032C">
      <w:pPr>
        <w:pStyle w:val="668"/>
        <w:numPr>
          <w:ilvl w:val="0"/>
          <w:numId w:val="10"/>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i/>
          <w:color w:val="000000"/>
          <w:sz w:val="28"/>
          <w:szCs w:val="28"/>
        </w:rPr>
        <w:t xml:space="preserve">Право на соціальний захист:</w:t>
      </w:r>
      <w:r>
        <w:rPr>
          <w:rFonts w:ascii="Times New Roman" w:hAnsi="Times New Roman" w:eastAsia="Times New Roman" w:cs="Times New Roman"/>
          <w:color w:val="000000"/>
          <w:sz w:val="28"/>
          <w:szCs w:val="28"/>
        </w:rPr>
        <w:t xml:space="preserve"> Гарантування виплат у разі хвороби, інвалідності або старості.</w:t>
      </w:r>
      <w:r>
        <w:rPr>
          <w:sz w:val="28"/>
          <w:szCs w:val="28"/>
        </w:rPr>
      </w:r>
    </w:p>
    <w:p w14:paraId="142B846F">
      <w:pPr>
        <w:pStyle w:val="668"/>
        <w:numPr>
          <w:ilvl w:val="0"/>
          <w:numId w:val="10"/>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i/>
          <w:color w:val="000000"/>
          <w:sz w:val="28"/>
          <w:szCs w:val="28"/>
        </w:rPr>
        <w:t xml:space="preserve">Право на освіту:</w:t>
      </w:r>
      <w:r>
        <w:rPr>
          <w:rFonts w:ascii="Times New Roman" w:hAnsi="Times New Roman" w:eastAsia="Times New Roman" w:cs="Times New Roman"/>
          <w:color w:val="000000"/>
          <w:sz w:val="28"/>
          <w:szCs w:val="28"/>
        </w:rPr>
        <w:t xml:space="preserve"> Забезпечення доступності початкової та вищої освіти.</w:t>
      </w:r>
      <w:r>
        <w:rPr>
          <w:sz w:val="28"/>
          <w:szCs w:val="28"/>
        </w:rPr>
      </w:r>
    </w:p>
    <w:p w14:paraId="6D9DB4CA">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4. Колективні права (Третє покоління):</w:t>
      </w:r>
      <w:r>
        <w:rPr>
          <w:rFonts w:ascii="Times New Roman" w:hAnsi="Times New Roman" w:eastAsia="Times New Roman" w:cs="Times New Roman"/>
          <w:color w:val="000000"/>
          <w:sz w:val="28"/>
          <w:szCs w:val="28"/>
        </w:rPr>
        <w:t xml:space="preserve"> У 2026 році вони є найбільш актуальними. Це право на мир (що є критичним для України), право на безпечне довкілля та право на розвиток. Ці права не можуть бути реалізовані однією людиною, вони вимагають зусиль всієї спільноти або людства.</w:t>
      </w:r>
      <w:r>
        <w:rPr>
          <w:sz w:val="28"/>
          <w:szCs w:val="28"/>
        </w:rPr>
      </w:r>
    </w:p>
    <w:p w14:paraId="7A9EA106">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b/>
          <w:color w:val="000000"/>
          <w:sz w:val="36"/>
        </w:rPr>
      </w:r>
      <w:r>
        <w:rPr>
          <w:rFonts w:ascii="Times New Roman" w:hAnsi="Times New Roman" w:eastAsia="Times New Roman" w:cs="Times New Roman"/>
          <w:b/>
          <w:bCs/>
          <w:color w:val="000000"/>
          <w:sz w:val="36"/>
          <w:szCs w:val="36"/>
        </w:rPr>
      </w:r>
      <w:r/>
    </w:p>
    <w:p w14:paraId="6A09DC9A">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r>
      <w:r>
        <w:rPr>
          <w:rFonts w:ascii="Times New Roman" w:hAnsi="Times New Roman" w:eastAsia="Times New Roman" w:cs="Times New Roman"/>
          <w:b/>
          <w:color w:val="000000"/>
          <w:sz w:val="36"/>
        </w:rPr>
        <w:br w:type="page" w:clear="all"/>
      </w:r>
      <w:r>
        <w:rPr>
          <w:rFonts w:ascii="Times New Roman" w:hAnsi="Times New Roman" w:eastAsia="Times New Roman" w:cs="Times New Roman"/>
          <w:b/>
          <w:bCs/>
          <w:color w:val="000000"/>
          <w:sz w:val="36"/>
          <w:szCs w:val="36"/>
        </w:rPr>
      </w:r>
      <w:r/>
      <w:r>
        <w:rPr>
          <w:rFonts w:ascii="Times New Roman" w:hAnsi="Times New Roman" w:eastAsia="Times New Roman" w:cs="Times New Roman"/>
          <w:b/>
          <w:bCs/>
          <w:color w:val="000000"/>
          <w:sz w:val="36"/>
          <w:szCs w:val="36"/>
        </w:rPr>
      </w:r>
    </w:p>
    <w:p w14:paraId="010ED7BB">
      <w:pPr>
        <w:pStyle w:val="140"/>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r>
        <w:rPr>
          <w:rFonts w:ascii="Times New Roman" w:hAnsi="Times New Roman" w:eastAsia="Times New Roman" w:cs="Times New Roman"/>
          <w:b/>
          <w:color w:val="000000"/>
          <w:sz w:val="36"/>
        </w:rPr>
        <w:t xml:space="preserve">РОЗДІЛ 2. МІЖНАРОДНІ МЕХАНІЗМИ ЗАХИСТУ ПРАВ ЛЮДИНИ</w:t>
      </w:r>
      <w:r/>
      <w: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p>
    <w:p w14:paraId="66D6BE85">
      <w:pPr>
        <w:pStyle w:val="141"/>
        <w:pBdr>
          <w:top w:val="none" w:color="000000" w:sz="4" w:space="0"/>
          <w:left w:val="none" w:color="000000" w:sz="4" w:space="0"/>
          <w:bottom w:val="none" w:color="000000" w:sz="4" w:space="0"/>
          <w:right w:val="none" w:color="000000" w:sz="4" w:space="0"/>
        </w:pBdr>
        <w:spacing/>
        <w:ind w:right="0" w:firstLine="0" w:left="0"/>
        <w:jc w:val="both"/>
        <w:rPr>
          <w:sz w:val="32"/>
          <w:szCs w:val="32"/>
        </w:rPr>
      </w:pPr>
      <w:r>
        <w:rPr>
          <w:rFonts w:ascii="Times New Roman" w:hAnsi="Times New Roman" w:eastAsia="Times New Roman" w:cs="Times New Roman"/>
          <w:b/>
          <w:color w:val="000000"/>
          <w:sz w:val="32"/>
          <w:szCs w:val="32"/>
        </w:rPr>
        <w:t xml:space="preserve">2.1. Роль Організації Об’єднаних Націй у забезпеченні стандартів прав людини</w:t>
      </w:r>
      <w:r>
        <w:rPr>
          <w:sz w:val="32"/>
          <w:szCs w:val="32"/>
        </w:rPr>
      </w:r>
    </w:p>
    <w:p w14:paraId="0DC4D8D7">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ООН є центральною ланкою глобальної системи захисту прав людини. Головним документом у цій сфері став </w:t>
      </w:r>
      <w:r>
        <w:rPr>
          <w:rFonts w:ascii="Times New Roman" w:hAnsi="Times New Roman" w:eastAsia="Times New Roman" w:cs="Times New Roman"/>
          <w:b/>
          <w:color w:val="000000"/>
          <w:sz w:val="28"/>
          <w:szCs w:val="28"/>
        </w:rPr>
        <w:t xml:space="preserve">Міжнародний білль про права людини</w:t>
      </w:r>
      <w:r>
        <w:rPr>
          <w:rFonts w:ascii="Times New Roman" w:hAnsi="Times New Roman" w:eastAsia="Times New Roman" w:cs="Times New Roman"/>
          <w:color w:val="000000"/>
          <w:sz w:val="28"/>
          <w:szCs w:val="28"/>
        </w:rPr>
        <w:t xml:space="preserve">, що включає:</w:t>
      </w:r>
      <w:r>
        <w:rPr>
          <w:sz w:val="28"/>
          <w:szCs w:val="28"/>
        </w:rPr>
      </w:r>
    </w:p>
    <w:p w14:paraId="77240D38">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Загальну декларацію прав людини (1948 р.);</w:t>
      </w:r>
      <w:r>
        <w:rPr>
          <w:sz w:val="28"/>
          <w:szCs w:val="28"/>
        </w:rPr>
      </w:r>
    </w:p>
    <w:p w14:paraId="42583AA7">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Міжнародний пакт про громадянські і політичні права (1966 р.);</w:t>
      </w:r>
      <w:r>
        <w:rPr>
          <w:sz w:val="28"/>
          <w:szCs w:val="28"/>
        </w:rPr>
      </w:r>
    </w:p>
    <w:p w14:paraId="2BA1D6B6">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Міжнародний пакт про економічні, соціальні і культурні права (1966 р.).</w:t>
      </w:r>
      <w:r>
        <w:rPr>
          <w:sz w:val="28"/>
          <w:szCs w:val="28"/>
        </w:rPr>
      </w:r>
    </w:p>
    <w:p w14:paraId="43FD4E54">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Ключові органи ООН у сфері захисту прав:</w:t>
      </w:r>
      <w:r>
        <w:rPr>
          <w:sz w:val="28"/>
          <w:szCs w:val="28"/>
        </w:rPr>
      </w:r>
    </w:p>
    <w:p w14:paraId="475B7B5E">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Рада ООН з прав людини:</w:t>
      </w:r>
      <w:r>
        <w:rPr>
          <w:rFonts w:ascii="Times New Roman" w:hAnsi="Times New Roman" w:eastAsia="Times New Roman" w:cs="Times New Roman"/>
          <w:color w:val="000000"/>
          <w:sz w:val="28"/>
          <w:szCs w:val="28"/>
        </w:rPr>
        <w:t xml:space="preserve"> Здійснює моніторинг ситуації в різних країнах та розглядає скарги на масові порушення.</w:t>
      </w:r>
      <w:r>
        <w:rPr>
          <w:sz w:val="28"/>
          <w:szCs w:val="28"/>
        </w:rPr>
      </w:r>
    </w:p>
    <w:p w14:paraId="22FD3031">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bCs/>
          <w:color w:val="000000"/>
          <w:sz w:val="28"/>
          <w:szCs w:val="28"/>
        </w:rPr>
        <w:t xml:space="preserve">Рада з прав людини (РПЛ):</w:t>
      </w:r>
      <w:r>
        <w:rPr>
          <w:rFonts w:ascii="Times New Roman" w:hAnsi="Times New Roman" w:eastAsia="Times New Roman" w:cs="Times New Roman"/>
          <w:b w:val="0"/>
          <w:bCs w:val="0"/>
          <w:color w:val="000000"/>
          <w:sz w:val="28"/>
          <w:szCs w:val="28"/>
        </w:rPr>
        <w:t xml:space="preserve"> Це міжурядовий орган у системі ООН, відповідальний за зміцнення захисту прав людини в усьому світі. РПЛ проводить Універсальний періодичний огляд (УПО), під час якого кожна держава-член ООН раз на кілька років звітує про стан прав </w:t>
      </w:r>
      <w:r>
        <w:rPr>
          <w:rFonts w:ascii="Times New Roman" w:hAnsi="Times New Roman" w:eastAsia="Times New Roman" w:cs="Times New Roman"/>
          <w:b w:val="0"/>
          <w:bCs w:val="0"/>
          <w:color w:val="000000"/>
          <w:sz w:val="28"/>
          <w:szCs w:val="28"/>
        </w:rPr>
        <w:t xml:space="preserve">людини на своїй території.</w:t>
      </w:r>
      <w:r>
        <w:rPr>
          <w:rFonts w:ascii="Times New Roman" w:hAnsi="Times New Roman" w:eastAsia="Times New Roman" w:cs="Times New Roman"/>
          <w:b w:val="0"/>
          <w:bCs w:val="0"/>
          <w:color w:val="000000"/>
          <w:sz w:val="28"/>
          <w:szCs w:val="28"/>
        </w:rPr>
      </w:r>
    </w:p>
    <w:p w14:paraId="060FB3D5">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bCs/>
          <w:color w:val="000000"/>
          <w:sz w:val="28"/>
          <w:szCs w:val="28"/>
        </w:rPr>
        <w:t xml:space="preserve">Комітети ООН:</w:t>
      </w:r>
      <w:r>
        <w:rPr>
          <w:rFonts w:ascii="Times New Roman" w:hAnsi="Times New Roman" w:eastAsia="Times New Roman" w:cs="Times New Roman"/>
          <w:b w:val="0"/>
          <w:bCs w:val="0"/>
          <w:color w:val="000000"/>
          <w:sz w:val="28"/>
          <w:szCs w:val="28"/>
        </w:rPr>
        <w:t xml:space="preserve"> Це групи незалежних експертів, які стежать за виконанням конкретних договорів (наприклад, Комітет проти катувань або Комітет з прав дитини). Україна регулярно подає звіти до цих комітетів і отримує рекомендації, які є обов’язковими для розгляд</w:t>
      </w:r>
      <w:r>
        <w:rPr>
          <w:rFonts w:ascii="Times New Roman" w:hAnsi="Times New Roman" w:eastAsia="Times New Roman" w:cs="Times New Roman"/>
          <w:b w:val="0"/>
          <w:bCs w:val="0"/>
          <w:color w:val="000000"/>
          <w:sz w:val="28"/>
          <w:szCs w:val="28"/>
        </w:rPr>
        <w:t xml:space="preserve">у національним урядом.</w:t>
      </w:r>
      <w:r>
        <w:rPr>
          <w:rFonts w:ascii="Times New Roman" w:hAnsi="Times New Roman" w:eastAsia="Times New Roman" w:cs="Times New Roman"/>
          <w:b w:val="0"/>
          <w:bCs w:val="0"/>
          <w:color w:val="000000"/>
          <w:sz w:val="28"/>
          <w:szCs w:val="28"/>
        </w:rPr>
      </w:r>
    </w:p>
    <w:p w14:paraId="15B4BB62">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bCs/>
          <w:color w:val="000000"/>
          <w:sz w:val="28"/>
          <w:szCs w:val="28"/>
        </w:rPr>
        <w:t xml:space="preserve">Верховний комісар ООН з прав людини:</w:t>
      </w:r>
      <w:r>
        <w:rPr>
          <w:rFonts w:ascii="Times New Roman" w:hAnsi="Times New Roman" w:eastAsia="Times New Roman" w:cs="Times New Roman"/>
          <w:b w:val="0"/>
          <w:bCs w:val="0"/>
          <w:color w:val="000000"/>
          <w:sz w:val="28"/>
          <w:szCs w:val="28"/>
        </w:rPr>
        <w:t xml:space="preserve"> Відіграє роль «голосу совісті» світового співтовариства, реагуючи на найбільш кризові ситуації. Моніторингові місії ООН, що працюють безпосередньо в Україні, фіксують порушення та надають доказову базу для майбутніх міжн</w:t>
      </w:r>
      <w:r>
        <w:rPr>
          <w:rFonts w:ascii="Times New Roman" w:hAnsi="Times New Roman" w:eastAsia="Times New Roman" w:cs="Times New Roman"/>
          <w:b w:val="0"/>
          <w:bCs w:val="0"/>
          <w:color w:val="000000"/>
          <w:sz w:val="28"/>
          <w:szCs w:val="28"/>
        </w:rPr>
        <w:t xml:space="preserve">ародних трибуналів.</w:t>
      </w:r>
      <w:r>
        <w:rPr>
          <w:rFonts w:ascii="Times New Roman" w:hAnsi="Times New Roman" w:eastAsia="Times New Roman" w:cs="Times New Roman"/>
          <w:b w:val="0"/>
          <w:bCs w:val="0"/>
          <w:color w:val="000000"/>
          <w:sz w:val="28"/>
          <w:szCs w:val="28"/>
        </w:rPr>
      </w:r>
    </w:p>
    <w:p w14:paraId="7F22FE90">
      <w:pPr>
        <w:pBdr>
          <w:top w:val="none" w:color="000000" w:sz="4" w:space="0"/>
          <w:left w:val="none" w:color="000000" w:sz="4" w:space="0"/>
          <w:bottom w:val="none" w:color="000000" w:sz="4" w:space="0"/>
          <w:right w:val="none" w:color="000000" w:sz="4" w:space="0"/>
        </w:pBdr>
        <w:spacing/>
        <w:ind w:right="0" w:firstLine="0" w:left="709"/>
        <w:jc w:val="both"/>
        <w:rPr>
          <w:sz w:val="28"/>
          <w:szCs w:val="28"/>
        </w:rPr>
      </w:pPr>
      <w:r>
        <w:rPr>
          <w:rFonts w:ascii="Times New Roman" w:hAnsi="Times New Roman" w:eastAsia="Times New Roman" w:cs="Times New Roman"/>
          <w:b/>
          <w:color w:val="000000"/>
          <w:sz w:val="28"/>
          <w:szCs w:val="28"/>
        </w:rPr>
      </w:r>
      <w:r>
        <w:rPr>
          <w:sz w:val="28"/>
          <w:szCs w:val="28"/>
        </w:rPr>
      </w:r>
    </w:p>
    <w:p w14:paraId="4CCACF08">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Особливістю механізмів ООН є те, що вони встановлюють </w:t>
      </w:r>
      <w:r>
        <w:rPr>
          <w:rFonts w:ascii="Times New Roman" w:hAnsi="Times New Roman" w:eastAsia="Times New Roman" w:cs="Times New Roman"/>
          <w:b/>
          <w:color w:val="000000"/>
          <w:sz w:val="28"/>
          <w:szCs w:val="28"/>
        </w:rPr>
        <w:t xml:space="preserve">мінімальні універсальні стандарти</w:t>
      </w:r>
      <w:r>
        <w:rPr>
          <w:rFonts w:ascii="Times New Roman" w:hAnsi="Times New Roman" w:eastAsia="Times New Roman" w:cs="Times New Roman"/>
          <w:color w:val="000000"/>
          <w:sz w:val="28"/>
          <w:szCs w:val="28"/>
        </w:rPr>
        <w:t xml:space="preserve">, яких має дотримуватися кожна країна світу, незалежно від політичного ладу чи релігії.</w:t>
      </w:r>
      <w:r>
        <w:rPr>
          <w:sz w:val="28"/>
          <w:szCs w:val="28"/>
        </w:rPr>
      </w:r>
    </w:p>
    <w:p w14:paraId="364C6899">
      <w:pPr>
        <w:pStyle w:val="141"/>
        <w:pBdr>
          <w:top w:val="none" w:color="000000" w:sz="4" w:space="0"/>
          <w:left w:val="none" w:color="000000" w:sz="4" w:space="0"/>
          <w:bottom w:val="none" w:color="000000" w:sz="4" w:space="0"/>
          <w:right w:val="none" w:color="000000" w:sz="4" w:space="0"/>
        </w:pBdr>
        <w:spacing/>
        <w:ind w:right="0" w:firstLine="0" w:left="0"/>
        <w:jc w:val="both"/>
        <w:rPr>
          <w:sz w:val="32"/>
          <w:szCs w:val="32"/>
        </w:rPr>
      </w:pPr>
      <w:r>
        <w:rPr>
          <w:rFonts w:ascii="Times New Roman" w:hAnsi="Times New Roman" w:eastAsia="Times New Roman" w:cs="Times New Roman"/>
          <w:b/>
          <w:color w:val="000000"/>
          <w:sz w:val="32"/>
          <w:szCs w:val="32"/>
        </w:rPr>
        <w:t xml:space="preserve">2.2. Європейська система захисту прав людини: роль ЄСПЛ</w:t>
      </w:r>
      <w:r>
        <w:rPr>
          <w:sz w:val="32"/>
          <w:szCs w:val="32"/>
        </w:rPr>
      </w:r>
    </w:p>
    <w:p w14:paraId="2A7EE82C">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t xml:space="preserve">Європейська система захисту прав людини, що діє в межах Ради Європи, на сьогодні визнається найбільш досконалою та дієвою регіональною системою у світі. Її центральним елементом є Європейський суд з прав людини (ЄСПЛ), розташований у місті Страсбург (Франці</w:t>
      </w:r>
      <w:r>
        <w:rPr>
          <w:rFonts w:ascii="Times New Roman" w:hAnsi="Times New Roman" w:eastAsia="Times New Roman" w:cs="Times New Roman"/>
          <w:color w:val="000000"/>
          <w:sz w:val="28"/>
          <w:szCs w:val="28"/>
        </w:rPr>
        <w:t xml:space="preserve">я). Правовою основою діяльності Суду є Конвенція про захист прав людини і основоположних свобод 1950 року (далі — Конвенція), яка була ратифікована Україною у 1997 році.</w:t>
      </w:r>
      <w:r>
        <w:rPr>
          <w:rFonts w:ascii="Times New Roman" w:hAnsi="Times New Roman" w:eastAsia="Times New Roman" w:cs="Times New Roman"/>
          <w:color w:val="000000"/>
          <w:sz w:val="28"/>
          <w:szCs w:val="28"/>
        </w:rPr>
      </w:r>
      <w:r>
        <w:rPr>
          <w:sz w:val="28"/>
          <w:szCs w:val="28"/>
        </w:rPr>
      </w:r>
    </w:p>
    <w:p w14:paraId="718F5DBF">
      <w:pPr>
        <w:pStyle w:val="142"/>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32"/>
          <w:szCs w:val="32"/>
        </w:rPr>
        <w:t xml:space="preserve">2.3.</w:t>
      </w:r>
      <w:r>
        <w:rPr>
          <w:rFonts w:ascii="Times New Roman" w:hAnsi="Times New Roman" w:eastAsia="Times New Roman" w:cs="Times New Roman"/>
          <w:b/>
          <w:color w:val="000000"/>
          <w:sz w:val="28"/>
          <w:szCs w:val="28"/>
        </w:rPr>
        <w:t xml:space="preserve"> </w:t>
      </w:r>
      <w:r>
        <w:rPr>
          <w:rFonts w:ascii="Times New Roman" w:hAnsi="Times New Roman" w:eastAsia="Times New Roman" w:cs="Times New Roman"/>
          <w:b/>
          <w:i w:val="0"/>
          <w:iCs w:val="0"/>
          <w:color w:val="000000"/>
          <w:sz w:val="32"/>
          <w:szCs w:val="32"/>
        </w:rPr>
        <w:t xml:space="preserve">Юридична природа та структура Суду</w:t>
      </w:r>
      <w:r>
        <w:rPr>
          <w:sz w:val="28"/>
          <w:szCs w:val="28"/>
        </w:rPr>
      </w:r>
    </w:p>
    <w:p w14:paraId="27BCC349">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ЄСПЛ не є «четвертою інстанцією» відносно національних судів. Він не переглядає справи по суті і не скасовує рішення національних судів автоматично. Суд виконує роль контролюючого органу, який перевіряє, чи дотрималася держава своїх зобов’язань за Конвенці</w:t>
      </w:r>
      <w:r>
        <w:rPr>
          <w:rFonts w:ascii="Times New Roman" w:hAnsi="Times New Roman" w:eastAsia="Times New Roman" w:cs="Times New Roman"/>
          <w:color w:val="000000"/>
          <w:sz w:val="28"/>
          <w:szCs w:val="28"/>
        </w:rPr>
        <w:t xml:space="preserve">єю.</w:t>
      </w:r>
      <w:r>
        <w:rPr>
          <w:sz w:val="28"/>
          <w:szCs w:val="28"/>
        </w:rPr>
      </w:r>
    </w:p>
    <w:p w14:paraId="7D09BF56">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Структурно Суд складається з такої кількості суддів, яка відповідає кількості держав-учасниць (на сьогодні — 46). Судді діють у власній якості та не представляють інтереси своїх держав, що забезпечує їхню повну незалежність та об’єктивність.</w:t>
      </w:r>
      <w:r>
        <w:rPr>
          <w:sz w:val="28"/>
          <w:szCs w:val="28"/>
        </w:rPr>
      </w:r>
    </w:p>
    <w:p w14:paraId="7A29E841">
      <w:pPr>
        <w:pStyle w:val="142"/>
        <w:pBdr>
          <w:top w:val="none" w:color="000000" w:sz="4" w:space="0"/>
          <w:left w:val="none" w:color="000000" w:sz="4" w:space="0"/>
          <w:bottom w:val="none" w:color="000000" w:sz="4" w:space="0"/>
          <w:right w:val="none" w:color="000000" w:sz="4" w:space="0"/>
        </w:pBdr>
        <w:spacing/>
        <w:ind w:right="0" w:firstLine="0" w:left="0"/>
        <w:jc w:val="both"/>
        <w:rPr>
          <w:bCs w:val="0"/>
          <w:i w:val="0"/>
          <w:sz w:val="32"/>
          <w:szCs w:val="32"/>
        </w:rPr>
      </w:pPr>
      <w:r>
        <w:rPr>
          <w:rFonts w:ascii="Times New Roman" w:hAnsi="Times New Roman" w:eastAsia="Times New Roman" w:cs="Times New Roman"/>
          <w:b/>
          <w:i w:val="0"/>
          <w:iCs w:val="0"/>
          <w:color w:val="000000"/>
          <w:sz w:val="32"/>
          <w:szCs w:val="32"/>
        </w:rPr>
        <w:t xml:space="preserve">2.4. Умови прийнятності скарги</w:t>
      </w:r>
      <w:r>
        <w:rPr>
          <w:i w:val="0"/>
          <w:iCs w:val="0"/>
          <w:sz w:val="32"/>
          <w:szCs w:val="32"/>
        </w:rPr>
      </w:r>
    </w:p>
    <w:p w14:paraId="27DC7441">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Для того, щоб скарга була розглянута ЄСПЛ, вона має відповідати суворим критеріям прийнятності, що часто стає перепоною для багатьох заявників:</w:t>
      </w:r>
      <w:r>
        <w:rPr>
          <w:sz w:val="28"/>
          <w:szCs w:val="28"/>
        </w:rPr>
      </w:r>
    </w:p>
    <w:p w14:paraId="782A994B">
      <w:pPr>
        <w:pStyle w:val="668"/>
        <w:numPr>
          <w:ilvl w:val="0"/>
          <w:numId w:val="1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Вичерпання національних засобів захисту:</w:t>
      </w:r>
      <w:r>
        <w:rPr>
          <w:rFonts w:ascii="Times New Roman" w:hAnsi="Times New Roman" w:eastAsia="Times New Roman" w:cs="Times New Roman"/>
          <w:color w:val="000000"/>
          <w:sz w:val="28"/>
          <w:szCs w:val="28"/>
        </w:rPr>
        <w:t xml:space="preserve"> Заявник повинен пройти всі судові інстанції в Україні (включаючи Верховний Суд), перш ніж звертатися до Страсбурга.</w:t>
      </w:r>
      <w:r>
        <w:rPr>
          <w:sz w:val="28"/>
          <w:szCs w:val="28"/>
        </w:rPr>
      </w:r>
    </w:p>
    <w:p w14:paraId="71B9B7E1">
      <w:pPr>
        <w:pStyle w:val="668"/>
        <w:numPr>
          <w:ilvl w:val="0"/>
          <w:numId w:val="1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Строк подання:</w:t>
      </w:r>
      <w:r>
        <w:rPr>
          <w:rFonts w:ascii="Times New Roman" w:hAnsi="Times New Roman" w:eastAsia="Times New Roman" w:cs="Times New Roman"/>
          <w:color w:val="000000"/>
          <w:sz w:val="28"/>
          <w:szCs w:val="28"/>
        </w:rPr>
        <w:t xml:space="preserve"> Скарга має бути подана протягом </w:t>
      </w:r>
      <w:r>
        <w:rPr>
          <w:rFonts w:ascii="Times New Roman" w:hAnsi="Times New Roman" w:eastAsia="Times New Roman" w:cs="Times New Roman"/>
          <w:b/>
          <w:color w:val="000000"/>
          <w:sz w:val="28"/>
          <w:szCs w:val="28"/>
        </w:rPr>
        <w:t xml:space="preserve">4 місяців</w:t>
      </w:r>
      <w:r>
        <w:rPr>
          <w:rFonts w:ascii="Times New Roman" w:hAnsi="Times New Roman" w:eastAsia="Times New Roman" w:cs="Times New Roman"/>
          <w:color w:val="000000"/>
          <w:sz w:val="28"/>
          <w:szCs w:val="28"/>
        </w:rPr>
        <w:t xml:space="preserve"> після винесення остаточного рішення національним судом.</w:t>
      </w:r>
      <w:r>
        <w:rPr>
          <w:sz w:val="28"/>
          <w:szCs w:val="28"/>
        </w:rPr>
      </w:r>
    </w:p>
    <w:p w14:paraId="6E437BCD">
      <w:pPr>
        <w:pStyle w:val="668"/>
        <w:numPr>
          <w:ilvl w:val="0"/>
          <w:numId w:val="1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Жертва порушення:</w:t>
      </w:r>
      <w:r>
        <w:rPr>
          <w:rFonts w:ascii="Times New Roman" w:hAnsi="Times New Roman" w:eastAsia="Times New Roman" w:cs="Times New Roman"/>
          <w:color w:val="000000"/>
          <w:sz w:val="28"/>
          <w:szCs w:val="28"/>
        </w:rPr>
        <w:t xml:space="preserve"> Заявник повинен особисто бути жертвою порушення прав, закріплених у Конвенції.</w:t>
      </w:r>
      <w:r>
        <w:rPr>
          <w:sz w:val="28"/>
          <w:szCs w:val="28"/>
        </w:rPr>
      </w:r>
    </w:p>
    <w:p w14:paraId="34D37856">
      <w:pPr>
        <w:pStyle w:val="668"/>
        <w:numPr>
          <w:ilvl w:val="0"/>
          <w:numId w:val="1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Значна шкода:</w:t>
      </w:r>
      <w:r>
        <w:rPr>
          <w:rFonts w:ascii="Times New Roman" w:hAnsi="Times New Roman" w:eastAsia="Times New Roman" w:cs="Times New Roman"/>
          <w:color w:val="000000"/>
          <w:sz w:val="28"/>
          <w:szCs w:val="28"/>
        </w:rPr>
        <w:t xml:space="preserve"> Суд може відхилити скаргу, якщо заявник не зазнав суттєвої шкоди (окрім випадків, коли це питання має принципове значення для дотримання прав людини).</w:t>
      </w:r>
      <w:r>
        <w:rPr>
          <w:sz w:val="28"/>
          <w:szCs w:val="28"/>
        </w:rPr>
      </w:r>
    </w:p>
    <w:p w14:paraId="3EE124C8">
      <w:pPr>
        <w:pStyle w:val="142"/>
        <w:pBdr>
          <w:top w:val="none" w:color="000000" w:sz="4" w:space="0"/>
          <w:left w:val="none" w:color="000000" w:sz="4" w:space="0"/>
          <w:bottom w:val="none" w:color="000000" w:sz="4" w:space="0"/>
          <w:right w:val="none" w:color="000000" w:sz="4" w:space="0"/>
        </w:pBdr>
        <w:spacing/>
        <w:ind w:right="0" w:firstLine="0" w:left="0"/>
        <w:jc w:val="both"/>
        <w:rPr>
          <w:bCs w:val="0"/>
          <w:i w:val="0"/>
          <w:sz w:val="32"/>
          <w:szCs w:val="32"/>
        </w:rPr>
      </w:pPr>
      <w:r>
        <w:rPr>
          <w:rFonts w:ascii="Times New Roman" w:hAnsi="Times New Roman" w:eastAsia="Times New Roman" w:cs="Times New Roman"/>
          <w:b/>
          <w:i w:val="0"/>
          <w:iCs w:val="0"/>
          <w:color w:val="000000"/>
          <w:sz w:val="32"/>
          <w:szCs w:val="32"/>
        </w:rPr>
        <w:t xml:space="preserve">2.5. Аналіз практики ЄСПЛ у справах проти України</w:t>
      </w:r>
      <w:r>
        <w:rPr>
          <w:i w:val="0"/>
          <w:iCs w:val="0"/>
          <w:sz w:val="32"/>
          <w:szCs w:val="32"/>
        </w:rPr>
      </w:r>
    </w:p>
    <w:p w14:paraId="43596E92">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Практика Суду має надзвичайне значення для правової системи України, оскільки згідно із Законом України «Про виконання рішень та застосування практики Європейського суду з прав людини», рішення ЄСПЛ є </w:t>
      </w:r>
      <w:r>
        <w:rPr>
          <w:rFonts w:ascii="Times New Roman" w:hAnsi="Times New Roman" w:eastAsia="Times New Roman" w:cs="Times New Roman"/>
          <w:b/>
          <w:color w:val="000000"/>
          <w:sz w:val="28"/>
          <w:szCs w:val="28"/>
        </w:rPr>
        <w:t xml:space="preserve">джерелом права</w:t>
      </w:r>
      <w:r>
        <w:rPr>
          <w:rFonts w:ascii="Times New Roman" w:hAnsi="Times New Roman" w:eastAsia="Times New Roman" w:cs="Times New Roman"/>
          <w:color w:val="000000"/>
          <w:sz w:val="28"/>
          <w:szCs w:val="28"/>
        </w:rPr>
        <w:t xml:space="preserve"> для українських судів.</w:t>
      </w:r>
      <w:r>
        <w:rPr>
          <w:sz w:val="28"/>
          <w:szCs w:val="28"/>
        </w:rPr>
      </w:r>
    </w:p>
    <w:p w14:paraId="02FF41FE">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Розглянемо найбільш типові групи справ проти України:</w:t>
      </w:r>
      <w:r>
        <w:rPr>
          <w:sz w:val="28"/>
          <w:szCs w:val="28"/>
        </w:rPr>
      </w:r>
    </w:p>
    <w:p w14:paraId="50FF0222">
      <w:pPr>
        <w:pStyle w:val="668"/>
        <w:numPr>
          <w:ilvl w:val="0"/>
          <w:numId w:val="12"/>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Справи щодо надмірної тривалості судового розгляду (ст. 6 Конвенції):</w:t>
      </w:r>
      <w:r>
        <w:rPr>
          <w:rFonts w:ascii="Times New Roman" w:hAnsi="Times New Roman" w:eastAsia="Times New Roman" w:cs="Times New Roman"/>
          <w:color w:val="000000"/>
          <w:sz w:val="28"/>
          <w:szCs w:val="28"/>
        </w:rPr>
        <w:t xml:space="preserve"> Системною проблемою України залишається розгляд цивільних та кримінальних справ протягом багатьох років, що Суд визнає порушенням права на справедливий суд. (Наприклад, пілотне рішення у справі </w:t>
      </w:r>
      <w:r>
        <w:rPr>
          <w:rFonts w:ascii="Times New Roman" w:hAnsi="Times New Roman" w:eastAsia="Times New Roman" w:cs="Times New Roman"/>
          <w:i/>
          <w:color w:val="000000"/>
          <w:sz w:val="28"/>
          <w:szCs w:val="28"/>
        </w:rPr>
        <w:t xml:space="preserve">«Світлана Науменко проти України»</w:t>
      </w:r>
      <w:r>
        <w:rPr>
          <w:rFonts w:ascii="Times New Roman" w:hAnsi="Times New Roman" w:eastAsia="Times New Roman" w:cs="Times New Roman"/>
          <w:color w:val="000000"/>
          <w:sz w:val="28"/>
          <w:szCs w:val="28"/>
        </w:rPr>
        <w:t xml:space="preserve">).</w:t>
      </w:r>
      <w:r>
        <w:rPr>
          <w:sz w:val="28"/>
          <w:szCs w:val="28"/>
        </w:rPr>
      </w:r>
    </w:p>
    <w:p w14:paraId="7E84A98C">
      <w:pPr>
        <w:pStyle w:val="668"/>
        <w:numPr>
          <w:ilvl w:val="0"/>
          <w:numId w:val="12"/>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Справи щодо катувань та неналежного поводження (ст. 3 Конвенції):</w:t>
      </w:r>
      <w:r>
        <w:rPr>
          <w:rFonts w:ascii="Times New Roman" w:hAnsi="Times New Roman" w:eastAsia="Times New Roman" w:cs="Times New Roman"/>
          <w:color w:val="000000"/>
          <w:sz w:val="28"/>
          <w:szCs w:val="28"/>
        </w:rPr>
        <w:t xml:space="preserve"> ЄСПЛ неодноразово констатував порушення з боку правоохоронних органів України під час допитів або через незадовільні умови утримання в СІЗО.</w:t>
      </w:r>
      <w:r>
        <w:rPr>
          <w:sz w:val="28"/>
          <w:szCs w:val="28"/>
        </w:rPr>
      </w:r>
    </w:p>
    <w:p w14:paraId="454D46A7">
      <w:pPr>
        <w:pStyle w:val="668"/>
        <w:numPr>
          <w:ilvl w:val="0"/>
          <w:numId w:val="12"/>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Справи щодо невиконання рішень національних судів (ст. 6 та ст. 1 Першого протоколу):</w:t>
      </w:r>
      <w:r>
        <w:rPr>
          <w:rFonts w:ascii="Times New Roman" w:hAnsi="Times New Roman" w:eastAsia="Times New Roman" w:cs="Times New Roman"/>
          <w:color w:val="000000"/>
          <w:sz w:val="28"/>
          <w:szCs w:val="28"/>
        </w:rPr>
        <w:t xml:space="preserve"> Найбільша кількість звернень стосується ситуацій, коли громадяни виграють суд проти держави (наприклад, щодо виплати пенсій чи пільг), але держава роками не виплачує кошти. Ключовим тут є рішення у справі </w:t>
      </w:r>
      <w:r>
        <w:rPr>
          <w:rFonts w:ascii="Times New Roman" w:hAnsi="Times New Roman" w:eastAsia="Times New Roman" w:cs="Times New Roman"/>
          <w:i/>
          <w:color w:val="000000"/>
          <w:sz w:val="28"/>
          <w:szCs w:val="28"/>
        </w:rPr>
        <w:t xml:space="preserve">«Юрій Миколайович Іванов проти України»</w:t>
      </w:r>
      <w:r>
        <w:rPr>
          <w:rFonts w:ascii="Times New Roman" w:hAnsi="Times New Roman" w:eastAsia="Times New Roman" w:cs="Times New Roman"/>
          <w:color w:val="000000"/>
          <w:sz w:val="28"/>
          <w:szCs w:val="28"/>
        </w:rPr>
        <w:t xml:space="preserve">.</w:t>
      </w:r>
      <w:r>
        <w:rPr>
          <w:sz w:val="28"/>
          <w:szCs w:val="28"/>
        </w:rPr>
      </w:r>
    </w:p>
    <w:p w14:paraId="39C17E04">
      <w:pPr>
        <w:pStyle w:val="142"/>
        <w:pBdr>
          <w:top w:val="none" w:color="000000" w:sz="4" w:space="0"/>
          <w:left w:val="none" w:color="000000" w:sz="4" w:space="0"/>
          <w:bottom w:val="none" w:color="000000" w:sz="4" w:space="0"/>
          <w:right w:val="none" w:color="000000" w:sz="4" w:space="0"/>
        </w:pBdr>
        <w:spacing/>
        <w:ind w:right="0" w:firstLine="0" w:left="0"/>
        <w:jc w:val="both"/>
        <w:rPr>
          <w:bCs w:val="0"/>
          <w:i w:val="0"/>
          <w:sz w:val="32"/>
          <w:szCs w:val="32"/>
        </w:rPr>
      </w:pPr>
      <w:r>
        <w:rPr>
          <w:rFonts w:ascii="Times New Roman" w:hAnsi="Times New Roman" w:eastAsia="Times New Roman" w:cs="Times New Roman"/>
          <w:b/>
          <w:i w:val="0"/>
          <w:iCs w:val="0"/>
          <w:color w:val="000000"/>
          <w:sz w:val="32"/>
          <w:szCs w:val="32"/>
        </w:rPr>
        <w:t xml:space="preserve">2.6. Значення рішень ЄСПЛ для реформування національного права</w:t>
      </w:r>
      <w:r>
        <w:rPr>
          <w:i w:val="0"/>
          <w:iCs w:val="0"/>
          <w:sz w:val="32"/>
          <w:szCs w:val="32"/>
        </w:rPr>
      </w:r>
    </w:p>
    <w:p w14:paraId="7B2F730F">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Рішення Суду мають два аспекти виконання:</w:t>
      </w:r>
      <w:r>
        <w:rPr>
          <w:sz w:val="28"/>
          <w:szCs w:val="28"/>
        </w:rPr>
      </w:r>
    </w:p>
    <w:p w14:paraId="19506BB7">
      <w:pPr>
        <w:pStyle w:val="668"/>
        <w:numPr>
          <w:ilvl w:val="0"/>
          <w:numId w:val="13"/>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Заходи індивідуального характеру:</w:t>
      </w:r>
      <w:r>
        <w:rPr>
          <w:rFonts w:ascii="Times New Roman" w:hAnsi="Times New Roman" w:eastAsia="Times New Roman" w:cs="Times New Roman"/>
          <w:color w:val="000000"/>
          <w:sz w:val="28"/>
          <w:szCs w:val="28"/>
        </w:rPr>
        <w:t xml:space="preserve"> Виплата грошової компенсації (справедливої сатисфакції) та відновлення порушеного права заявника (наприклад, перегляд справи).</w:t>
      </w:r>
      <w:r>
        <w:rPr>
          <w:sz w:val="28"/>
          <w:szCs w:val="28"/>
        </w:rPr>
      </w:r>
    </w:p>
    <w:p w14:paraId="5D02B4DC">
      <w:pPr>
        <w:pStyle w:val="668"/>
        <w:numPr>
          <w:ilvl w:val="0"/>
          <w:numId w:val="13"/>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Заходи загального характеру:</w:t>
      </w:r>
      <w:r>
        <w:rPr>
          <w:rFonts w:ascii="Times New Roman" w:hAnsi="Times New Roman" w:eastAsia="Times New Roman" w:cs="Times New Roman"/>
          <w:color w:val="000000"/>
          <w:sz w:val="28"/>
          <w:szCs w:val="28"/>
        </w:rPr>
        <w:t xml:space="preserve"> Зміна законодавства або адміністративної практики держави, щоб аналогічні порушення не повторювалися в майбутньому.</w:t>
      </w:r>
      <w:r>
        <w:rPr>
          <w:sz w:val="28"/>
          <w:szCs w:val="28"/>
        </w:rPr>
      </w:r>
    </w:p>
    <w:p w14:paraId="3F59B190">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Таким чином, ЄСПЛ виступає потужним двигуном правової реформи в Україні, змушуючи державу адаптувати свої інститути до високих європейських стандартів.</w:t>
      </w:r>
      <w:r>
        <w:rPr>
          <w:sz w:val="28"/>
          <w:szCs w:val="28"/>
        </w:rPr>
      </w:r>
      <w:r>
        <w:rPr>
          <w:sz w:val="28"/>
          <w:szCs w:val="28"/>
        </w:rPr>
        <w:br w:type="page" w:clear="all"/>
      </w:r>
      <w:r>
        <w:rPr>
          <w:sz w:val="28"/>
          <w:szCs w:val="28"/>
        </w:rPr>
      </w:r>
      <w:r/>
      <w:r>
        <w:rPr>
          <w:sz w:val="28"/>
          <w:szCs w:val="28"/>
        </w:rPr>
      </w:r>
      <w:r>
        <w:rPr>
          <w:sz w:val="28"/>
          <w:szCs w:val="28"/>
        </w:rPr>
      </w:r>
      <w:r/>
      <w:r>
        <w:rPr>
          <w:sz w:val="28"/>
          <w:szCs w:val="28"/>
        </w:rPr>
      </w:r>
      <w:r>
        <w:rPr>
          <w:rFonts w:ascii="Times New Roman" w:hAnsi="Times New Roman" w:eastAsia="Times New Roman" w:cs="Times New Roman"/>
          <w:sz w:val="28"/>
          <w:szCs w:val="28"/>
        </w:rPr>
      </w:r>
    </w:p>
    <w:p w14:paraId="2B5AB63D">
      <w:pPr>
        <w:pStyle w:val="141"/>
        <w:pBdr>
          <w:top w:val="none" w:color="000000" w:sz="4" w:space="0"/>
          <w:left w:val="none" w:color="000000" w:sz="4" w:space="0"/>
          <w:bottom w:val="none" w:color="000000" w:sz="4" w:space="0"/>
          <w:right w:val="none" w:color="000000" w:sz="4" w:space="0"/>
        </w:pBdr>
        <w:spacing/>
        <w:ind w:right="0" w:firstLine="0" w:left="0"/>
        <w:jc w:val="center"/>
        <w:rPr>
          <w:sz w:val="32"/>
          <w:szCs w:val="32"/>
        </w:rPr>
      </w:pPr>
      <w:r>
        <w:rPr>
          <w:rFonts w:ascii="Times New Roman" w:hAnsi="Times New Roman" w:eastAsia="Times New Roman" w:cs="Times New Roman"/>
          <w:b/>
          <w:color w:val="000000"/>
          <w:sz w:val="32"/>
          <w:szCs w:val="32"/>
        </w:rPr>
        <w:t xml:space="preserve">РОЗДІЛ 3. НАЦІОНАЛЬНИЙ МЕХАНІЗМ ЗАХИСТУ ПРАВ ЛЮДИНИ В УКРАЇНІ</w:t>
      </w:r>
      <w:r>
        <w:rPr>
          <w:sz w:val="32"/>
          <w:szCs w:val="32"/>
        </w:rPr>
      </w:r>
    </w:p>
    <w:p w14:paraId="6E006063">
      <w:pPr>
        <w:pStyle w:val="142"/>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3.1. Конституційно-правові гарантії прав особи: аналіз основних положень</w:t>
      </w:r>
      <w:r>
        <w:rPr>
          <w:sz w:val="28"/>
          <w:szCs w:val="28"/>
        </w:rPr>
      </w:r>
    </w:p>
    <w:p w14:paraId="45639100">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Конституція України 1996 року стала фундаментом для побудови правової держави. У Розділі II закладено широкий спектр прав, які за своїм змістом повністю відповідають міжнародним стандартам. Однак для курсової роботи важливо проаналізувати не просто перелік</w:t>
      </w:r>
      <w:r>
        <w:rPr>
          <w:rFonts w:ascii="Times New Roman" w:hAnsi="Times New Roman" w:eastAsia="Times New Roman" w:cs="Times New Roman"/>
          <w:color w:val="000000"/>
          <w:sz w:val="28"/>
          <w:szCs w:val="28"/>
        </w:rPr>
        <w:t xml:space="preserve"> прав, а систему їхніх </w:t>
      </w:r>
      <w:r>
        <w:rPr>
          <w:rFonts w:ascii="Times New Roman" w:hAnsi="Times New Roman" w:eastAsia="Times New Roman" w:cs="Times New Roman"/>
          <w:b/>
          <w:color w:val="000000"/>
          <w:sz w:val="28"/>
          <w:szCs w:val="28"/>
        </w:rPr>
        <w:t xml:space="preserve">гарантій</w:t>
      </w:r>
      <w:r>
        <w:rPr>
          <w:rFonts w:ascii="Times New Roman" w:hAnsi="Times New Roman" w:eastAsia="Times New Roman" w:cs="Times New Roman"/>
          <w:color w:val="000000"/>
          <w:sz w:val="28"/>
          <w:szCs w:val="28"/>
        </w:rPr>
        <w:t xml:space="preserve">.</w:t>
      </w:r>
      <w:r>
        <w:rPr>
          <w:sz w:val="28"/>
          <w:szCs w:val="28"/>
        </w:rPr>
      </w:r>
    </w:p>
    <w:p w14:paraId="7FEC24A9">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1. Особисті (невідчужувані) права:</w:t>
      </w:r>
      <w:r>
        <w:rPr>
          <w:sz w:val="28"/>
          <w:szCs w:val="28"/>
        </w:rPr>
      </w:r>
    </w:p>
    <w:p w14:paraId="65F1B5BE">
      <w:pPr>
        <w:pStyle w:val="668"/>
        <w:numPr>
          <w:ilvl w:val="0"/>
          <w:numId w:val="14"/>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Стаття 27 (Право на життя):</w:t>
      </w:r>
      <w:r>
        <w:rPr>
          <w:rFonts w:ascii="Times New Roman" w:hAnsi="Times New Roman" w:eastAsia="Times New Roman" w:cs="Times New Roman"/>
          <w:color w:val="000000"/>
          <w:sz w:val="28"/>
          <w:szCs w:val="28"/>
        </w:rPr>
        <w:t xml:space="preserve"> Це базове право. В Україні воно підкріплене скасуванням смертної кари. Держава зобов’язана не лише не вбивати, а й захищати життя людини від протиправних посягань третіх осіб.</w:t>
      </w:r>
      <w:r>
        <w:rPr>
          <w:sz w:val="28"/>
          <w:szCs w:val="28"/>
        </w:rPr>
      </w:r>
    </w:p>
    <w:p w14:paraId="5D19CEE3">
      <w:pPr>
        <w:pStyle w:val="668"/>
        <w:numPr>
          <w:ilvl w:val="0"/>
          <w:numId w:val="14"/>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Стаття 28 (Гідність):</w:t>
      </w:r>
      <w:r>
        <w:rPr>
          <w:rFonts w:ascii="Times New Roman" w:hAnsi="Times New Roman" w:eastAsia="Times New Roman" w:cs="Times New Roman"/>
          <w:color w:val="000000"/>
          <w:sz w:val="28"/>
          <w:szCs w:val="28"/>
        </w:rPr>
        <w:t xml:space="preserve"> «Кожен має право на повагу до його гідності». Важливим аспектом є заборона катувань та проведення медичних чи наукових дослідів над людиною без її добровільної згоди.</w:t>
      </w:r>
      <w:r>
        <w:rPr>
          <w:sz w:val="28"/>
          <w:szCs w:val="28"/>
        </w:rPr>
      </w:r>
    </w:p>
    <w:p w14:paraId="1C732A10">
      <w:pPr>
        <w:pStyle w:val="668"/>
        <w:numPr>
          <w:ilvl w:val="0"/>
          <w:numId w:val="14"/>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Стаття 29 (Свобода та недоторканність):</w:t>
      </w:r>
      <w:r>
        <w:rPr>
          <w:rFonts w:ascii="Times New Roman" w:hAnsi="Times New Roman" w:eastAsia="Times New Roman" w:cs="Times New Roman"/>
          <w:color w:val="000000"/>
          <w:sz w:val="28"/>
          <w:szCs w:val="28"/>
        </w:rPr>
        <w:t xml:space="preserve"> Закріплює правило, за яким ніхто не може бути заарештований інакше як за вмотивованим рішенням суду (принцип </w:t>
      </w:r>
      <w:r>
        <w:rPr>
          <w:rFonts w:ascii="Times New Roman" w:hAnsi="Times New Roman" w:eastAsia="Times New Roman" w:cs="Times New Roman"/>
          <w:i/>
          <w:color w:val="000000"/>
          <w:sz w:val="28"/>
          <w:szCs w:val="28"/>
        </w:rPr>
        <w:t xml:space="preserve">Habeas Corpus</w:t>
      </w:r>
      <w:r>
        <w:rPr>
          <w:rFonts w:ascii="Times New Roman" w:hAnsi="Times New Roman" w:eastAsia="Times New Roman" w:cs="Times New Roman"/>
          <w:color w:val="000000"/>
          <w:sz w:val="28"/>
          <w:szCs w:val="28"/>
        </w:rPr>
        <w:t xml:space="preserve">).</w:t>
      </w:r>
      <w:r>
        <w:rPr>
          <w:sz w:val="28"/>
          <w:szCs w:val="28"/>
        </w:rPr>
      </w:r>
    </w:p>
    <w:p w14:paraId="0448328A">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2. Юридичні гарантії захисту:</w:t>
      </w:r>
      <w:r>
        <w:rPr>
          <w:sz w:val="28"/>
          <w:szCs w:val="28"/>
        </w:rPr>
      </w:r>
    </w:p>
    <w:p w14:paraId="7454D4D8">
      <w:pPr>
        <w:pStyle w:val="668"/>
        <w:numPr>
          <w:ilvl w:val="0"/>
          <w:numId w:val="15"/>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Стаття 55:</w:t>
      </w:r>
      <w:r>
        <w:rPr>
          <w:rFonts w:ascii="Times New Roman" w:hAnsi="Times New Roman" w:eastAsia="Times New Roman" w:cs="Times New Roman"/>
          <w:color w:val="000000"/>
          <w:sz w:val="28"/>
          <w:szCs w:val="28"/>
        </w:rPr>
        <w:t xml:space="preserve"> Це «золота стаття» українського правосуддя. Вона гарантує кожному право на оскарження в суді будь-яких рішень органів влади. Також вона прямо дозволяє громадянам після вичерпання національних засобів захисту звертатися до міжнародних судових установ (ЄСПЛ</w:t>
      </w:r>
      <w:r>
        <w:rPr>
          <w:rFonts w:ascii="Times New Roman" w:hAnsi="Times New Roman" w:eastAsia="Times New Roman" w:cs="Times New Roman"/>
          <w:color w:val="000000"/>
          <w:sz w:val="28"/>
          <w:szCs w:val="28"/>
        </w:rPr>
        <w:t xml:space="preserve">) або органів ООН.</w:t>
      </w:r>
      <w:r>
        <w:rPr>
          <w:sz w:val="28"/>
          <w:szCs w:val="28"/>
        </w:rPr>
      </w:r>
    </w:p>
    <w:p w14:paraId="5B832288">
      <w:pPr>
        <w:pStyle w:val="668"/>
        <w:numPr>
          <w:ilvl w:val="0"/>
          <w:numId w:val="15"/>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Стаття 62 (Презумпція невинуватості):</w:t>
      </w:r>
      <w:r>
        <w:rPr>
          <w:rFonts w:ascii="Times New Roman" w:hAnsi="Times New Roman" w:eastAsia="Times New Roman" w:cs="Times New Roman"/>
          <w:color w:val="000000"/>
          <w:sz w:val="28"/>
          <w:szCs w:val="28"/>
        </w:rPr>
        <w:t xml:space="preserve"> Особа вважається невинуватою, доки її вину не буде доведено в законному порядку і встановлено обвинувальним вироком суду. Усі сумніви щодо доведеності вини особи тлумачаться на її користь.</w:t>
      </w:r>
      <w:r>
        <w:rPr>
          <w:sz w:val="28"/>
          <w:szCs w:val="28"/>
        </w:rPr>
      </w:r>
    </w:p>
    <w:p w14:paraId="33B9FC07">
      <w:pPr>
        <w:pStyle w:val="142"/>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3.2. Інститут Уповноваженого Верховної Ради України з прав людини (Омбудсмен)</w:t>
      </w:r>
      <w:r>
        <w:rPr>
          <w:sz w:val="28"/>
          <w:szCs w:val="28"/>
        </w:rPr>
      </w:r>
    </w:p>
    <w:p w14:paraId="330285B6">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Інститут Омбудсмена в Україні був запроваджений у 1997 році. Це позасудова форма захисту прав людини, яка базується на «Паризьких принципах» ООН.</w:t>
      </w:r>
      <w:r>
        <w:rPr>
          <w:sz w:val="28"/>
          <w:szCs w:val="28"/>
        </w:rPr>
      </w:r>
    </w:p>
    <w:p w14:paraId="77151AEF">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Ключові напрямки діяльності:</w:t>
      </w:r>
      <w:r>
        <w:rPr>
          <w:sz w:val="28"/>
          <w:szCs w:val="28"/>
        </w:rPr>
      </w:r>
    </w:p>
    <w:p w14:paraId="3C75C1F0">
      <w:pPr>
        <w:pStyle w:val="668"/>
        <w:numPr>
          <w:ilvl w:val="0"/>
          <w:numId w:val="16"/>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Парламентський контроль:</w:t>
      </w:r>
      <w:r>
        <w:rPr>
          <w:rFonts w:ascii="Times New Roman" w:hAnsi="Times New Roman" w:eastAsia="Times New Roman" w:cs="Times New Roman"/>
          <w:color w:val="000000"/>
          <w:sz w:val="28"/>
          <w:szCs w:val="28"/>
        </w:rPr>
        <w:t xml:space="preserve"> Уповноважений стежить за тим, як виконавчі органи влади (міністерства, поліція) дотримуються законів.</w:t>
      </w:r>
      <w:r>
        <w:rPr>
          <w:sz w:val="28"/>
          <w:szCs w:val="28"/>
        </w:rPr>
      </w:r>
    </w:p>
    <w:p w14:paraId="0E95EBC3">
      <w:pPr>
        <w:pStyle w:val="668"/>
        <w:numPr>
          <w:ilvl w:val="0"/>
          <w:numId w:val="16"/>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Національний превентивний механізм (НПМ):</w:t>
      </w:r>
      <w:r>
        <w:rPr>
          <w:rFonts w:ascii="Times New Roman" w:hAnsi="Times New Roman" w:eastAsia="Times New Roman" w:cs="Times New Roman"/>
          <w:color w:val="000000"/>
          <w:sz w:val="28"/>
          <w:szCs w:val="28"/>
        </w:rPr>
        <w:t xml:space="preserve"> Омбудсмен та його представники мають право без попередження відвідувати СІЗО, в’язниці, психіатричні лікарні та дитячі будинки для запобігання катуванням.</w:t>
      </w:r>
      <w:r>
        <w:rPr>
          <w:sz w:val="28"/>
          <w:szCs w:val="28"/>
        </w:rPr>
      </w:r>
    </w:p>
    <w:p w14:paraId="3DAEEEC0">
      <w:pPr>
        <w:pStyle w:val="668"/>
        <w:numPr>
          <w:ilvl w:val="0"/>
          <w:numId w:val="16"/>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Звернення громадян:</w:t>
      </w:r>
      <w:r>
        <w:rPr>
          <w:rFonts w:ascii="Times New Roman" w:hAnsi="Times New Roman" w:eastAsia="Times New Roman" w:cs="Times New Roman"/>
          <w:color w:val="000000"/>
          <w:sz w:val="28"/>
          <w:szCs w:val="28"/>
        </w:rPr>
        <w:t xml:space="preserve"> Щороку офіс Омбудсмена отримує десятки тисяч скарг. Хоча рішення Уповноваженого мають рекомендаційний характер, його «Акт реагування» часто стає підставою для відкриття кримінальних справ проти посадовців-порушників.</w:t>
      </w:r>
      <w:r>
        <w:rPr>
          <w:sz w:val="28"/>
          <w:szCs w:val="28"/>
        </w:rPr>
      </w:r>
    </w:p>
    <w:p w14:paraId="12431B42">
      <w:pPr>
        <w:pStyle w:val="142"/>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3.3. Права людини в цифрову епоху: виклики та нові стандарти в Україні</w:t>
      </w:r>
      <w:r>
        <w:rPr>
          <w:sz w:val="28"/>
          <w:szCs w:val="28"/>
        </w:rPr>
      </w:r>
    </w:p>
    <w:p w14:paraId="3F9C0020">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Враховуючи розвиток сервісу «Дія» та цифровізацію державних послуг, Україна стала одним із лідерів у впровадженні «цифрових прав». Однак це створює нові ризики:</w:t>
      </w:r>
      <w:r>
        <w:rPr>
          <w:sz w:val="28"/>
          <w:szCs w:val="28"/>
        </w:rPr>
      </w:r>
    </w:p>
    <w:p w14:paraId="6538C091">
      <w:pPr>
        <w:pStyle w:val="668"/>
        <w:numPr>
          <w:ilvl w:val="0"/>
          <w:numId w:val="17"/>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Захист персональних даних:</w:t>
      </w:r>
      <w:r>
        <w:rPr>
          <w:rFonts w:ascii="Times New Roman" w:hAnsi="Times New Roman" w:eastAsia="Times New Roman" w:cs="Times New Roman"/>
          <w:color w:val="000000"/>
          <w:sz w:val="28"/>
          <w:szCs w:val="28"/>
        </w:rPr>
        <w:t xml:space="preserve"> Питання про те, де зберігається інформація про громадянина і хто має до неї доступ.</w:t>
      </w:r>
      <w:r>
        <w:rPr>
          <w:sz w:val="28"/>
          <w:szCs w:val="28"/>
        </w:rPr>
      </w:r>
    </w:p>
    <w:p w14:paraId="0BE59046">
      <w:pPr>
        <w:pStyle w:val="668"/>
        <w:numPr>
          <w:ilvl w:val="0"/>
          <w:numId w:val="17"/>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Право на «цифрову участь»:</w:t>
      </w:r>
      <w:r>
        <w:rPr>
          <w:rFonts w:ascii="Times New Roman" w:hAnsi="Times New Roman" w:eastAsia="Times New Roman" w:cs="Times New Roman"/>
          <w:color w:val="000000"/>
          <w:sz w:val="28"/>
          <w:szCs w:val="28"/>
        </w:rPr>
        <w:t xml:space="preserve"> Держава має забезпечити доступ до технологій для всіх верств населення, щоб не створювати «цифрової нерівності».</w:t>
      </w:r>
      <w:r>
        <w:rPr>
          <w:sz w:val="28"/>
          <w:szCs w:val="28"/>
        </w:rPr>
      </w:r>
    </w:p>
    <w:p w14:paraId="2FF21FD3">
      <w:pPr>
        <w:pStyle w:val="668"/>
        <w:numPr>
          <w:ilvl w:val="0"/>
          <w:numId w:val="17"/>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Кібербезпека:</w:t>
      </w:r>
      <w:r>
        <w:rPr>
          <w:rFonts w:ascii="Times New Roman" w:hAnsi="Times New Roman" w:eastAsia="Times New Roman" w:cs="Times New Roman"/>
          <w:color w:val="000000"/>
          <w:sz w:val="28"/>
          <w:szCs w:val="28"/>
        </w:rPr>
        <w:t xml:space="preserve"> Захист приватності особи від втручання через хакерські атаки або незаконне стеження.</w:t>
      </w:r>
      <w:r>
        <w:rPr>
          <w:sz w:val="28"/>
          <w:szCs w:val="28"/>
        </w:rPr>
      </w:r>
    </w:p>
    <w:p w14:paraId="2DDE9313">
      <w:pPr>
        <w:pStyle w:val="142"/>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3.4. Специфіка реалізації прав людини в умовах воєнного стану</w:t>
      </w:r>
      <w:r>
        <w:rPr>
          <w:sz w:val="28"/>
          <w:szCs w:val="28"/>
        </w:rPr>
      </w:r>
    </w:p>
    <w:p w14:paraId="7AB6A6F1">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Це найбільш динамічний підрозділ. Правовий режим воєнного стану (згідно із Законом «Про правовий режим воєнного стану») дозволяє тимчасово обмежувати певні права:</w:t>
      </w:r>
      <w:r>
        <w:rPr>
          <w:sz w:val="28"/>
          <w:szCs w:val="28"/>
        </w:rPr>
      </w:r>
    </w:p>
    <w:p w14:paraId="4989FD3D">
      <w:pPr>
        <w:pStyle w:val="668"/>
        <w:numPr>
          <w:ilvl w:val="0"/>
          <w:numId w:val="18"/>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Право на таємницю листування та телефонних розмов (під час перевірок).</w:t>
      </w:r>
      <w:r>
        <w:rPr>
          <w:sz w:val="28"/>
          <w:szCs w:val="28"/>
        </w:rPr>
      </w:r>
    </w:p>
    <w:p w14:paraId="127D630B">
      <w:pPr>
        <w:pStyle w:val="668"/>
        <w:numPr>
          <w:ilvl w:val="0"/>
          <w:numId w:val="18"/>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Свободу пересування (комендантська година).</w:t>
      </w:r>
      <w:r>
        <w:rPr>
          <w:sz w:val="28"/>
          <w:szCs w:val="28"/>
        </w:rPr>
      </w:r>
    </w:p>
    <w:p w14:paraId="04B76591">
      <w:pPr>
        <w:pStyle w:val="668"/>
        <w:numPr>
          <w:ilvl w:val="0"/>
          <w:numId w:val="18"/>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Право на мирні зібрання та мітинги.</w:t>
      </w:r>
      <w:r>
        <w:rPr>
          <w:sz w:val="28"/>
          <w:szCs w:val="28"/>
        </w:rPr>
      </w:r>
    </w:p>
    <w:p w14:paraId="4CC8E3B4">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Однак аналіз практики показує, що Україна дотримується принципу пропорційності:</w:t>
      </w:r>
      <w:r>
        <w:rPr>
          <w:rFonts w:ascii="Times New Roman" w:hAnsi="Times New Roman" w:eastAsia="Times New Roman" w:cs="Times New Roman"/>
          <w:color w:val="000000"/>
          <w:sz w:val="28"/>
          <w:szCs w:val="28"/>
        </w:rPr>
        <w:t xml:space="preserve"> обмеження мають бути лише такими, що необхідні для захисту національної безпеки, і вони не можуть стосуватися базових прав, визначених ст. 64 Конституції.</w:t>
      </w:r>
      <w:r>
        <w:rPr>
          <w:sz w:val="28"/>
          <w:szCs w:val="28"/>
        </w:rPr>
      </w:r>
    </w:p>
    <w:p w14:paraId="547B171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4640ED4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br w:type="page" w:clear="all"/>
      </w:r>
      <w:r>
        <w:rPr>
          <w:rFonts w:ascii="Times New Roman" w:hAnsi="Times New Roman" w:eastAsia="Times New Roman" w:cs="Times New Roman"/>
          <w:color w:val="000000"/>
          <w:sz w:val="28"/>
          <w:szCs w:val="28"/>
        </w:rPr>
      </w:r>
      <w:r/>
    </w:p>
    <w:p w14:paraId="6C986D5F">
      <w:pPr>
        <w:pBdr>
          <w:top w:val="none" w:color="000000" w:sz="4" w:space="0"/>
          <w:left w:val="none" w:color="000000" w:sz="4" w:space="0"/>
          <w:bottom w:val="none" w:color="000000" w:sz="4" w:space="0"/>
          <w:right w:val="none" w:color="000000" w:sz="4" w:space="0"/>
        </w:pBdr>
        <w:spacing/>
        <w:ind w:right="0" w:firstLine="0" w:left="0"/>
        <w:rPr>
          <w:b/>
          <w:bCs/>
          <w:i/>
          <w:sz w:val="32"/>
          <w:szCs w:val="32"/>
        </w:rPr>
      </w:pPr>
      <w:r>
        <w:rPr>
          <w:rFonts w:ascii="Times New Roman" w:hAnsi="Times New Roman" w:eastAsia="Times New Roman" w:cs="Times New Roman"/>
          <w:b/>
          <w:bCs/>
          <w:i/>
          <w:iCs/>
          <w:color w:val="000000"/>
          <w:sz w:val="32"/>
          <w:szCs w:val="32"/>
        </w:rPr>
        <w:t xml:space="preserve">3.5. Цифровізація правосуддя та права людини: досвід України (2024–2026 рр.)</w:t>
      </w:r>
      <w:r>
        <w:rPr>
          <w:rFonts w:ascii="Times New Roman" w:hAnsi="Times New Roman" w:eastAsia="Times New Roman" w:cs="Times New Roman"/>
          <w:b/>
          <w:bCs/>
          <w:i/>
          <w:iCs/>
          <w:color w:val="000000"/>
          <w:sz w:val="32"/>
          <w:szCs w:val="32"/>
        </w:rPr>
      </w:r>
      <w:r>
        <w:rPr>
          <w:b/>
          <w:bCs/>
          <w:i/>
          <w:iCs/>
          <w:sz w:val="32"/>
          <w:szCs w:val="32"/>
        </w:rPr>
      </w:r>
    </w:p>
    <w:p w14:paraId="75FC7AD7">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Текст для вставки:</w:t>
      </w:r>
      <w:r>
        <w:rPr>
          <w:rFonts w:ascii="Times New Roman" w:hAnsi="Times New Roman" w:eastAsia="Times New Roman" w:cs="Times New Roman"/>
          <w:color w:val="000000"/>
          <w:sz w:val="28"/>
          <w:szCs w:val="28"/>
        </w:rPr>
        <w:t xml:space="preserve"> Стрімкий розвиток інформаційних технологій в Україні призвів до появи концепції «цифрових прав» людини. На сьогодні Україна є одним із лідерів у впровадженні електронного урядування (екосистема «Дія»), що безпосередньо впливає на реалізацію конституційних</w:t>
      </w:r>
      <w:r>
        <w:rPr>
          <w:rFonts w:ascii="Times New Roman" w:hAnsi="Times New Roman" w:eastAsia="Times New Roman" w:cs="Times New Roman"/>
          <w:color w:val="000000"/>
          <w:sz w:val="28"/>
          <w:szCs w:val="28"/>
        </w:rPr>
        <w:t xml:space="preserve"> прав.</w:t>
      </w:r>
      <w:r>
        <w:rPr>
          <w:sz w:val="28"/>
          <w:szCs w:val="28"/>
        </w:rPr>
      </w:r>
    </w:p>
    <w:p w14:paraId="735407D4">
      <w:pPr>
        <w:pStyle w:val="668"/>
        <w:numPr>
          <w:ilvl w:val="0"/>
          <w:numId w:val="22"/>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Право на доступ до державних послуг:</w:t>
      </w:r>
      <w:r>
        <w:rPr>
          <w:rFonts w:ascii="Times New Roman" w:hAnsi="Times New Roman" w:eastAsia="Times New Roman" w:cs="Times New Roman"/>
          <w:color w:val="000000"/>
          <w:sz w:val="28"/>
          <w:szCs w:val="28"/>
        </w:rPr>
        <w:t xml:space="preserve"> Цифровізація спрощує доступ до адміністративних послуг, мінімізуючи корупційні ризики та бюрократію. Це реалізація права особи на ефективне управління.</w:t>
      </w:r>
      <w:r>
        <w:rPr>
          <w:sz w:val="28"/>
          <w:szCs w:val="28"/>
        </w:rPr>
      </w:r>
    </w:p>
    <w:p w14:paraId="1105C392">
      <w:pPr>
        <w:pStyle w:val="668"/>
        <w:numPr>
          <w:ilvl w:val="0"/>
          <w:numId w:val="22"/>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Електронний суд:</w:t>
      </w:r>
      <w:r>
        <w:rPr>
          <w:rFonts w:ascii="Times New Roman" w:hAnsi="Times New Roman" w:eastAsia="Times New Roman" w:cs="Times New Roman"/>
          <w:color w:val="000000"/>
          <w:sz w:val="28"/>
          <w:szCs w:val="28"/>
        </w:rPr>
        <w:t xml:space="preserve"> Запровадження системи «Електронний суд» дозволяє громадянам подавати позови та брати участь у засіданнях дистанційно. Це значно посилює право на судовий захист (ст. 55 Конституції), особливо для осіб, які перебувають за кордоном або в зоні бойових дій.</w:t>
      </w:r>
      <w:r>
        <w:rPr>
          <w:sz w:val="28"/>
          <w:szCs w:val="28"/>
        </w:rPr>
      </w:r>
    </w:p>
    <w:p w14:paraId="5A4EB8C0">
      <w:pPr>
        <w:pStyle w:val="668"/>
        <w:numPr>
          <w:ilvl w:val="0"/>
          <w:numId w:val="22"/>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b/>
          <w:color w:val="000000"/>
          <w:sz w:val="28"/>
          <w:szCs w:val="28"/>
        </w:rPr>
        <w:t xml:space="preserve">Ризики кібербезпеки:</w:t>
      </w:r>
      <w:r>
        <w:rPr>
          <w:rFonts w:ascii="Times New Roman" w:hAnsi="Times New Roman" w:eastAsia="Times New Roman" w:cs="Times New Roman"/>
          <w:color w:val="000000"/>
          <w:sz w:val="28"/>
          <w:szCs w:val="28"/>
        </w:rPr>
        <w:t xml:space="preserve"> Поряд із перевагами виникають загрози порушення права на приватність (ст. 32 Конституції). Витоки персональних даних або несанкціонований доступ до державних реєстрів можуть завдати непоправної шкоди людині. Тому захист інформації у 2026 році стає невід’є</w:t>
      </w:r>
      <w:r>
        <w:rPr>
          <w:rFonts w:ascii="Times New Roman" w:hAnsi="Times New Roman" w:eastAsia="Times New Roman" w:cs="Times New Roman"/>
          <w:color w:val="000000"/>
          <w:sz w:val="28"/>
          <w:szCs w:val="28"/>
        </w:rPr>
        <w:t xml:space="preserve">мною складовою національного механізму захисту прав.</w:t>
      </w:r>
      <w:r>
        <w:rPr>
          <w:sz w:val="28"/>
          <w:szCs w:val="28"/>
        </w:rPr>
      </w:r>
      <w:r>
        <w:rPr>
          <w:rFonts w:ascii="Times New Roman" w:hAnsi="Times New Roman" w:eastAsia="Times New Roman" w:cs="Times New Roman"/>
          <w:sz w:val="28"/>
          <w:szCs w:val="28"/>
        </w:rPr>
      </w:r>
    </w:p>
    <w:p w14:paraId="7C296D8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14:paraId="544241A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br w:type="page" w:clear="all"/>
      </w:r>
      <w:r>
        <w:rPr>
          <w:rFonts w:ascii="Times New Roman" w:hAnsi="Times New Roman" w:eastAsia="Times New Roman" w:cs="Times New Roman"/>
          <w:color w:val="000000"/>
          <w:sz w:val="28"/>
          <w:szCs w:val="28"/>
        </w:rPr>
      </w:r>
      <w:r/>
    </w:p>
    <w:p w14:paraId="3D551580">
      <w:pPr>
        <w:pStyle w:val="139"/>
        <w:pBdr>
          <w:top w:val="none" w:color="000000" w:sz="4" w:space="0"/>
          <w:left w:val="none" w:color="000000" w:sz="4" w:space="0"/>
          <w:bottom w:val="none" w:color="000000" w:sz="4" w:space="0"/>
          <w:right w:val="none" w:color="000000" w:sz="4" w:space="0"/>
        </w:pBdr>
        <w:spacing/>
        <w:ind w:right="0" w:firstLine="0" w:left="0"/>
        <w:jc w:val="center"/>
        <w:rPr>
          <w:sz w:val="36"/>
          <w:szCs w:val="36"/>
        </w:rPr>
      </w:pPr>
      <w:r>
        <w:rPr>
          <w:rFonts w:ascii="Times New Roman" w:hAnsi="Times New Roman" w:eastAsia="Times New Roman" w:cs="Times New Roman"/>
          <w:b/>
          <w:color w:val="000000"/>
          <w:sz w:val="36"/>
          <w:szCs w:val="36"/>
        </w:rPr>
        <w:t xml:space="preserve">ВИСНОВКИ</w:t>
      </w:r>
      <w:r>
        <w:rPr>
          <w:sz w:val="36"/>
          <w:szCs w:val="36"/>
        </w:rPr>
      </w:r>
    </w:p>
    <w:p w14:paraId="0D999F09">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У ході здійснення комплексного теоретико-правового дослідження міжнародних стандартів прав людини та національних механізмів їхнього забезпечення в Україні, автором було досягнуто поставленої мети та вирішено визначені завдання, що дозволяє сформулювати на</w:t>
      </w:r>
      <w:r>
        <w:rPr>
          <w:rFonts w:ascii="Times New Roman" w:hAnsi="Times New Roman" w:eastAsia="Times New Roman" w:cs="Times New Roman"/>
          <w:color w:val="000000"/>
          <w:sz w:val="28"/>
          <w:szCs w:val="28"/>
        </w:rPr>
        <w:t xml:space="preserve">ступні узагальнюючі висновки:</w:t>
      </w:r>
      <w:r>
        <w:rPr>
          <w:sz w:val="28"/>
          <w:szCs w:val="28"/>
        </w:rPr>
      </w:r>
    </w:p>
    <w:p w14:paraId="256F0C2B">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1.</w:t>
      </w:r>
      <w:r>
        <w:rPr>
          <w:rFonts w:ascii="Times New Roman" w:hAnsi="Times New Roman" w:eastAsia="Times New Roman" w:cs="Times New Roman"/>
          <w:color w:val="000000"/>
          <w:sz w:val="28"/>
          <w:szCs w:val="28"/>
        </w:rPr>
        <w:t xml:space="preserve"> Теоретичний аналіз генезису ідеї прав людини підтвердив, що дана категорія пройшла складний шлях трансформації: від античних філософських уявлень про «природну справедливість» та середньовічних спроб обмеження абсолютизму (зокрема, через Велику хартію вол</w:t>
      </w:r>
      <w:r>
        <w:rPr>
          <w:rFonts w:ascii="Times New Roman" w:hAnsi="Times New Roman" w:eastAsia="Times New Roman" w:cs="Times New Roman"/>
          <w:color w:val="000000"/>
          <w:sz w:val="28"/>
          <w:szCs w:val="28"/>
        </w:rPr>
        <w:t xml:space="preserve">ьностей 1215 року) до сучасних універсальних стандартів. Встановлено, що ключовим етапом формування класичної концепції прав людини стала епоха Просвітництва, яка детермінувала перехід від статусу «підданого» до статусу «вільного громадянина», що було норм</w:t>
      </w:r>
      <w:r>
        <w:rPr>
          <w:rFonts w:ascii="Times New Roman" w:hAnsi="Times New Roman" w:eastAsia="Times New Roman" w:cs="Times New Roman"/>
          <w:color w:val="000000"/>
          <w:sz w:val="28"/>
          <w:szCs w:val="28"/>
        </w:rPr>
        <w:t xml:space="preserve">ативно закріплено у фундаментальних актах США та Франції XVIII століття.</w:t>
      </w:r>
      <w:r>
        <w:rPr>
          <w:sz w:val="28"/>
          <w:szCs w:val="28"/>
        </w:rPr>
      </w:r>
    </w:p>
    <w:p w14:paraId="0604355D">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2.</w:t>
      </w:r>
      <w:r>
        <w:rPr>
          <w:rFonts w:ascii="Times New Roman" w:hAnsi="Times New Roman" w:eastAsia="Times New Roman" w:cs="Times New Roman"/>
          <w:color w:val="000000"/>
          <w:sz w:val="28"/>
          <w:szCs w:val="28"/>
        </w:rPr>
        <w:t xml:space="preserve"> Досліджено, що сучасна система прав людини базується на теорії «поколінь», яка відображає динаміку розширення правового статусу особистості. Перше покоління (громадянські та політичні права) забезпечує автономію особи від державного свавілля; друге (соціа</w:t>
      </w:r>
      <w:r>
        <w:rPr>
          <w:rFonts w:ascii="Times New Roman" w:hAnsi="Times New Roman" w:eastAsia="Times New Roman" w:cs="Times New Roman"/>
          <w:color w:val="000000"/>
          <w:sz w:val="28"/>
          <w:szCs w:val="28"/>
        </w:rPr>
        <w:t xml:space="preserve">льно-економічні) вимагає від держави активних позитивних дій; третє (права солідарності) акцентує увагу на колективних інтересах людства, таких як право на мир та безпечне довкілля. Окремо відзначено формування четвертого покоління прав, зумовленого виклик</w:t>
      </w:r>
      <w:r>
        <w:rPr>
          <w:rFonts w:ascii="Times New Roman" w:hAnsi="Times New Roman" w:eastAsia="Times New Roman" w:cs="Times New Roman"/>
          <w:color w:val="000000"/>
          <w:sz w:val="28"/>
          <w:szCs w:val="28"/>
        </w:rPr>
        <w:t xml:space="preserve">ами біоетики та цифрової трансформації суспільства.</w:t>
      </w:r>
      <w:r>
        <w:rPr>
          <w:sz w:val="28"/>
          <w:szCs w:val="28"/>
        </w:rPr>
      </w:r>
    </w:p>
    <w:p w14:paraId="30427A26">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3.</w:t>
      </w:r>
      <w:r>
        <w:rPr>
          <w:rFonts w:ascii="Times New Roman" w:hAnsi="Times New Roman" w:eastAsia="Times New Roman" w:cs="Times New Roman"/>
          <w:color w:val="000000"/>
          <w:sz w:val="28"/>
          <w:szCs w:val="28"/>
        </w:rPr>
        <w:t xml:space="preserve"> Визначено, що міжнародна система захисту прав людини, очолювана Організацією Об’єднаних Націй, створює універсальний координаційний каркас, що базується на Міжнародному біллі про права людини. Особлива роль у забезпеченні ефективності цих стандартів належ</w:t>
      </w:r>
      <w:r>
        <w:rPr>
          <w:rFonts w:ascii="Times New Roman" w:hAnsi="Times New Roman" w:eastAsia="Times New Roman" w:cs="Times New Roman"/>
          <w:color w:val="000000"/>
          <w:sz w:val="28"/>
          <w:szCs w:val="28"/>
        </w:rPr>
        <w:t xml:space="preserve">ить договірним органам (комітетам) та Раді ООН з прав людини, чия моніторингова діяльність, особливо в умовах збройних конфліктів, є критично важливою для фіксації порушень міжнародного гуманітарного права.</w:t>
      </w:r>
      <w:r>
        <w:rPr>
          <w:sz w:val="28"/>
          <w:szCs w:val="28"/>
        </w:rPr>
      </w:r>
    </w:p>
    <w:p w14:paraId="5B3A26DA">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4.</w:t>
      </w:r>
      <w:r>
        <w:rPr>
          <w:rFonts w:ascii="Times New Roman" w:hAnsi="Times New Roman" w:eastAsia="Times New Roman" w:cs="Times New Roman"/>
          <w:color w:val="000000"/>
          <w:sz w:val="28"/>
          <w:szCs w:val="28"/>
        </w:rPr>
        <w:t xml:space="preserve"> Констатовано, що Європейська система захисту прав людини, яка функціонує під егідою Ради Європи, на сьогодні є найбільш дієвою регіональною моделлю у світі. Ключовим елементом цієї системи є Європейський суд з прав людини (ЄСПЛ), чия прецедентна практика </w:t>
      </w:r>
      <w:r>
        <w:rPr>
          <w:rFonts w:ascii="Times New Roman" w:hAnsi="Times New Roman" w:eastAsia="Times New Roman" w:cs="Times New Roman"/>
          <w:color w:val="000000"/>
          <w:sz w:val="28"/>
          <w:szCs w:val="28"/>
        </w:rPr>
        <w:t xml:space="preserve">відповідно до чинного законодавства України є безпосереднім джерелом права. Аналіз практики ЄСПЛ у справах проти України свідчить про наявність системних проблем у національній правовій системі (тривалість судового розгляду, невиконання рішень національних</w:t>
      </w:r>
      <w:r>
        <w:rPr>
          <w:rFonts w:ascii="Times New Roman" w:hAnsi="Times New Roman" w:eastAsia="Times New Roman" w:cs="Times New Roman"/>
          <w:color w:val="000000"/>
          <w:sz w:val="28"/>
          <w:szCs w:val="28"/>
        </w:rPr>
        <w:t xml:space="preserve"> судів), що потребує подальшого реформування вітчизняного законодавства.</w:t>
      </w:r>
      <w:r>
        <w:rPr>
          <w:sz w:val="28"/>
          <w:szCs w:val="28"/>
        </w:rPr>
      </w:r>
    </w:p>
    <w:p w14:paraId="56AB987B">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5.</w:t>
      </w:r>
      <w:r>
        <w:rPr>
          <w:rFonts w:ascii="Times New Roman" w:hAnsi="Times New Roman" w:eastAsia="Times New Roman" w:cs="Times New Roman"/>
          <w:color w:val="000000"/>
          <w:sz w:val="28"/>
          <w:szCs w:val="28"/>
        </w:rPr>
        <w:t xml:space="preserve"> Національний механізм захисту прав людини в Україні є багаторівневою структурою, фундаментом якої є Конституція України. Встановлено, що судовий захист залишається основною гарантією відновлення порушених прав, при цьому особливе значення має інститут кон</w:t>
      </w:r>
      <w:r>
        <w:rPr>
          <w:rFonts w:ascii="Times New Roman" w:hAnsi="Times New Roman" w:eastAsia="Times New Roman" w:cs="Times New Roman"/>
          <w:color w:val="000000"/>
          <w:sz w:val="28"/>
          <w:szCs w:val="28"/>
        </w:rPr>
        <w:t xml:space="preserve">ституційної скарги, що дозволяє громадянам безпосередньо впливати на конституційність законодавчих актів. Важливою позасудовою ланкою захисту є інститут Уповноваженого Верховної Ради України з прав людини, який здійснює парламентський контроль та превентив</w:t>
      </w:r>
      <w:r>
        <w:rPr>
          <w:rFonts w:ascii="Times New Roman" w:hAnsi="Times New Roman" w:eastAsia="Times New Roman" w:cs="Times New Roman"/>
          <w:color w:val="000000"/>
          <w:sz w:val="28"/>
          <w:szCs w:val="28"/>
        </w:rPr>
        <w:t xml:space="preserve">ний моніторинг місць несвободи.</w:t>
      </w:r>
      <w:r>
        <w:rPr>
          <w:sz w:val="28"/>
          <w:szCs w:val="28"/>
        </w:rPr>
      </w:r>
    </w:p>
    <w:p w14:paraId="64D79FD2">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6.</w:t>
      </w:r>
      <w:r>
        <w:rPr>
          <w:rFonts w:ascii="Times New Roman" w:hAnsi="Times New Roman" w:eastAsia="Times New Roman" w:cs="Times New Roman"/>
          <w:color w:val="000000"/>
          <w:sz w:val="28"/>
          <w:szCs w:val="28"/>
        </w:rPr>
        <w:t xml:space="preserve"> Аналіз реалізації прав людини в умовах правового режиму воєнного стану дозволив виявити специфіку балансу між інтересами національної безпеки та індивідуальною свободою. Доведено, що попри можливість законного обмеження певних прав, існують «абсолютні пра</w:t>
      </w:r>
      <w:r>
        <w:rPr>
          <w:rFonts w:ascii="Times New Roman" w:hAnsi="Times New Roman" w:eastAsia="Times New Roman" w:cs="Times New Roman"/>
          <w:color w:val="000000"/>
          <w:sz w:val="28"/>
          <w:szCs w:val="28"/>
        </w:rPr>
        <w:t xml:space="preserve">ва» (на життя, гідність, судовий захист), які не можуть бути звужені за жодних обставин, що відповідає вимогам ст. 15 Конвенції про захист прав людини і основоположних свобод.</w:t>
      </w:r>
      <w:r>
        <w:rPr>
          <w:sz w:val="28"/>
          <w:szCs w:val="28"/>
        </w:rPr>
      </w:r>
    </w:p>
    <w:p w14:paraId="1FC4985B">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7.</w:t>
      </w:r>
      <w:r>
        <w:rPr>
          <w:rFonts w:ascii="Times New Roman" w:hAnsi="Times New Roman" w:eastAsia="Times New Roman" w:cs="Times New Roman"/>
          <w:color w:val="000000"/>
          <w:sz w:val="28"/>
          <w:szCs w:val="28"/>
        </w:rPr>
        <w:t xml:space="preserve"> Підсумовано, що цифровізація суспільних відносин та активне впровадження екосистеми «Дія» створюють як нові можливості для реалізації прав (швидкий доступ до послуг, електронне правосуддя), так і нові загрози (ризики витоку персональних даних, цифрова нер</w:t>
      </w:r>
      <w:r>
        <w:rPr>
          <w:rFonts w:ascii="Times New Roman" w:hAnsi="Times New Roman" w:eastAsia="Times New Roman" w:cs="Times New Roman"/>
          <w:color w:val="000000"/>
          <w:sz w:val="28"/>
          <w:szCs w:val="28"/>
        </w:rPr>
        <w:t xml:space="preserve">івність). У 2026 році пріоритетним напрямком розвитку національного механізму захисту має стати розробка та впровадження ефективних законодавчих інструментів забезпечення кібербезпеки та захисту приватності особи в цифровому просторі.</w:t>
      </w:r>
      <w:r>
        <w:rPr>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br w:type="page" w:clear="all"/>
      </w:r>
      <w:r>
        <w:rPr>
          <w:rFonts w:ascii="Times New Roman" w:hAnsi="Times New Roman" w:eastAsia="Times New Roman" w:cs="Times New Roman"/>
          <w:color w:val="000000"/>
          <w:sz w:val="28"/>
          <w:szCs w:val="28"/>
        </w:rPr>
      </w:r>
      <w:r/>
      <w:r>
        <w:rPr>
          <w:rFonts w:ascii="Times New Roman" w:hAnsi="Times New Roman" w:eastAsia="Times New Roman" w:cs="Times New Roman"/>
          <w:color w:val="000000"/>
          <w:sz w:val="28"/>
          <w:szCs w:val="28"/>
        </w:rPr>
      </w:r>
      <w:r>
        <w:rPr>
          <w:rFonts w:ascii="Times New Roman" w:hAnsi="Times New Roman" w:eastAsia="Times New Roman" w:cs="Times New Roman"/>
          <w:sz w:val="28"/>
          <w:szCs w:val="28"/>
        </w:rPr>
      </w:r>
    </w:p>
    <w:p w14:paraId="153AB1B2">
      <w:pPr>
        <w:pStyle w:val="141"/>
        <w:pBdr>
          <w:top w:val="none" w:color="000000" w:sz="4" w:space="0"/>
          <w:left w:val="none" w:color="000000" w:sz="4" w:space="0"/>
          <w:bottom w:val="none" w:color="000000" w:sz="4" w:space="0"/>
          <w:right w:val="none" w:color="000000" w:sz="4" w:space="0"/>
        </w:pBdr>
        <w:spacing/>
        <w:ind w:right="0" w:firstLine="0" w:left="0"/>
        <w:jc w:val="center"/>
        <w:rPr>
          <w:sz w:val="32"/>
          <w:szCs w:val="32"/>
        </w:rPr>
      </w:pPr>
      <w:r>
        <w:rPr>
          <w:rFonts w:ascii="Times New Roman" w:hAnsi="Times New Roman" w:eastAsia="Times New Roman" w:cs="Times New Roman"/>
          <w:b/>
          <w:color w:val="000000"/>
          <w:sz w:val="32"/>
          <w:szCs w:val="32"/>
        </w:rPr>
        <w:t xml:space="preserve">СПИСОК ВИКОРИСТАНИХ ДЖЕРЕЛ</w:t>
      </w:r>
      <w:r>
        <w:rPr>
          <w:sz w:val="32"/>
          <w:szCs w:val="32"/>
        </w:rPr>
      </w:r>
    </w:p>
    <w:p w14:paraId="7BEE5093">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І. Нормативно-правові акти та міжнародні документи</w:t>
      </w:r>
      <w:r>
        <w:rPr>
          <w:sz w:val="28"/>
          <w:szCs w:val="28"/>
        </w:rPr>
      </w:r>
    </w:p>
    <w:p w14:paraId="5F2D7363">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Конституція України: Закон від 28.06.1996 № 254к/96-ВР // Відомості Верховної Ради України. – 1996. – № 30. – Ст. 141.</w:t>
      </w:r>
      <w:r>
        <w:rPr>
          <w:sz w:val="28"/>
          <w:szCs w:val="28"/>
        </w:rPr>
      </w:r>
    </w:p>
    <w:p w14:paraId="2F896A2F">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Загальна декларація прав людини: Прийнята Генеральною Асамблеєю ООН 10.12.1948.</w:t>
      </w:r>
      <w:r>
        <w:rPr>
          <w:sz w:val="28"/>
          <w:szCs w:val="28"/>
        </w:rPr>
      </w:r>
    </w:p>
    <w:p w14:paraId="7C2E4F69">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Конвенція про захист прав людини і основоположних свобод від 04.11.1950 (зі змінами та доповненнями, внесеними Протоколами № 11, 14, 15, 16).</w:t>
      </w:r>
      <w:r>
        <w:rPr>
          <w:sz w:val="28"/>
          <w:szCs w:val="28"/>
        </w:rPr>
      </w:r>
    </w:p>
    <w:p w14:paraId="04376BAF">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Міжнародний пакт про громадянські і політичні права: Прийнятий ГА ООН 16.12.1966. Ратифікований Указом Президії Верховної Ради УРСР від 19.10.1973.</w:t>
      </w:r>
      <w:r>
        <w:rPr>
          <w:sz w:val="28"/>
          <w:szCs w:val="28"/>
        </w:rPr>
      </w:r>
    </w:p>
    <w:p w14:paraId="1F478FCE">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Міжнародний пакт про економічні, соціальні і культурні права від 16.12.1966.</w:t>
      </w:r>
      <w:r>
        <w:rPr>
          <w:sz w:val="28"/>
          <w:szCs w:val="28"/>
        </w:rPr>
      </w:r>
    </w:p>
    <w:p w14:paraId="4F9B57A9">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Хартія основних прав Європейського Союзу від 07.12.2000 (2012/C 326/02).</w:t>
      </w:r>
      <w:r>
        <w:rPr>
          <w:sz w:val="28"/>
          <w:szCs w:val="28"/>
        </w:rPr>
      </w:r>
    </w:p>
    <w:p w14:paraId="50893D00">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Про виконання рішень та застосування практики Європейського суду з прав людини: Закон України від 23.02.2006 № 3477-IV.</w:t>
      </w:r>
      <w:r>
        <w:rPr>
          <w:sz w:val="28"/>
          <w:szCs w:val="28"/>
        </w:rPr>
      </w:r>
    </w:p>
    <w:p w14:paraId="7E72F4C2">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Про Уповноваженого Верховної Ради України з прав людини: Закон України від 23.12.1997 № 776/97-ВР.</w:t>
      </w:r>
      <w:r>
        <w:rPr>
          <w:sz w:val="28"/>
          <w:szCs w:val="28"/>
        </w:rPr>
      </w:r>
    </w:p>
    <w:p w14:paraId="4398B4DA">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Про правовий режим воєнного стану: Закон України від 12.05.2015 № 389-VIII (зі змінами від 2024-2025 рр.).</w:t>
      </w:r>
      <w:r>
        <w:rPr>
          <w:sz w:val="28"/>
          <w:szCs w:val="28"/>
        </w:rPr>
      </w:r>
    </w:p>
    <w:p w14:paraId="755EC491">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Про захист персональних даних: Закон України від 01.06.2010 № 2297-VI.</w:t>
      </w:r>
      <w:r>
        <w:rPr>
          <w:sz w:val="28"/>
          <w:szCs w:val="28"/>
        </w:rPr>
      </w:r>
    </w:p>
    <w:p w14:paraId="57B106C2">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Кримінальний процесуальний кодекс України від 13.04.2012 № 4651-VI.</w:t>
      </w:r>
      <w:r>
        <w:rPr>
          <w:sz w:val="28"/>
          <w:szCs w:val="28"/>
        </w:rPr>
      </w:r>
    </w:p>
    <w:p w14:paraId="2F94881A">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Цивільний кодекс України від 16.01.2003 № 435-IV.</w:t>
      </w:r>
      <w:r>
        <w:rPr>
          <w:sz w:val="28"/>
          <w:szCs w:val="28"/>
        </w:rPr>
      </w:r>
    </w:p>
    <w:p w14:paraId="57A4ED5F">
      <w:pPr>
        <w:pStyle w:val="668"/>
        <w:numPr>
          <w:ilvl w:val="0"/>
          <w:numId w:val="21"/>
        </w:numPr>
        <w:pBdr>
          <w:top w:val="none" w:color="000000" w:sz="4" w:space="0"/>
          <w:left w:val="none" w:color="000000" w:sz="4" w:space="0"/>
          <w:bottom w:val="none" w:color="000000" w:sz="4" w:space="0"/>
          <w:right w:val="none" w:color="000000" w:sz="4" w:space="0"/>
        </w:pBdr>
        <w:spacing/>
        <w:ind w:right="0"/>
        <w:jc w:val="both"/>
        <w:rPr>
          <w:sz w:val="28"/>
          <w:szCs w:val="28"/>
        </w:rPr>
      </w:pPr>
      <w:r>
        <w:rPr>
          <w:rFonts w:ascii="Times New Roman" w:hAnsi="Times New Roman" w:eastAsia="Times New Roman" w:cs="Times New Roman"/>
          <w:color w:val="000000"/>
          <w:sz w:val="28"/>
          <w:szCs w:val="28"/>
        </w:rPr>
        <w:t xml:space="preserve">Про судоустрій і статус суддів: Закон України від 02.06.2016 № 1402-VIII.</w:t>
      </w:r>
      <w:r>
        <w:rPr>
          <w:sz w:val="28"/>
          <w:szCs w:val="28"/>
        </w:rPr>
      </w:r>
    </w:p>
    <w:p w14:paraId="41531272">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ІІ. Судова практика та акти офіційного тлумачення</w:t>
      </w:r>
      <w:r>
        <w:rPr>
          <w:rFonts w:ascii="Times New Roman" w:hAnsi="Times New Roman" w:eastAsia="Times New Roman" w:cs="Times New Roman"/>
          <w:color w:val="000000"/>
          <w:sz w:val="28"/>
          <w:szCs w:val="28"/>
        </w:rPr>
        <w:t xml:space="preserve"> 14. Справа «Яременко проти України» (Заява № 32092/02): Рішення ЄСПЛ від 12.06.2008. 15. Справа «Олександр Волков проти України» (Заява № 21722/11): Рішення ЄСПЛ від 09.01.2013. 16. Справа «Світлана Науменко проти України» (Заява № 41984/98): Рішення ЄСПЛ</w:t>
      </w:r>
      <w:r>
        <w:rPr>
          <w:rFonts w:ascii="Times New Roman" w:hAnsi="Times New Roman" w:eastAsia="Times New Roman" w:cs="Times New Roman"/>
          <w:color w:val="000000"/>
          <w:sz w:val="28"/>
          <w:szCs w:val="28"/>
        </w:rPr>
        <w:t xml:space="preserve"> від 09.11.2004. 17. Справа «Бурмич та інші проти України» (Заява № 46352/09): Рішення ЄСПЛ від 12.10.2017. 18. Рішення Конституційного Суду України від 22.05.2018 № 5-р/2018 (справа про соціальний захист ветеранів). 19. Рішення Конституційного Суду Україн</w:t>
      </w:r>
      <w:r>
        <w:rPr>
          <w:rFonts w:ascii="Times New Roman" w:hAnsi="Times New Roman" w:eastAsia="Times New Roman" w:cs="Times New Roman"/>
          <w:color w:val="000000"/>
          <w:sz w:val="28"/>
          <w:szCs w:val="28"/>
        </w:rPr>
        <w:t xml:space="preserve">и від 01.06.2016 № 2-р/2016 (справа про судовий контроль за госпіталізацією недієздатних осіб). 20. Постанова Пленуму Верховного Суду України «Про застосування Конституції України при здійсненні правосуддя» від 01.11.1996 № 9.</w:t>
      </w:r>
      <w:r>
        <w:rPr>
          <w:sz w:val="28"/>
          <w:szCs w:val="28"/>
        </w:rPr>
      </w:r>
    </w:p>
    <w:p w14:paraId="09CDDB3E">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ІІІ. Спеціальна наукова література та періодичні видання</w:t>
      </w:r>
      <w:r>
        <w:rPr>
          <w:rFonts w:ascii="Times New Roman" w:hAnsi="Times New Roman" w:eastAsia="Times New Roman" w:cs="Times New Roman"/>
          <w:color w:val="000000"/>
          <w:sz w:val="28"/>
          <w:szCs w:val="28"/>
        </w:rPr>
        <w:t xml:space="preserve"> 21. Рабінович П. М. Основи загальної теорії права та держави. Навчальний посібник. – Львів: Світ, 2021. – 256 с. 22. Скакун О. Ф. Теорія права і держави: підручник. – К.: Алерта, 2023. – 524 с. 23. Козюбра М. І. Загальна теорія права: підручник для студен</w:t>
      </w:r>
      <w:r>
        <w:rPr>
          <w:rFonts w:ascii="Times New Roman" w:hAnsi="Times New Roman" w:eastAsia="Times New Roman" w:cs="Times New Roman"/>
          <w:color w:val="000000"/>
          <w:sz w:val="28"/>
          <w:szCs w:val="28"/>
        </w:rPr>
        <w:t xml:space="preserve">тів юридичних спеціальностей. – К.: Ваіте, 2024. – 410 с. 24. Буткевич В. Г. Права людини. Нове покоління: підручник. – К.: Либідь, 2022. – 380 с. 25. Малишев Б. В. Судовий прецедент у практиці ЄСПЛ. Монографія. – К., 2023. – 215 с. 26. Головатого С. П. Ве</w:t>
      </w:r>
      <w:r>
        <w:rPr>
          <w:rFonts w:ascii="Times New Roman" w:hAnsi="Times New Roman" w:eastAsia="Times New Roman" w:cs="Times New Roman"/>
          <w:color w:val="000000"/>
          <w:sz w:val="28"/>
          <w:szCs w:val="28"/>
        </w:rPr>
        <w:t xml:space="preserve">рховенство права: Монографія. – К.: Фенікс, 2021. 27. Луцький І. М. Права людини: історико-філософський аспект. – Івано-Франківськ, 2022. – 190 с. 28. Мелешевич А. А. Захист прав людини в Україні: сучасний стан та перспективи. – Юридичний журнал. – 2024. –</w:t>
      </w:r>
      <w:r>
        <w:rPr>
          <w:rFonts w:ascii="Times New Roman" w:hAnsi="Times New Roman" w:eastAsia="Times New Roman" w:cs="Times New Roman"/>
          <w:color w:val="000000"/>
          <w:sz w:val="28"/>
          <w:szCs w:val="28"/>
        </w:rPr>
        <w:t xml:space="preserve"> № 3. – С. 12-18. 29. Савчук В. В. Міжнародні стандарти прав людини в цифрову епоху. // Право України. – 2025. – № 1. – С. 45-56. 30. Погребняк С. П. Принцип пропорційності у практиці ЄСПЛ та КСУ. // Вісник Академії правових наук України. – 2023. – № 4. 31</w:t>
      </w:r>
      <w:r>
        <w:rPr>
          <w:rFonts w:ascii="Times New Roman" w:hAnsi="Times New Roman" w:eastAsia="Times New Roman" w:cs="Times New Roman"/>
          <w:color w:val="000000"/>
          <w:sz w:val="28"/>
          <w:szCs w:val="28"/>
        </w:rPr>
        <w:t xml:space="preserve">. Оніщенко Н. М. Правова система і права людини: теоретичні засади. – К., 2022.</w:t>
      </w:r>
      <w:r>
        <w:rPr>
          <w:sz w:val="28"/>
          <w:szCs w:val="28"/>
        </w:rPr>
      </w:r>
    </w:p>
    <w:p w14:paraId="78217261">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IV. Іноземні джерела та ресурси (English Sources)</w:t>
      </w:r>
      <w:r>
        <w:rPr>
          <w:rFonts w:ascii="Times New Roman" w:hAnsi="Times New Roman" w:eastAsia="Times New Roman" w:cs="Times New Roman"/>
          <w:color w:val="000000"/>
          <w:sz w:val="28"/>
          <w:szCs w:val="28"/>
        </w:rPr>
        <w:t xml:space="preserve"> 32. Donnelly, Jack. Universal Human Rights in Theory and Practice. – Cornell University Press, 2013. 33. Steiner, Henry J., Alston, Philip. International Human Rights in Context: Law, Politics, Morals. – Oxford University Press, 2008. 34. European Court o</w:t>
      </w:r>
      <w:r>
        <w:rPr>
          <w:rFonts w:ascii="Times New Roman" w:hAnsi="Times New Roman" w:eastAsia="Times New Roman" w:cs="Times New Roman"/>
          <w:color w:val="000000"/>
          <w:sz w:val="28"/>
          <w:szCs w:val="28"/>
        </w:rPr>
        <w:t xml:space="preserve">f Human Rights. Guide on Article 6 of the European Convention on Human Rights. – Strasbourg, 2024. 35. Nowak, Manfred. U.N. Covenant on Civil and Political Rights: CCPR Commentary. – N.P. Engel, 2005.</w:t>
      </w:r>
      <w:r>
        <w:rPr>
          <w:sz w:val="28"/>
          <w:szCs w:val="28"/>
        </w:rPr>
      </w:r>
    </w:p>
    <w:p w14:paraId="6D5B6A39">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V. Електронні ресурси та звіти</w:t>
      </w:r>
      <w:r>
        <w:rPr>
          <w:rFonts w:ascii="Times New Roman" w:hAnsi="Times New Roman" w:eastAsia="Times New Roman" w:cs="Times New Roman"/>
          <w:color w:val="000000"/>
          <w:sz w:val="28"/>
          <w:szCs w:val="28"/>
        </w:rPr>
        <w:t xml:space="preserve"> 36. Офіційний сайт Європейського суду з прав людини (HUDOC). URL: </w:t>
      </w:r>
      <w:hyperlink r:id="rId11" w:tooltip="https://hudoc.echr.coe.int/" w:history="1">
        <w:r>
          <w:rPr>
            <w:rStyle w:val="187"/>
            <w:rFonts w:ascii="Times New Roman" w:hAnsi="Times New Roman" w:eastAsia="Times New Roman" w:cs="Times New Roman"/>
            <w:color w:val="0000ee"/>
            <w:sz w:val="28"/>
            <w:szCs w:val="28"/>
            <w:u w:val="single"/>
          </w:rPr>
          <w:t xml:space="preserve">https://hudoc.echr.coe.int/</w:t>
        </w:r>
      </w:hyperlink>
      <w:r>
        <w:rPr>
          <w:rFonts w:ascii="Times New Roman" w:hAnsi="Times New Roman" w:eastAsia="Times New Roman" w:cs="Times New Roman"/>
          <w:color w:val="000000"/>
          <w:sz w:val="28"/>
          <w:szCs w:val="28"/>
        </w:rPr>
        <w:t xml:space="preserve"> 37. Офіційний веб-портал Верховної Ради України. URL: </w:t>
      </w:r>
      <w:hyperlink r:id="rId12" w:tooltip="https://rada.gov.ua/" w:history="1">
        <w:r>
          <w:rPr>
            <w:rStyle w:val="187"/>
            <w:rFonts w:ascii="Times New Roman" w:hAnsi="Times New Roman" w:eastAsia="Times New Roman" w:cs="Times New Roman"/>
            <w:color w:val="0000ee"/>
            <w:sz w:val="28"/>
            <w:szCs w:val="28"/>
            <w:u w:val="single"/>
          </w:rPr>
          <w:t xml:space="preserve">https://rada.gov.ua/</w:t>
        </w:r>
      </w:hyperlink>
      <w:r>
        <w:rPr>
          <w:rFonts w:ascii="Times New Roman" w:hAnsi="Times New Roman" w:eastAsia="Times New Roman" w:cs="Times New Roman"/>
          <w:color w:val="000000"/>
          <w:sz w:val="28"/>
          <w:szCs w:val="28"/>
        </w:rPr>
        <w:t xml:space="preserve"> 38. Щорічна доповідь Уповноваженого Верховної Ради України з прав людини про стан додержання та захисту прав і свобод людини і громадянина в Україні за 2024 рік. 39. Звіт Моніторингової місії ООН з прав людини в Україні за 2025 рік. 40. Офіційний сайт Кон</w:t>
      </w:r>
      <w:r>
        <w:rPr>
          <w:rFonts w:ascii="Times New Roman" w:hAnsi="Times New Roman" w:eastAsia="Times New Roman" w:cs="Times New Roman"/>
          <w:color w:val="000000"/>
          <w:sz w:val="28"/>
          <w:szCs w:val="28"/>
        </w:rPr>
        <w:t xml:space="preserve">ституційного Суду України. URL: </w:t>
      </w:r>
      <w:hyperlink r:id="rId13" w:tooltip="https://ccu.gov.ua/" w:history="1">
        <w:r>
          <w:rPr>
            <w:rStyle w:val="187"/>
            <w:rFonts w:ascii="Times New Roman" w:hAnsi="Times New Roman" w:eastAsia="Times New Roman" w:cs="Times New Roman"/>
            <w:color w:val="0000ee"/>
            <w:sz w:val="28"/>
            <w:szCs w:val="28"/>
            <w:u w:val="single"/>
          </w:rPr>
          <w:t xml:space="preserve">https://ccu.gov.ua/</w:t>
        </w:r>
      </w:hyperlink>
      <w:r>
        <w:rPr>
          <w:sz w:val="28"/>
          <w:szCs w:val="28"/>
        </w:rPr>
      </w:r>
      <w:r>
        <w:rPr>
          <w:sz w:val="28"/>
          <w:szCs w:val="28"/>
        </w:rPr>
      </w:r>
    </w:p>
    <w:p w14:paraId="09326B1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sz w:val="28"/>
          <w:szCs w:val="28"/>
        </w:rPr>
      </w:r>
      <w:r/>
    </w:p>
    <w:sectPr>
      <w:headerReference w:type="default" r:id="rId9"/>
      <w:footerReference w:type="default" r:id="rId10"/>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313A93">
    <w:pPr>
      <w:pStyle w:val="1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5AC7D97">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078DE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12775E0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32E2C3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0A94B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0AD51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CCE1F7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45B84E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E078DE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7B5173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F07D4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941214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686A88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A78769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4971B7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BE96A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35031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DAEEC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E63AD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813AA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2EF8F3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677F668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nsid w:val="2B353D5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45919F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2A2B9C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https://hudoc.echr.coe.int/" TargetMode="External"/><Relationship Id="rId12" Type="http://schemas.openxmlformats.org/officeDocument/2006/relationships/hyperlink" Target="https://rada.gov.ua/" TargetMode="External"/><Relationship Id="rId13" Type="http://schemas.openxmlformats.org/officeDocument/2006/relationships/hyperlink" Target="https://ccu.gov.ua/" TargetMode="External"/><Relationship Id="rId14" Type="http://schemas.onlyoffice.com/jsaProject" Target="jsaProject.bin"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dc:title>
  <dc:subject>Право людини</dc:subject>
  <dc:creator>Довгопол Олена</dc:creator>
  <cp:revision>1</cp:revision>
  <dcterms:modified xsi:type="dcterms:W3CDTF">2026-02-28T20:54:18Z</dcterms:modified>
</cp:coreProperties>
</file>