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Google Sans" w:cs="Google Sans" w:eastAsia="Google Sans" w:hAnsi="Google Sans"/>
          <w:b w:val="1"/>
          <w:color w:val="0070c0"/>
          <w:u w:val="single"/>
        </w:rPr>
      </w:pPr>
      <w:r w:rsidDel="00000000" w:rsidR="00000000" w:rsidRPr="00000000">
        <w:rPr>
          <w:rtl w:val="0"/>
        </w:rPr>
      </w:r>
    </w:p>
    <w:p w:rsidR="00000000" w:rsidDel="00000000" w:rsidP="00000000" w:rsidRDefault="00000000" w:rsidRPr="00000000" w14:paraId="00000002">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report analysis</w:t>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4">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just to take notes on what you've learned about a specific tool or concept. You can also use this chart as a way to continue practicing applying the NIST CSF framework to different situations you may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Summary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experienced a security event when all network services suddenly stopped responding. The cybersecurity team found the disruption was caused by a distributed denial of services (DDoS) attack through a flood of incoming ICMP packets. The team responded by blocking the attack and stopping all non-critical network services, so that critical network services could be restored.</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actor or actors targeted the company with an ICMP flood attack. The entire internal network was affected. All critical network resources needed to be secured and restored to a functioning state.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rtl w:val="0"/>
              </w:rPr>
              <w:t xml:space="preserve">cybersecurity team implemented a new firewall rule to limit the rate of incoming ICMP packets and an IDS/IPS system to filter out some ICMP traffic based on suspicious characteristics.</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configured source IP address verification on the firewall to check for spoofed IP addresses on incoming ICMP packets and implemented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future security events, the cybersecurity team will isolate affected systems to prevent further disruption to the network. They will attempt to restore any critical systems and services that were disrupted by the event. Then, the team will analyze network logs to check for suspicious and abnormal activity</w:t>
            </w:r>
            <w:r w:rsidDel="00000000" w:rsidR="00000000" w:rsidRPr="00000000">
              <w:rPr>
                <w:rFonts w:ascii="Google Sans" w:cs="Google Sans" w:eastAsia="Google Sans" w:hAnsi="Google Sans"/>
                <w:rtl w:val="0"/>
              </w:rPr>
              <w:t xml:space="preserve">.</w:t>
            </w:r>
            <w:r w:rsidDel="00000000" w:rsidR="00000000" w:rsidRPr="00000000">
              <w:rPr>
                <w:rFonts w:ascii="Google Sans" w:cs="Google Sans" w:eastAsia="Google Sans" w:hAnsi="Google Sans"/>
                <w:rtl w:val="0"/>
              </w:rPr>
              <w:t xml:space="preserve"> The team will also report all incidents to upper management and appropriate legal authorities, if applicable.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w:t>
            </w:r>
            <w:r w:rsidDel="00000000" w:rsidR="00000000" w:rsidRPr="00000000">
              <w:rPr>
                <w:rFonts w:ascii="Google Sans" w:cs="Google Sans" w:eastAsia="Google Sans" w:hAnsi="Google Sans"/>
                <w:rtl w:val="0"/>
              </w:rPr>
              <w:t xml:space="preserve"> DDoS </w:t>
            </w:r>
            <w:r w:rsidDel="00000000" w:rsidR="00000000" w:rsidRPr="00000000">
              <w:rPr>
                <w:rFonts w:ascii="Google Sans" w:cs="Google Sans" w:eastAsia="Google Sans" w:hAnsi="Google Sans"/>
                <w:rtl w:val="0"/>
              </w:rPr>
              <w:t xml:space="preserve">attack by ICMP flooding, access to network services need to be restored to a normal functioning state. In the future, external ICMP flood attacks can be blocked at the firewall. Then, all non-critical network services should be stopped to reduce internal network traffic. Next, critical network services should be restored first. Finally, once the flood of ICMP packets have timed out, all non-critical network systems and services can be brought back online.</w:t>
            </w:r>
          </w:p>
        </w:tc>
      </w:tr>
    </w:tbl>
    <w:p w:rsidR="00000000" w:rsidDel="00000000" w:rsidP="00000000" w:rsidRDefault="00000000" w:rsidRPr="00000000" w14:paraId="0000001D">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65"/>
        <w:tblGridChange w:id="0">
          <w:tblGrid>
            <w:gridCol w:w="10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tc>
      </w:tr>
    </w:tbl>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