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 xml:space="preserve">3. Вхідні дані до роботи 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B1502">
        <w:rPr>
          <w:sz w:val="28"/>
          <w:highlight w:val="yellow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Дата видачі завдання      ________</w:t>
      </w:r>
      <w:proofErr w:type="spellStart"/>
      <w:r w:rsidRPr="004D7440">
        <w:rPr>
          <w:sz w:val="28"/>
          <w:highlight w:val="yellow"/>
          <w:lang w:val="uk-UA"/>
        </w:rPr>
        <w:t>хх</w:t>
      </w:r>
      <w:proofErr w:type="spellEnd"/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3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23.03.2016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23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23.04.2016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1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proofErr w:type="spellStart"/>
      <w:r w:rsidR="004B1502" w:rsidRPr="004B1502">
        <w:rPr>
          <w:b/>
          <w:u w:val="single"/>
          <w:lang w:val="uk-UA"/>
        </w:rPr>
        <w:t>Корочкін</w:t>
      </w:r>
      <w:proofErr w:type="spellEnd"/>
      <w:r w:rsidR="004B1502" w:rsidRPr="004B1502">
        <w:rPr>
          <w:b/>
          <w:u w:val="single"/>
          <w:lang w:val="uk-UA"/>
        </w:rPr>
        <w:t xml:space="preserve">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2. РОЗРОБКА ПРОГРАМИ  ПРГ1 ДЛЯ ПКС   ОП……………………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паралельного математичного алгоритму……………………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алгоритмів процесів………………………………………….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 схеми взаємодії процесів…………………………………….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програми ПРГ1……………………………………………….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Тестування програми ПРГ1 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3. РОЗРОБКА ПРОГРАМИ  ПРГ2 ДЛЯ ПКС   ЛП 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програми ПРГ2………………………………………………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СПИСОК ВИКОРИСТ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АНИХ ДЖЕРЕЛ………………………………………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ДОДАТКИ……………………………………………………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паралельних програмах, а також його застосування в різних мовах та бібліотеках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математичної задачі в паралельній комп’ютерній системі зі спільною та локальною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пам’яттю відповідно. 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071044" w:rsidRDefault="00D27C0C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3561BC" w:rsidRDefault="00D27C0C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D27C0C" w:rsidRPr="000E416F" w:rsidRDefault="00D27C0C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D27C0C" w:rsidRDefault="00D27C0C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1556C7" w:rsidRDefault="00D27C0C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D27C0C" w:rsidRPr="00250FA1" w:rsidRDefault="00D27C0C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27C0C" w:rsidRPr="00AB30BD" w:rsidRDefault="00D27C0C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8F45B5" w:rsidRDefault="00D27C0C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5416E4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712032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8E59DA" w:rsidRDefault="00D27C0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712032" w:rsidRDefault="00D27C0C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Default="00D27C0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7C0C" w:rsidRPr="00071044" w:rsidRDefault="00D27C0C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D27C0C" w:rsidRPr="00071044" w:rsidRDefault="00D27C0C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D27C0C" w:rsidRPr="003561BC" w:rsidRDefault="00D27C0C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D27C0C" w:rsidRPr="000E416F" w:rsidRDefault="00D27C0C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D27C0C" w:rsidRDefault="00D27C0C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D27C0C" w:rsidRPr="001556C7" w:rsidRDefault="00D27C0C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D27C0C" w:rsidRPr="00250FA1" w:rsidRDefault="00D27C0C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D27C0C" w:rsidRPr="00AB30BD" w:rsidRDefault="00D27C0C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D27C0C" w:rsidRPr="008F45B5" w:rsidRDefault="00D27C0C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D27C0C" w:rsidRPr="005416E4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D27C0C" w:rsidRPr="00712032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D27C0C" w:rsidRPr="008E59DA" w:rsidRDefault="00D27C0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D27C0C" w:rsidRPr="00712032" w:rsidRDefault="00D27C0C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D27C0C" w:rsidRDefault="00D27C0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D27C0C" w:rsidRPr="00071044" w:rsidRDefault="00D27C0C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специфікації.</w:t>
      </w: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Локальні_Описи</w:t>
      </w:r>
      <w:proofErr w:type="spellEnd"/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Послідовність_Операторів</w:t>
      </w:r>
      <w:proofErr w:type="spellEnd"/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9E33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Структур захищеного модуля Сенсор показано на рис. 1.1. Захищену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зображено справа, захищені входи Чекати() і Сигнал() – зліва. Захищені елементи (Стан,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(Зарплата);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прикладі 1.4. захищений модуль Вклад виконує роль буфера, куди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У кожного об'єкта в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об'єкта, відбувається звернення до монітора об'єкта щоб визначити, чи виконує в даний момент будь-який інший потік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locking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чином монітор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serialization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не має на увазі, що тільки один потік може одночасно виконувати цей метод, як у випадку критичного ділянки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sections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) Має на увазі, що в будь-який момент часу тільки один потік може викликати цей метод (або будь-який інший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>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 чином, монітори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об'єктами, але не з блоками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Монітори не є об'єктами мови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очікуючий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елегантний механізм взаємодії між потоками через методи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 Усі три методи оголошені в класі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один з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ликали метод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всі очікують потоки, що викликали 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sysnchronized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об'єкта призупиняє поточний потік і вводить його в чергу очікування за умовою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>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і методу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поміщається в блок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условие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[]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надають можливість синхронізувати доступ до області коду за допомогою отримання та звільнення блокування на заданому об'єкті за допомогою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Monitor.TryEnter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Методи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використовувати, як тільки на області коду встановлена блокування.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знімає блокування, якщо вона встановлена, і очікує оповіщення. При отриманні оповіщення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і знову отримує блокування.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C # використовують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установки блокування і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її зняття. Перевага використання інструкцій мови полягає в тому, що весь вміст 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включається в інструкцію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Інструкція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блоком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блокує об'єкти (зі посилальним типом), а не типи значень. Оскільки методам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передати тип значення, він упаковується окремо для кожного виклику. Оскільки при кожному виклику створюється окремий об'єкт,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блокується, і код, імовірно захищається цим методом, насправді не є синхронізувати. Крім того об'єкт, переданий методу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відрізняється від об'єкта, переданого методом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створює виняток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("A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occurred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SyncEx.Message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в наступному прикладі, і передачі одного і того ж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needs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by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ensure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згадати про відмінності у використанні об'єктів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є повністю керованими і переносяться. Крім того, вони більш ефективні відносно вимог до ресурсів операційної системи.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Ada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C #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Жуков И.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Солов’єв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Г.Н., Нікітін В.Д. Операційні системи ЕОМ – М.: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Полное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Москва-Санкт-Петербург-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Киев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О.В. Ада95: Введення в програмування – К.: Світ, 1999 – 260 с.</w:t>
      </w:r>
    </w:p>
    <w:p w:rsidR="00C22AF7" w:rsidRP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Жужель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Авдієв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Захищений модуль як універсальний засіб синхронізації процесів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НТУУ«КПІ», Інформатика, управління та обчислювальна техніка, 2001, К.: - №34, С. 137 - 145</w:t>
      </w:r>
    </w:p>
    <w:sectPr w:rsidR="00C22AF7" w:rsidRPr="00B50A4C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2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83114"/>
    <w:rsid w:val="001840C7"/>
    <w:rsid w:val="003208DD"/>
    <w:rsid w:val="0036123E"/>
    <w:rsid w:val="00380FD9"/>
    <w:rsid w:val="003E5209"/>
    <w:rsid w:val="0040071C"/>
    <w:rsid w:val="00416A76"/>
    <w:rsid w:val="004617AF"/>
    <w:rsid w:val="00497A41"/>
    <w:rsid w:val="004A0087"/>
    <w:rsid w:val="004B1502"/>
    <w:rsid w:val="004D7440"/>
    <w:rsid w:val="00543166"/>
    <w:rsid w:val="005479DC"/>
    <w:rsid w:val="005D63B6"/>
    <w:rsid w:val="00686089"/>
    <w:rsid w:val="00737B32"/>
    <w:rsid w:val="008215A7"/>
    <w:rsid w:val="008419AC"/>
    <w:rsid w:val="008C34A2"/>
    <w:rsid w:val="00907A8B"/>
    <w:rsid w:val="009B430F"/>
    <w:rsid w:val="009E3344"/>
    <w:rsid w:val="00A061AD"/>
    <w:rsid w:val="00A164E6"/>
    <w:rsid w:val="00A515EC"/>
    <w:rsid w:val="00AD4738"/>
    <w:rsid w:val="00B07AEA"/>
    <w:rsid w:val="00B47922"/>
    <w:rsid w:val="00B50A4C"/>
    <w:rsid w:val="00B942A0"/>
    <w:rsid w:val="00B95452"/>
    <w:rsid w:val="00BC3848"/>
    <w:rsid w:val="00C173F4"/>
    <w:rsid w:val="00C22AF7"/>
    <w:rsid w:val="00C25DE5"/>
    <w:rsid w:val="00D2262F"/>
    <w:rsid w:val="00D27C0C"/>
    <w:rsid w:val="00E15E7C"/>
    <w:rsid w:val="00F66302"/>
    <w:rsid w:val="00F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19</Pages>
  <Words>3768</Words>
  <Characters>21482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21</cp:revision>
  <dcterms:created xsi:type="dcterms:W3CDTF">2017-03-08T17:52:00Z</dcterms:created>
  <dcterms:modified xsi:type="dcterms:W3CDTF">2017-03-12T13:00:00Z</dcterms:modified>
</cp:coreProperties>
</file>