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2. Строк подання студентом  роботи   </w:t>
      </w:r>
      <w:r w:rsidRPr="004D7440">
        <w:rPr>
          <w:sz w:val="28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3. Вхідні дані до роботи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5. Перелік графічного матеріалу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Дата видачі завдання      ________</w:t>
      </w:r>
      <w:proofErr w:type="spellStart"/>
      <w:r w:rsidRPr="004D7440">
        <w:rPr>
          <w:sz w:val="28"/>
          <w:highlight w:val="yellow"/>
          <w:lang w:val="uk-UA"/>
        </w:rPr>
        <w:t>хх</w:t>
      </w:r>
      <w:proofErr w:type="spellEnd"/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7F4800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3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23.03.2016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23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23.04.2016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1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______________________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>Керівник роботи   _____________                ______________________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ВСТУП…………………………………………………………………………… 3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1. АНАЛІЗ  ЗАСОБІВ РОБОТИ З ПРОЦЕСАМИ В МОВІ АДА…... 5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 програмування процесів…………………………………….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</w:t>
      </w:r>
      <w:proofErr w:type="spellStart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организації</w:t>
      </w:r>
      <w:proofErr w:type="spellEnd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взаємодії процесів через спільні змінні……….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</w:t>
      </w:r>
      <w:proofErr w:type="spellStart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организації</w:t>
      </w:r>
      <w:proofErr w:type="spellEnd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взаємодії процесів через посилання повідомлень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Висновки до розділу 1………………………………………………….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програми ПРГ2………………………………………………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 до розділу 3…………………………………………………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РЕЗУЛЬТАТИ І ВИСНОВКИ ДО РОБОТИ………………………37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ВИКОРИСТАНИХ ДЖЕРЕЛ……………………………………… 39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ДОДАТКИ……………………………………………………............................. 41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4D7440" w:rsidRPr="00380FD9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071044" w:rsidRDefault="009B430F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3561BC" w:rsidRDefault="009B430F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B430F" w:rsidRPr="000E416F" w:rsidRDefault="009B430F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9B430F" w:rsidRDefault="009B430F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1556C7" w:rsidRDefault="009B430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B430F" w:rsidRPr="00250FA1" w:rsidRDefault="009B430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B430F" w:rsidRPr="00AB30BD" w:rsidRDefault="009B430F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8F45B5" w:rsidRDefault="009B430F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5416E4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712032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8E59DA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712032" w:rsidRDefault="009B430F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071044" w:rsidRDefault="009B430F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9B430F" w:rsidRPr="00071044" w:rsidRDefault="009B430F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9B430F" w:rsidRPr="003561BC" w:rsidRDefault="009B430F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9B430F" w:rsidRPr="000E416F" w:rsidRDefault="009B430F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9B430F" w:rsidRDefault="009B430F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9B430F" w:rsidRPr="001556C7" w:rsidRDefault="009B430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B430F" w:rsidRPr="00250FA1" w:rsidRDefault="009B430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9B430F" w:rsidRPr="00AB30BD" w:rsidRDefault="009B430F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9B430F" w:rsidRPr="008F45B5" w:rsidRDefault="009B430F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9B430F" w:rsidRPr="005416E4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9B430F" w:rsidRPr="00712032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9B430F" w:rsidRPr="008E59DA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9B430F" w:rsidRPr="00712032" w:rsidRDefault="009B430F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9B430F" w:rsidRPr="00071044" w:rsidRDefault="009B430F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 доступу до спільного ресурсу [12][36].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[16],[</w:t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>
        <w:rPr>
          <w:rFonts w:ascii="Times New Roman" w:hAnsi="Times New Roman" w:cs="Times New Roman"/>
          <w:sz w:val="28"/>
          <w:szCs w:val="28"/>
          <w:lang w:val="uk-UA"/>
        </w:rPr>
        <w:t>65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мають властивості, що дозволяють вирішити завдання взаємного виключення під час роботи зі спільними ресурсами.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специфікації.</w:t>
      </w: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Локальні_Описи</w:t>
      </w:r>
      <w:proofErr w:type="spellEnd"/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Захищені процедури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фнкції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реалізуються в тілі захищеного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модкля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це робиться в тілі пакета. На відмінну від модулів-задач, реалізація захищеного входу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Послідовність_Операторів</w:t>
      </w:r>
      <w:proofErr w:type="spellEnd"/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9E33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 захищеного модуля Сенсор показано на рис. 1.1. Захищену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зображено справа, захищені входи Чекати() і Сигнал() – зліва. Захищені елементи (Стан,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(Зарплата);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1.4. захищений модуль Вклад виконує роль буфера, куди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У кожного об'єкта в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об'єкта, відбувається звернення до монітора об'єкта щоб визначити, чи виконує в даний момент будь-який інший потік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locking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чином монітор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serialization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не має на увазі, що тільки один потік може одночасно виконувати цей метод, як у випадку критичного ділянки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sections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) Має на увазі, що в будь-який момент часу тільки один потік може викликати цей метод (або будь-який інший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>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 чином, монітори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об'єктами, але не з блоками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Монітори не є об'єктами мови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очікуючий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елегантний механізм взаємодії між потоками через методи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 Усі три методи оголошені в класі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один з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ликали метод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всі очікують потоки, що викликали 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sysnchronized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об'єкта призупиняє поточний потік і вводить його в чергу очікування за умовою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>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і методу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поміщається в блок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условие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[]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надають можливість синхронізувати доступ до області коду за допомогою отримання та звільнення блокування на заданому об'єкті за допомогою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Monitor.TryEnter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Методи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використовувати, як тільки на області коду встановлена блокування.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знімає блокування, якщо вона встановлена, і очікує оповіщення. При отриманні оповіщення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і знову отримує блокування.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C # використовують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установки блокування і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її зняття. Перевага використання інструкцій мови полягає в тому, що весь вміст 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включається в інструкцію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Інструкція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блоком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блокує об'єкти (зі посилальним типом), а не типи значень. Оскільки методам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передати тип значення, він упаковується окремо для кожного виклику. Оскільки при кожному виклику створюється окремий об'єкт,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блокується, і код, імовірно захищається цим методом, насправді не є синхронізувати. Крім того об'єкт, переданий методу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відрізняється від об'єкта, переданого методом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створює виняток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catch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("A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occurred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SyncEx.Message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як показано в наступному прикладі, і передачі одного і того ж 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needs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by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ensure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згадати про відмінності у використанні об'єктів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є повністю керованими і переносяться. Крім того, вони більш ефективні відносно вимог до ресурсів операційної системи.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Ada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C #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sectPr w:rsidR="0036123E" w:rsidRPr="0036123E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1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83114"/>
    <w:rsid w:val="001840C7"/>
    <w:rsid w:val="003208DD"/>
    <w:rsid w:val="0036123E"/>
    <w:rsid w:val="00380FD9"/>
    <w:rsid w:val="0040071C"/>
    <w:rsid w:val="00416A76"/>
    <w:rsid w:val="004617AF"/>
    <w:rsid w:val="00497A41"/>
    <w:rsid w:val="004D7440"/>
    <w:rsid w:val="00543166"/>
    <w:rsid w:val="005479DC"/>
    <w:rsid w:val="005D63B6"/>
    <w:rsid w:val="00686089"/>
    <w:rsid w:val="00737B32"/>
    <w:rsid w:val="008215A7"/>
    <w:rsid w:val="008419AC"/>
    <w:rsid w:val="008C34A2"/>
    <w:rsid w:val="00907A8B"/>
    <w:rsid w:val="009B430F"/>
    <w:rsid w:val="009E3344"/>
    <w:rsid w:val="00A061AD"/>
    <w:rsid w:val="00A515EC"/>
    <w:rsid w:val="00AD4738"/>
    <w:rsid w:val="00B47922"/>
    <w:rsid w:val="00B942A0"/>
    <w:rsid w:val="00B95452"/>
    <w:rsid w:val="00C173F4"/>
    <w:rsid w:val="00C25DE5"/>
    <w:rsid w:val="00D2262F"/>
    <w:rsid w:val="00F66302"/>
    <w:rsid w:val="00F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3592</Words>
  <Characters>20479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13</cp:revision>
  <dcterms:created xsi:type="dcterms:W3CDTF">2017-03-08T17:52:00Z</dcterms:created>
  <dcterms:modified xsi:type="dcterms:W3CDTF">2017-03-11T16:03:00Z</dcterms:modified>
</cp:coreProperties>
</file>