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SEGMENTARE PIAȚĂ &amp; STRATEGIE LEADURI DE VALOARE ÎNALTĂ</w:t>
      </w:r>
    </w:p>
    <w:p>
      <w:pPr>
        <w:jc w:val="center"/>
      </w:pPr>
      <w:r>
        <w:rPr>
          <w:i/>
          <w:sz w:val="28"/>
        </w:rPr>
        <w:t>Glas Expert — Intrare pe piața USA 2026</w:t>
      </w:r>
    </w:p>
    <w:p/>
    <w:p>
      <w:pPr>
        <w:pStyle w:val="Heading1"/>
      </w:pPr>
      <w:r>
        <w:t>REZUMAT EXECUTIV</w:t>
      </w:r>
    </w:p>
    <w:p>
      <w:r>
        <w:t>Obiectiv: Identificare segmentelor de piață unde proiectele depășesc 30.000 EUR și stabilirea acțiunilor tactice pentru captarea de leaduri.</w:t>
        <w:br/>
        <w:br/>
        <w:t>Dimensiunea pieței: Piața de sticlă USA 2026 = $28.5B; segment sticlă arhitecturală = $8.2B (29%)</w:t>
        <w:br/>
        <w:br/>
        <w:t>Strategie intrare Glas Expert: Concentrare pe 4 segmente de valoare înaltă unde Glas Expert poate concura pe calitate, personalizare și timpi de livrare.</w:t>
        <w:br/>
        <w:br/>
        <w:t>Țintă primii 90 de zile: 5-8 leaduri calificate &gt;30k EUR | Valoare pipeline: €150k-240k</w:t>
      </w:r>
    </w:p>
    <w:p/>
    <w:p>
      <w:pPr>
        <w:pStyle w:val="Heading1"/>
      </w:pPr>
      <w:r>
        <w:t>SEGMENTELE DE PIAȚĂ — OPORTUNITĂȚI DE VALOARE ÎNALTĂ (&gt;30k EUR)</w:t>
      </w:r>
    </w:p>
    <w:p>
      <w:pPr>
        <w:pStyle w:val="Heading2"/>
      </w:pPr>
      <w:r>
        <w:t>SEGMENT 1: IMOBILIARE COMERCIALĂ (Birou/Mixt)</w:t>
      </w:r>
    </w:p>
    <w:p>
      <w:pPr>
        <w:pStyle w:val="ListBullet"/>
      </w:pPr>
      <w:r>
        <w:t>Dimensiunea pieței: $3.2B/an | Interval valoare proiect: €50k-500k+</w:t>
      </w:r>
    </w:p>
    <w:p>
      <w:pPr>
        <w:pStyle w:val="Heading3"/>
      </w:pPr>
      <w:r>
        <w:t>Profil:</w:t>
      </w:r>
    </w:p>
    <w:p>
      <w:pPr>
        <w:pStyle w:val="ListBullet"/>
      </w:pPr>
      <w:r>
        <w:t>Ciclu decizie: 6-9 luni planificare → 12-18 luni construcție</w:t>
      </w:r>
    </w:p>
    <w:p>
      <w:pPr>
        <w:pStyle w:val="ListBullet"/>
      </w:pPr>
      <w:r>
        <w:t>Buget pe proiect: €100k-2M+ (fațadă + pereți interiori)</w:t>
      </w:r>
    </w:p>
    <w:p>
      <w:pPr>
        <w:pStyle w:val="ListBullet"/>
      </w:pPr>
      <w:r>
        <w:t>Proiecte tipice: Clădiri birou multi-nivel (€150k-300k), Mixt (€200k-500k), Sediu corporativ (€500k-2M+)</w:t>
      </w:r>
    </w:p>
    <w:p>
      <w:pPr>
        <w:pStyle w:val="Heading3"/>
      </w:pPr>
      <w:r>
        <w:t>Potrivire Glas Expert:</w:t>
      </w:r>
    </w:p>
    <w:p>
      <w:pPr>
        <w:pStyle w:val="ListBullet"/>
      </w:pPr>
      <w:r>
        <w:t>Fațade personalizate (sticlă curbă + ceramică = diferențiere)</w:t>
      </w:r>
    </w:p>
    <w:p>
      <w:pPr>
        <w:pStyle w:val="ListBullet"/>
      </w:pPr>
      <w:r>
        <w:t>Certificări de calitate (EN/ASTM = partener de încredere)</w:t>
      </w:r>
    </w:p>
    <w:p>
      <w:pPr>
        <w:pStyle w:val="ListBullet"/>
      </w:pPr>
      <w:r>
        <w:t>Capabilitate sticlă curbă = competență rară pe piața USA</w:t>
      </w:r>
    </w:p>
    <w:p>
      <w:pPr>
        <w:pStyle w:val="ListBullet"/>
      </w:pPr>
      <w:r>
        <w:t>Timp livrare: 4-6 săptămâni (competitiv vs. furnizori locali 8-12)</w:t>
      </w:r>
    </w:p>
    <w:p>
      <w:pPr>
        <w:pStyle w:val="ListBullet"/>
      </w:pPr>
      <w:r>
        <w:t>Marjă țintă: 40-50% (poziționare premium)</w:t>
      </w:r>
    </w:p>
    <w:p>
      <w:pPr>
        <w:pStyle w:val="Heading3"/>
      </w:pPr>
      <w:r>
        <w:t>Acțiuni tactice:</w:t>
      </w:r>
    </w:p>
    <w:p>
      <w:pPr>
        <w:pStyle w:val="ListNumber"/>
      </w:pPr>
      <w:r>
        <w:t>Construire rețea parteneri arhitecți (Săptămâna 1-2)</w:t>
      </w:r>
    </w:p>
    <w:p>
      <w:pPr>
        <w:pStyle w:val="ListNumber"/>
      </w:pPr>
      <w:r>
        <w:t>Stabilire relații AC (Săptămâna 1-4)</w:t>
      </w:r>
    </w:p>
    <w:p>
      <w:pPr>
        <w:pStyle w:val="ListNumber"/>
      </w:pPr>
      <w:r>
        <w:t>Creare portofoliu studii caz (Săptămâna 2-3)</w:t>
      </w:r>
    </w:p>
    <w:p>
      <w:pPr>
        <w:pStyle w:val="ListNumber"/>
      </w:pPr>
      <w:r>
        <w:t>Canal generare leaduri: Tabele licitații (Săptămâna 2-3)</w:t>
      </w:r>
    </w:p>
    <w:p>
      <w:pPr>
        <w:pStyle w:val="ListNumber"/>
      </w:pPr>
      <w:r>
        <w:t>Outreach direct specialiști fațade (Săptămâna 3-4)</w:t>
      </w:r>
    </w:p>
    <w:p>
      <w:r>
        <w:rPr>
          <w:b/>
        </w:rPr>
        <w:t>Țintă primii 90 de zile: 5-7 leaduri calificate (€100k-400k), 2-3 propuneri, 1 contract semnat (€100k+)</w:t>
      </w:r>
    </w:p>
    <w:p/>
    <w:p>
      <w:pPr>
        <w:pStyle w:val="Heading2"/>
      </w:pPr>
      <w:r>
        <w:t>SEGMENT 2: OSPITALITATE &amp; DIVERTISMENT</w:t>
      </w:r>
    </w:p>
    <w:p>
      <w:pPr>
        <w:pStyle w:val="ListBullet"/>
      </w:pPr>
      <w:r>
        <w:t>Dimensiunea pieței: $1.8B/an | Interval valoare proiect: €40k-200k+</w:t>
      </w:r>
    </w:p>
    <w:p>
      <w:pPr>
        <w:pStyle w:val="Heading3"/>
      </w:pPr>
      <w:r>
        <w:t>Profil:</w:t>
      </w:r>
    </w:p>
    <w:p>
      <w:pPr>
        <w:pStyle w:val="ListBullet"/>
      </w:pPr>
      <w:r>
        <w:t>Ciclu decizie: 4-6 luni planificare → 6-12 luni construcție</w:t>
      </w:r>
    </w:p>
    <w:p>
      <w:pPr>
        <w:pStyle w:val="ListBullet"/>
      </w:pPr>
      <w:r>
        <w:t>Buget pe proiect: €50k-500k sticlă (design interior)</w:t>
      </w:r>
    </w:p>
    <w:p>
      <w:pPr>
        <w:pStyle w:val="ListBullet"/>
      </w:pPr>
      <w:r>
        <w:t>Proiecte tipice: Hotel 4 stele (€80k-150k), Restaurant fine dining (€40k-80k), Rooftop bar (€50k-120k)</w:t>
      </w:r>
    </w:p>
    <w:p>
      <w:pPr>
        <w:pStyle w:val="Heading3"/>
      </w:pPr>
      <w:r>
        <w:t>Potrivire Glas Expert:</w:t>
      </w:r>
    </w:p>
    <w:p>
      <w:pPr>
        <w:pStyle w:val="ListBullet"/>
      </w:pPr>
      <w:r>
        <w:t>Sticlă interior personalizată: Frosted, ceramică tipărită, culori</w:t>
      </w:r>
    </w:p>
    <w:p>
      <w:pPr>
        <w:pStyle w:val="ListBullet"/>
      </w:pPr>
      <w:r>
        <w:t>Durabilitate: Temperat + laminat = sigur pentru trafic înalt</w:t>
      </w:r>
    </w:p>
    <w:p>
      <w:pPr>
        <w:pStyle w:val="ListBullet"/>
      </w:pPr>
      <w:r>
        <w:t>Estetică: Sticlă curbă, finisaje speciale = luxury</w:t>
      </w:r>
    </w:p>
    <w:p>
      <w:pPr>
        <w:pStyle w:val="ListBullet"/>
      </w:pPr>
      <w:r>
        <w:t>Sustenabilitate: Certificări verzi EU = avantaj marketing</w:t>
      </w:r>
    </w:p>
    <w:p>
      <w:pPr>
        <w:pStyle w:val="ListBullet"/>
      </w:pPr>
      <w:r>
        <w:t>Marjă: 45-55% (segment lifestyle premium)</w:t>
      </w:r>
    </w:p>
    <w:p/>
    <w:p>
      <w:pPr>
        <w:pStyle w:val="Heading1"/>
      </w:pPr>
      <w:r>
        <w:t>ȚINTĂ COMBINATĂ — PIPELINE VÂNZĂRI 90 ZILE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Leaduri</w:t>
            </w:r>
          </w:p>
        </w:tc>
        <w:tc>
          <w:tcPr>
            <w:tcW w:type="dxa" w:w="2160"/>
          </w:tcPr>
          <w:p>
            <w:r>
              <w:t>Valoare medie</w:t>
            </w:r>
          </w:p>
        </w:tc>
        <w:tc>
          <w:tcPr>
            <w:tcW w:type="dxa" w:w="2160"/>
          </w:tcPr>
          <w:p>
            <w:r>
              <w:t>Valoare pipeline</w:t>
            </w:r>
          </w:p>
        </w:tc>
      </w:tr>
      <w:tr>
        <w:tc>
          <w:tcPr>
            <w:tcW w:type="dxa" w:w="2160"/>
          </w:tcPr>
          <w:p>
            <w:r>
              <w:t>Imobiliare comercială</w:t>
            </w:r>
          </w:p>
        </w:tc>
        <w:tc>
          <w:tcPr>
            <w:tcW w:type="dxa" w:w="2160"/>
          </w:tcPr>
          <w:p>
            <w:r>
              <w:t>5-7</w:t>
            </w:r>
          </w:p>
        </w:tc>
        <w:tc>
          <w:tcPr>
            <w:tcW w:type="dxa" w:w="2160"/>
          </w:tcPr>
          <w:p>
            <w:r>
              <w:t>€150k</w:t>
            </w:r>
          </w:p>
        </w:tc>
        <w:tc>
          <w:tcPr>
            <w:tcW w:type="dxa" w:w="2160"/>
          </w:tcPr>
          <w:p>
            <w:r>
              <w:t>€750k-1.05M</w:t>
            </w:r>
          </w:p>
        </w:tc>
      </w:tr>
      <w:tr>
        <w:tc>
          <w:tcPr>
            <w:tcW w:type="dxa" w:w="2160"/>
          </w:tcPr>
          <w:p>
            <w:r>
              <w:t>Ospitalitate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€100k</w:t>
            </w:r>
          </w:p>
        </w:tc>
        <w:tc>
          <w:tcPr>
            <w:tcW w:type="dxa" w:w="2160"/>
          </w:tcPr>
          <w:p>
            <w:r>
              <w:t>€400k-500k</w:t>
            </w:r>
          </w:p>
        </w:tc>
      </w:tr>
      <w:tr>
        <w:tc>
          <w:tcPr>
            <w:tcW w:type="dxa" w:w="2160"/>
          </w:tcPr>
          <w:p>
            <w:r>
              <w:t>Sănătate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€120k</w:t>
            </w:r>
          </w:p>
        </w:tc>
        <w:tc>
          <w:tcPr>
            <w:tcW w:type="dxa" w:w="2160"/>
          </w:tcPr>
          <w:p>
            <w:r>
              <w:t>€360k-480k</w:t>
            </w:r>
          </w:p>
        </w:tc>
      </w:tr>
      <w:tr>
        <w:tc>
          <w:tcPr>
            <w:tcW w:type="dxa" w:w="2160"/>
          </w:tcPr>
          <w:p>
            <w:r>
              <w:t>Educație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€90k</w:t>
            </w:r>
          </w:p>
        </w:tc>
        <w:tc>
          <w:tcPr>
            <w:tcW w:type="dxa" w:w="2160"/>
          </w:tcPr>
          <w:p>
            <w:r>
              <w:t>€270k-360k</w:t>
            </w:r>
          </w:p>
        </w:tc>
      </w:tr>
    </w:tbl>
    <w:p/>
    <w:p>
      <w:pPr>
        <w:pStyle w:val="Heading1"/>
      </w:pPr>
      <w:r>
        <w:t>PAȘI URMĂTORI PENTRU APROBĂRI BOGDAN</w:t>
      </w:r>
    </w:p>
    <w:p>
      <w:pPr>
        <w:pStyle w:val="ListNumber"/>
      </w:pPr>
      <w:r>
        <w:t>Confirmare focus segment: Sunt Imobiliare + Sănătate top 2 priorități?</w:t>
      </w:r>
    </w:p>
    <w:p>
      <w:pPr>
        <w:pStyle w:val="ListNumber"/>
      </w:pPr>
      <w:r>
        <w:t>Aprobări participare târg: Surfaces ($3-5k) + HDC ($2-3k)?</w:t>
      </w:r>
    </w:p>
    <w:p>
      <w:pPr>
        <w:pStyle w:val="ListNumber"/>
      </w:pPr>
      <w:r>
        <w:t>Aprobări engagement LinkedIn: Buget outreach personalizat?</w:t>
      </w:r>
    </w:p>
    <w:p>
      <w:pPr>
        <w:pStyle w:val="ListNumber"/>
      </w:pPr>
      <w:r>
        <w:t>Aprobări înregistrări domeniu: glass.us sau glassbogdan.us?</w:t>
      </w:r>
    </w:p>
    <w:p>
      <w:pPr>
        <w:pStyle w:val="ListNumber"/>
      </w:pPr>
      <w:r>
        <w:t>Asignare lider vânzări: Cine conduce outreach (Catalin direct sau agent)?</w:t>
      </w:r>
    </w:p>
    <w:p>
      <w:pPr>
        <w:jc w:val="center"/>
      </w:pPr>
      <w:r>
        <w:rPr>
          <w:b/>
          <w:i/>
        </w:rPr>
        <w:t>Strategie Segmentare Piață — Gata pentru Execuție — 15-20 Leaduri în 90 Zile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