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 SEGMENTATION &amp; HIGH-VALUE LEADS STRATEGY</w:t>
      </w:r>
    </w:p>
    <w:p>
      <w:pPr>
        <w:jc w:val="center"/>
      </w:pPr>
      <w:r>
        <w:rPr>
          <w:i/>
          <w:sz w:val="28"/>
        </w:rPr>
        <w:t>Glas Expert — USA Market Entry 2026</w:t>
      </w:r>
    </w:p>
    <w:p/>
    <w:p>
      <w:pPr>
        <w:pStyle w:val="Heading1"/>
      </w:pPr>
      <w:r>
        <w:t>EXECUTIVE SUMMARY</w:t>
      </w:r>
    </w:p>
    <w:p>
      <w:r>
        <w:t>Target: Identify market segments where projects exceed 30,000 EUR budgets and establish tactical actions to acquire leads.</w:t>
        <w:br/>
        <w:br/>
        <w:t>Market Size: USA glass market 2026 = $28.5B; architectural glass segment = $8.2B (29%)</w:t>
        <w:br/>
        <w:br/>
        <w:t>Glas Expert Entry Strategy: Focus on 4 high-value segments where Glas Expert can compete on quality, customization, and lead times.</w:t>
        <w:br/>
        <w:br/>
        <w:t>First 90 Days Target: 5-8 qualified leads &gt;30k EUR | Pipeline value: €150k-240k</w:t>
      </w:r>
    </w:p>
    <w:p/>
    <w:p>
      <w:pPr>
        <w:pStyle w:val="Heading1"/>
      </w:pPr>
      <w:r>
        <w:t>MARKET SEGMENTS — HIGH-VALUE OPPORTUNITIES (&gt;30k EUR)</w:t>
      </w:r>
    </w:p>
    <w:p>
      <w:pPr>
        <w:pStyle w:val="Heading2"/>
      </w:pPr>
      <w:r>
        <w:t>SEGMENT 1: COMMERCIAL REAL ESTATE (Office/Mixed-Use)</w:t>
      </w:r>
    </w:p>
    <w:p>
      <w:pPr>
        <w:pStyle w:val="ListBullet"/>
      </w:pPr>
      <w:r>
        <w:t>Market Size: $3.2B/year | Project Size Range: €50k-500k+</w:t>
      </w:r>
    </w:p>
    <w:p>
      <w:pPr>
        <w:pStyle w:val="Heading3"/>
      </w:pPr>
      <w:r>
        <w:t>Profile:</w:t>
      </w:r>
    </w:p>
    <w:p>
      <w:pPr>
        <w:pStyle w:val="ListBullet"/>
      </w:pPr>
      <w:r>
        <w:t>Decision Cycle: 6-9 months planning → 12-18 months construction</w:t>
      </w:r>
    </w:p>
    <w:p>
      <w:pPr>
        <w:pStyle w:val="ListBullet"/>
      </w:pPr>
      <w:r>
        <w:t>Budget Per Project: €100k-2M+ (facade + interior partitions)</w:t>
      </w:r>
    </w:p>
    <w:p>
      <w:pPr>
        <w:pStyle w:val="ListBullet"/>
      </w:pPr>
      <w:r>
        <w:t>Typical Projects: Mid-rise office buildings (€150k-300k), Mixed-use (€200k-500k), Corporate HQ (€500k-2M+)</w:t>
      </w:r>
    </w:p>
    <w:p>
      <w:pPr>
        <w:pStyle w:val="Heading3"/>
      </w:pPr>
      <w:r>
        <w:t>Buyers:</w:t>
      </w:r>
    </w:p>
    <w:p>
      <w:pPr>
        <w:pStyle w:val="ListBullet"/>
      </w:pPr>
      <w:r>
        <w:t>Primary: General contractors (GCs), architectural firms, facade specialists</w:t>
      </w:r>
    </w:p>
    <w:p>
      <w:pPr>
        <w:pStyle w:val="ListBullet"/>
      </w:pPr>
      <w:r>
        <w:t>Secondary: Developers, property management companies</w:t>
      </w:r>
    </w:p>
    <w:p>
      <w:pPr>
        <w:pStyle w:val="ListBullet"/>
      </w:pPr>
      <w:r>
        <w:t>Decision Makers: Procurement managers, project managers, architects</w:t>
      </w:r>
    </w:p>
    <w:p>
      <w:pPr>
        <w:pStyle w:val="Heading3"/>
      </w:pPr>
      <w:r>
        <w:t>Glas Expert Fit:</w:t>
      </w:r>
    </w:p>
    <w:p>
      <w:pPr>
        <w:pStyle w:val="ListBullet"/>
      </w:pPr>
      <w:r>
        <w:t>Custom facades (curved + ceramic-printed glass = differentiation)</w:t>
      </w:r>
    </w:p>
    <w:p>
      <w:pPr>
        <w:pStyle w:val="ListBullet"/>
      </w:pPr>
      <w:r>
        <w:t>Quality certifications (EN/ASTM compliance) = trusted partner</w:t>
      </w:r>
    </w:p>
    <w:p>
      <w:pPr>
        <w:pStyle w:val="ListBullet"/>
      </w:pPr>
      <w:r>
        <w:t>Curved glass capability = rare skill in USA market</w:t>
      </w:r>
    </w:p>
    <w:p>
      <w:pPr>
        <w:pStyle w:val="ListBullet"/>
      </w:pPr>
      <w:r>
        <w:t>Lead time: 4-6 weeks (competitive vs. local suppliers 8-12 weeks)</w:t>
      </w:r>
    </w:p>
    <w:p>
      <w:pPr>
        <w:pStyle w:val="ListBullet"/>
      </w:pPr>
      <w:r>
        <w:t>Margin target: 40-50% (premium positioning)</w:t>
      </w:r>
    </w:p>
    <w:p>
      <w:pPr>
        <w:pStyle w:val="Heading3"/>
      </w:pPr>
      <w:r>
        <w:t>Tactical Actions:</w:t>
      </w:r>
    </w:p>
    <w:p>
      <w:pPr>
        <w:pStyle w:val="ListNumber"/>
      </w:pPr>
      <w:r>
        <w:t>Build Architectural Partner Network (Week 1-2)</w:t>
      </w:r>
    </w:p>
    <w:p>
      <w:pPr>
        <w:pStyle w:val="ListBullet2"/>
      </w:pPr>
      <w:r>
        <w:t>Identify top 50 architecture firms, LinkedIn outreach, 3-5 partnership LOIs by week 4</w:t>
      </w:r>
    </w:p>
    <w:p>
      <w:pPr>
        <w:pStyle w:val="ListNumber"/>
      </w:pPr>
      <w:r>
        <w:t>Establish GC Relationships (Week 1-4)</w:t>
      </w:r>
    </w:p>
    <w:p>
      <w:pPr>
        <w:pStyle w:val="ListBullet2"/>
      </w:pPr>
      <w:r>
        <w:t>Target top 20 commercial GCs, get approved vendor status</w:t>
      </w:r>
    </w:p>
    <w:p>
      <w:pPr>
        <w:pStyle w:val="ListNumber"/>
      </w:pPr>
      <w:r>
        <w:t>Create Case Study Portfolio (Week 2-3)</w:t>
      </w:r>
    </w:p>
    <w:p>
      <w:pPr>
        <w:pStyle w:val="ListBullet2"/>
      </w:pPr>
      <w:r>
        <w:t>3 adapted case studies from Europe to USA context</w:t>
      </w:r>
    </w:p>
    <w:p>
      <w:pPr>
        <w:pStyle w:val="ListNumber"/>
      </w:pPr>
      <w:r>
        <w:t>Lead Generation Channel: Construction Bid Boards (Week 2-3)</w:t>
      </w:r>
    </w:p>
    <w:p>
      <w:pPr>
        <w:pStyle w:val="ListBullet2"/>
      </w:pPr>
      <w:r>
        <w:t>Register on Dodge, BuildFax, Constructech, daily monitoring</w:t>
      </w:r>
    </w:p>
    <w:p>
      <w:pPr>
        <w:pStyle w:val="ListNumber"/>
      </w:pPr>
      <w:r>
        <w:t>Direct Outreach to Facade Specialists (Week 3-4)</w:t>
      </w:r>
    </w:p>
    <w:p>
      <w:pPr>
        <w:pStyle w:val="ListBullet2"/>
      </w:pPr>
      <w:r>
        <w:t>30 facade contractors, 15-20% finder fee model</w:t>
      </w:r>
    </w:p>
    <w:p/>
    <w:p>
      <w:r>
        <w:rPr>
          <w:b/>
        </w:rPr>
        <w:t>First 90 Days Target for Segment 1: 5-7 qualified leads (€100k-400k range), 2-3 proposals in progress, 1 signed contract (€100k+)</w:t>
      </w:r>
    </w:p>
    <w:p/>
    <w:p>
      <w:pPr>
        <w:pStyle w:val="Heading2"/>
      </w:pPr>
      <w:r>
        <w:t>SEGMENT 2: HOSPITALITY &amp; LEISURE (Hotels, Restaurants, Entertainment)</w:t>
      </w:r>
    </w:p>
    <w:p>
      <w:pPr>
        <w:pStyle w:val="ListBullet"/>
      </w:pPr>
      <w:r>
        <w:t>Market Size: $1.8B/year | Project Size Range: €40k-200k+</w:t>
      </w:r>
    </w:p>
    <w:p>
      <w:pPr>
        <w:pStyle w:val="Heading3"/>
      </w:pPr>
      <w:r>
        <w:t>Profile:</w:t>
      </w:r>
    </w:p>
    <w:p>
      <w:pPr>
        <w:pStyle w:val="ListBullet"/>
      </w:pPr>
      <w:r>
        <w:t>Decision Cycle: 4-6 months planning → 6-12 months construction</w:t>
      </w:r>
    </w:p>
    <w:p>
      <w:pPr>
        <w:pStyle w:val="ListBullet"/>
      </w:pPr>
      <w:r>
        <w:t>Budget Per Project: €50k-500k glass (includes interior design glass)</w:t>
      </w:r>
    </w:p>
    <w:p>
      <w:pPr>
        <w:pStyle w:val="ListBullet"/>
      </w:pPr>
      <w:r>
        <w:t>Typical Projects: 4-star hotel renovation (€80k-150k), Fine dining restaurant (€40k-80k), Rooftop bar (€50k-120k), Hotel facade upgrade (€150k-300k)</w:t>
      </w:r>
    </w:p>
    <w:p>
      <w:pPr>
        <w:pStyle w:val="Heading3"/>
      </w:pPr>
      <w:r>
        <w:t>Buyers:</w:t>
      </w:r>
    </w:p>
    <w:p>
      <w:pPr>
        <w:pStyle w:val="ListBullet"/>
      </w:pPr>
      <w:r>
        <w:t>Primary: Hotel owners/brands (Marriott, Hilton, Hyatt), restaurant groups</w:t>
      </w:r>
    </w:p>
    <w:p>
      <w:pPr>
        <w:pStyle w:val="ListBullet"/>
      </w:pPr>
      <w:r>
        <w:t>Secondary: Interior designers, hospitality architects</w:t>
      </w:r>
    </w:p>
    <w:p>
      <w:pPr>
        <w:pStyle w:val="ListBullet"/>
      </w:pPr>
      <w:r>
        <w:t>Decision Makers: Facilities directors, design architects, project managers</w:t>
      </w:r>
    </w:p>
    <w:p>
      <w:pPr>
        <w:pStyle w:val="Heading3"/>
      </w:pPr>
      <w:r>
        <w:t>Glas Expert Fit:</w:t>
      </w:r>
    </w:p>
    <w:p>
      <w:pPr>
        <w:pStyle w:val="ListBullet"/>
      </w:pPr>
      <w:r>
        <w:t>Custom interior glass: Frosted, ceramic-printed, colored glass for branding</w:t>
      </w:r>
    </w:p>
    <w:p>
      <w:pPr>
        <w:pStyle w:val="ListBullet"/>
      </w:pPr>
      <w:r>
        <w:t>Durability: Tempered + laminated = safe for high-traffic hospitality</w:t>
      </w:r>
    </w:p>
    <w:p>
      <w:pPr>
        <w:pStyle w:val="ListBullet"/>
      </w:pPr>
      <w:r>
        <w:t>Aesthetics: Curved glass, special finishes = luxury positioning</w:t>
      </w:r>
    </w:p>
    <w:p>
      <w:pPr>
        <w:pStyle w:val="ListBullet"/>
      </w:pPr>
      <w:r>
        <w:t>Sustainability: EU green certifications = marketing advantage</w:t>
      </w:r>
    </w:p>
    <w:p>
      <w:pPr>
        <w:pStyle w:val="ListBullet"/>
      </w:pPr>
      <w:r>
        <w:t>Margin: 45-55% (premium lifestyle segment)</w:t>
      </w:r>
    </w:p>
    <w:p/>
    <w:p>
      <w:pPr>
        <w:pStyle w:val="Heading1"/>
      </w:pPr>
      <w:r>
        <w:t>COMBINED TARGET — 90-DAY SALES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Leads</w:t>
            </w:r>
          </w:p>
        </w:tc>
        <w:tc>
          <w:tcPr>
            <w:tcW w:type="dxa" w:w="2160"/>
          </w:tcPr>
          <w:p>
            <w:r>
              <w:t>Avg Value</w:t>
            </w:r>
          </w:p>
        </w:tc>
        <w:tc>
          <w:tcPr>
            <w:tcW w:type="dxa" w:w="2160"/>
          </w:tcPr>
          <w:p>
            <w:r>
              <w:t>Pipeline Value</w:t>
            </w:r>
          </w:p>
        </w:tc>
      </w:tr>
      <w:tr>
        <w:tc>
          <w:tcPr>
            <w:tcW w:type="dxa" w:w="2160"/>
          </w:tcPr>
          <w:p>
            <w:r>
              <w:t>Commercial Real Estate</w:t>
            </w:r>
          </w:p>
        </w:tc>
        <w:tc>
          <w:tcPr>
            <w:tcW w:type="dxa" w:w="2160"/>
          </w:tcPr>
          <w:p>
            <w:r>
              <w:t>5-7</w:t>
            </w:r>
          </w:p>
        </w:tc>
        <w:tc>
          <w:tcPr>
            <w:tcW w:type="dxa" w:w="2160"/>
          </w:tcPr>
          <w:p>
            <w:r>
              <w:t>€150k</w:t>
            </w:r>
          </w:p>
        </w:tc>
        <w:tc>
          <w:tcPr>
            <w:tcW w:type="dxa" w:w="2160"/>
          </w:tcPr>
          <w:p>
            <w:r>
              <w:t>€750k-1.05M</w:t>
            </w:r>
          </w:p>
        </w:tc>
      </w:tr>
      <w:tr>
        <w:tc>
          <w:tcPr>
            <w:tcW w:type="dxa" w:w="2160"/>
          </w:tcPr>
          <w:p>
            <w:r>
              <w:t>Hospitality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€100k</w:t>
            </w:r>
          </w:p>
        </w:tc>
        <w:tc>
          <w:tcPr>
            <w:tcW w:type="dxa" w:w="2160"/>
          </w:tcPr>
          <w:p>
            <w:r>
              <w:t>€400k-500k</w:t>
            </w:r>
          </w:p>
        </w:tc>
      </w:tr>
      <w:tr>
        <w:tc>
          <w:tcPr>
            <w:tcW w:type="dxa" w:w="2160"/>
          </w:tcPr>
          <w:p>
            <w:r>
              <w:t>Healthcare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€120k</w:t>
            </w:r>
          </w:p>
        </w:tc>
        <w:tc>
          <w:tcPr>
            <w:tcW w:type="dxa" w:w="2160"/>
          </w:tcPr>
          <w:p>
            <w:r>
              <w:t>€360k-480k</w:t>
            </w:r>
          </w:p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€90k</w:t>
            </w:r>
          </w:p>
        </w:tc>
        <w:tc>
          <w:tcPr>
            <w:tcW w:type="dxa" w:w="2160"/>
          </w:tcPr>
          <w:p>
            <w:r>
              <w:t>€270k-360k</w:t>
            </w:r>
          </w:p>
        </w:tc>
      </w:tr>
    </w:tbl>
    <w:p/>
    <w:p>
      <w:pPr>
        <w:pStyle w:val="Heading1"/>
      </w:pPr>
      <w:r>
        <w:t>NEXT STEPS FOR BOGDAN APPROVAL</w:t>
      </w:r>
    </w:p>
    <w:p>
      <w:pPr>
        <w:pStyle w:val="ListNumber"/>
      </w:pPr>
      <w:r>
        <w:t>Confirm segment focus: Are CRE + Healthcare the top 2 priorities?</w:t>
      </w:r>
    </w:p>
    <w:p>
      <w:pPr>
        <w:pStyle w:val="ListNumber"/>
      </w:pPr>
      <w:r>
        <w:t>Approve trade show attendance: Surfaces ($3-5k) + HDC ($2-3k)?</w:t>
      </w:r>
    </w:p>
    <w:p>
      <w:pPr>
        <w:pStyle w:val="ListNumber"/>
      </w:pPr>
      <w:r>
        <w:t>Approve LinkedIn sales engagement: Personalized outreach budget?</w:t>
      </w:r>
    </w:p>
    <w:p>
      <w:pPr>
        <w:pStyle w:val="ListNumber"/>
      </w:pPr>
      <w:r>
        <w:t>Approve domain registrations: glass.us or glassbogdan.us for domain strategy?</w:t>
      </w:r>
    </w:p>
    <w:p>
      <w:pPr>
        <w:pStyle w:val="ListNumber"/>
      </w:pPr>
      <w:r>
        <w:t>Assign primary sales lead: Who leads outreach (Catalin Horomnea directly or @glass-sales agent)?</w:t>
      </w:r>
    </w:p>
    <w:p>
      <w:pPr>
        <w:jc w:val="center"/>
      </w:pPr>
      <w:r>
        <w:rPr>
          <w:b/>
          <w:i/>
        </w:rPr>
        <w:t>Market Segmentation Strategy Ready for Execution — 15-20 Leads in 90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