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 NIGHTSHADE — Brief</w:t>
      </w:r>
    </w:p>
    <w:p>
      <w:r>
        <w:t>A short summary of recent perimeter incidents, prepared for internal distribution.</w:t>
      </w:r>
    </w:p>
    <w:p>
      <w:pPr>
        <w:pStyle w:val="Heading2"/>
      </w:pPr>
      <w:r>
        <w:t>Timeline</w:t>
      </w:r>
    </w:p>
    <w:p>
      <w:r>
        <w:t>22:15 — Camera 3 anomaly detected.</w:t>
      </w:r>
    </w:p>
    <w:p>
      <w:r>
        <w:t>23:18 — Perimeter sensor 7 tampered.</w:t>
      </w:r>
    </w:p>
    <w:p>
      <w:r>
        <w:t>03:40 — Vehicle exited the area.</w:t>
      </w:r>
    </w:p>
    <w:p>
      <w:pPr>
        <w:pStyle w:val="Heading2"/>
      </w:pPr>
      <w:r>
        <w:t>Recommendations</w:t>
      </w:r>
    </w:p>
    <w:p>
      <w:r>
        <w:t>Increase patrol frequency on the eastern perimeter for 14 nights.</w:t>
      </w:r>
    </w:p>
    <w:p>
      <w:r>
        <w:t>Cross-reference partial plate -47- against vehicles seen near other facilities.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