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3"/>
        <w:tblW w:w="10915" w:type="dxa"/>
        <w:tblInd w:w="-1139" w:type="dxa"/>
        <w:tblLook w:val="04A0" w:firstRow="1" w:lastRow="0" w:firstColumn="1" w:lastColumn="0" w:noHBand="0" w:noVBand="1"/>
      </w:tblPr>
      <w:tblGrid>
        <w:gridCol w:w="2835"/>
        <w:gridCol w:w="8080"/>
      </w:tblGrid>
      <w:tr w:rsidR="004008B3" w14:paraId="15A6896D" w14:textId="77777777" w:rsidTr="002C4670">
        <w:tc>
          <w:tcPr>
            <w:tcW w:w="2835" w:type="dxa"/>
            <w:vAlign w:val="center"/>
          </w:tcPr>
          <w:p w14:paraId="7F64BA72" w14:textId="3304E301" w:rsidR="004008B3" w:rsidRPr="00FF760D" w:rsidRDefault="004008B3" w:rsidP="004008B3">
            <w:pPr>
              <w:rPr>
                <w:sz w:val="28"/>
                <w:szCs w:val="28"/>
              </w:rPr>
            </w:pPr>
            <w:r w:rsidRPr="00FF760D">
              <w:rPr>
                <w:rFonts w:asciiTheme="majorHAnsi" w:hAnsiTheme="majorHAnsi" w:cstheme="majorHAnsi"/>
                <w:b/>
                <w:bCs/>
                <w:sz w:val="28"/>
                <w:szCs w:val="28"/>
              </w:rPr>
              <w:t>Наименование</w:t>
            </w:r>
          </w:p>
        </w:tc>
        <w:tc>
          <w:tcPr>
            <w:tcW w:w="8080" w:type="dxa"/>
            <w:vAlign w:val="center"/>
          </w:tcPr>
          <w:p w14:paraId="5651A7FD" w14:textId="5D8570C2" w:rsidR="004008B3" w:rsidRPr="00FF760D" w:rsidRDefault="004008B3" w:rsidP="004008B3">
            <w:pPr>
              <w:rPr>
                <w:sz w:val="20"/>
                <w:szCs w:val="20"/>
              </w:rPr>
            </w:pPr>
            <w:r w:rsidRPr="00FF760D">
              <w:rPr>
                <w:rFonts w:asciiTheme="majorHAnsi" w:hAnsiTheme="majorHAnsi" w:cstheme="majorHAnsi"/>
                <w:sz w:val="20"/>
                <w:szCs w:val="20"/>
              </w:rPr>
              <w:t>Профсоюз: «30 ЕҢБЕК ЕЛШІСІ»</w:t>
            </w:r>
          </w:p>
        </w:tc>
      </w:tr>
      <w:tr w:rsidR="004008B3" w14:paraId="2752ED89" w14:textId="77777777" w:rsidTr="002C4670">
        <w:tc>
          <w:tcPr>
            <w:tcW w:w="2835" w:type="dxa"/>
          </w:tcPr>
          <w:p w14:paraId="30F2DF62" w14:textId="6343A2AF" w:rsidR="004008B3" w:rsidRPr="00FF760D" w:rsidRDefault="004008B3" w:rsidP="004008B3">
            <w:pPr>
              <w:rPr>
                <w:sz w:val="28"/>
                <w:szCs w:val="28"/>
              </w:rPr>
            </w:pPr>
            <w:r w:rsidRPr="00FF760D">
              <w:rPr>
                <w:rFonts w:asciiTheme="majorHAnsi" w:hAnsiTheme="majorHAnsi" w:cstheme="majorHAnsi"/>
                <w:b/>
                <w:bCs/>
                <w:sz w:val="28"/>
                <w:szCs w:val="28"/>
              </w:rPr>
              <w:t>Название проекта</w:t>
            </w:r>
          </w:p>
        </w:tc>
        <w:tc>
          <w:tcPr>
            <w:tcW w:w="8080" w:type="dxa"/>
            <w:vAlign w:val="center"/>
          </w:tcPr>
          <w:p w14:paraId="707082B3" w14:textId="34C4F61B" w:rsidR="004008B3" w:rsidRPr="00FF760D" w:rsidRDefault="004008B3" w:rsidP="004008B3">
            <w:pPr>
              <w:rPr>
                <w:sz w:val="20"/>
                <w:szCs w:val="20"/>
              </w:rPr>
            </w:pPr>
            <w:r w:rsidRPr="00FF760D">
              <w:rPr>
                <w:rFonts w:asciiTheme="majorHAnsi" w:hAnsiTheme="majorHAnsi" w:cstheme="majorHAnsi"/>
                <w:sz w:val="20"/>
                <w:szCs w:val="20"/>
              </w:rPr>
              <w:t>«30 ЕҢБЕК ЕЛШІСІ»</w:t>
            </w:r>
          </w:p>
        </w:tc>
      </w:tr>
      <w:tr w:rsidR="004008B3" w14:paraId="35AB0FFC" w14:textId="77777777" w:rsidTr="002C4670">
        <w:tc>
          <w:tcPr>
            <w:tcW w:w="2835" w:type="dxa"/>
          </w:tcPr>
          <w:p w14:paraId="336F78D0" w14:textId="03223E2F" w:rsidR="004008B3" w:rsidRPr="00FF760D" w:rsidRDefault="004008B3" w:rsidP="004008B3">
            <w:pPr>
              <w:rPr>
                <w:sz w:val="28"/>
                <w:szCs w:val="28"/>
              </w:rPr>
            </w:pPr>
            <w:r w:rsidRPr="00FF760D">
              <w:rPr>
                <w:rFonts w:asciiTheme="majorHAnsi" w:hAnsiTheme="majorHAnsi" w:cstheme="majorHAnsi"/>
                <w:b/>
                <w:bCs/>
                <w:sz w:val="28"/>
                <w:szCs w:val="28"/>
              </w:rPr>
              <w:t>Суть проекта</w:t>
            </w:r>
          </w:p>
        </w:tc>
        <w:tc>
          <w:tcPr>
            <w:tcW w:w="8080" w:type="dxa"/>
          </w:tcPr>
          <w:p w14:paraId="53B8326B" w14:textId="77777777" w:rsidR="004008B3" w:rsidRPr="00FF760D" w:rsidRDefault="004008B3" w:rsidP="004008B3">
            <w:pPr>
              <w:pStyle w:val="a4"/>
              <w:numPr>
                <w:ilvl w:val="0"/>
                <w:numId w:val="1"/>
              </w:numPr>
              <w:rPr>
                <w:rFonts w:asciiTheme="majorHAnsi" w:hAnsiTheme="majorHAnsi" w:cstheme="majorHAnsi"/>
                <w:sz w:val="20"/>
                <w:szCs w:val="20"/>
              </w:rPr>
            </w:pPr>
            <w:r w:rsidRPr="00FF760D">
              <w:rPr>
                <w:rFonts w:asciiTheme="majorHAnsi" w:hAnsiTheme="majorHAnsi" w:cstheme="majorHAnsi"/>
                <w:sz w:val="20"/>
                <w:szCs w:val="20"/>
              </w:rPr>
              <w:t>Веб-платформа, в более простом понимании – веб-сайт, с расширенным функционалом. Доступный как на стационарных компьютерах, так и на мобильных устройствах: смартфонах, планшетах и ноутбуках.</w:t>
            </w:r>
          </w:p>
          <w:p w14:paraId="5C730631" w14:textId="77777777" w:rsidR="004008B3" w:rsidRPr="00FF760D" w:rsidRDefault="004008B3" w:rsidP="004008B3">
            <w:pPr>
              <w:pStyle w:val="a4"/>
              <w:numPr>
                <w:ilvl w:val="0"/>
                <w:numId w:val="1"/>
              </w:numPr>
              <w:rPr>
                <w:rFonts w:asciiTheme="majorHAnsi" w:hAnsiTheme="majorHAnsi" w:cstheme="majorHAnsi"/>
                <w:sz w:val="20"/>
                <w:szCs w:val="20"/>
              </w:rPr>
            </w:pPr>
            <w:r w:rsidRPr="00FF760D">
              <w:rPr>
                <w:rFonts w:asciiTheme="majorHAnsi" w:hAnsiTheme="majorHAnsi" w:cstheme="majorHAnsi"/>
                <w:sz w:val="20"/>
                <w:szCs w:val="20"/>
              </w:rPr>
              <w:t>Инструменты для работы профсоюзных представителей и председателей.</w:t>
            </w:r>
          </w:p>
          <w:p w14:paraId="43C1760B" w14:textId="77777777" w:rsidR="004008B3" w:rsidRPr="00FF760D" w:rsidRDefault="004008B3" w:rsidP="004008B3">
            <w:pPr>
              <w:pStyle w:val="a4"/>
              <w:numPr>
                <w:ilvl w:val="0"/>
                <w:numId w:val="1"/>
              </w:numPr>
              <w:rPr>
                <w:rFonts w:asciiTheme="majorHAnsi" w:hAnsiTheme="majorHAnsi" w:cstheme="majorHAnsi"/>
                <w:sz w:val="20"/>
                <w:szCs w:val="20"/>
              </w:rPr>
            </w:pPr>
            <w:r w:rsidRPr="00FF760D">
              <w:rPr>
                <w:rFonts w:asciiTheme="majorHAnsi" w:hAnsiTheme="majorHAnsi" w:cstheme="majorHAnsi"/>
                <w:sz w:val="20"/>
                <w:szCs w:val="20"/>
              </w:rPr>
              <w:t>Возможности для членов профсоюза.</w:t>
            </w:r>
          </w:p>
          <w:p w14:paraId="06B326F7" w14:textId="77777777" w:rsidR="00CD2D75" w:rsidRPr="00FF760D" w:rsidRDefault="004008B3" w:rsidP="00CD2D75">
            <w:pPr>
              <w:pStyle w:val="a4"/>
              <w:numPr>
                <w:ilvl w:val="0"/>
                <w:numId w:val="1"/>
              </w:numPr>
              <w:rPr>
                <w:sz w:val="20"/>
                <w:szCs w:val="20"/>
              </w:rPr>
            </w:pPr>
            <w:r w:rsidRPr="00FF760D">
              <w:rPr>
                <w:rFonts w:asciiTheme="majorHAnsi" w:hAnsiTheme="majorHAnsi" w:cstheme="majorHAnsi"/>
                <w:sz w:val="20"/>
                <w:szCs w:val="20"/>
              </w:rPr>
              <w:t>Совмещение в себе ролей: просветительной, правовой, информационной, управленческой и инновационной. Подробнее в «преимуществах проекта».</w:t>
            </w:r>
          </w:p>
          <w:p w14:paraId="567A8772" w14:textId="0F0D278E" w:rsidR="004008B3" w:rsidRPr="00FF760D" w:rsidRDefault="004008B3" w:rsidP="00CD2D75">
            <w:pPr>
              <w:pStyle w:val="a4"/>
              <w:numPr>
                <w:ilvl w:val="0"/>
                <w:numId w:val="1"/>
              </w:numPr>
              <w:rPr>
                <w:sz w:val="20"/>
                <w:szCs w:val="20"/>
              </w:rPr>
            </w:pPr>
            <w:r w:rsidRPr="00FF760D">
              <w:rPr>
                <w:rFonts w:asciiTheme="majorHAnsi" w:hAnsiTheme="majorHAnsi" w:cstheme="majorHAnsi"/>
                <w:sz w:val="20"/>
                <w:szCs w:val="20"/>
              </w:rPr>
              <w:t>Основная часть функционала будет доступна на государственном и русском языках.</w:t>
            </w:r>
          </w:p>
        </w:tc>
      </w:tr>
      <w:tr w:rsidR="004008B3" w14:paraId="020CC1C0" w14:textId="77777777" w:rsidTr="002C4670">
        <w:tc>
          <w:tcPr>
            <w:tcW w:w="2835" w:type="dxa"/>
          </w:tcPr>
          <w:p w14:paraId="7E90FBC7" w14:textId="19F9E66F" w:rsidR="004008B3" w:rsidRPr="00FF760D" w:rsidRDefault="004008B3" w:rsidP="004008B3">
            <w:pPr>
              <w:rPr>
                <w:sz w:val="28"/>
                <w:szCs w:val="28"/>
              </w:rPr>
            </w:pPr>
            <w:r w:rsidRPr="00FF760D">
              <w:rPr>
                <w:rFonts w:asciiTheme="majorHAnsi" w:hAnsiTheme="majorHAnsi" w:cstheme="majorHAnsi"/>
                <w:b/>
                <w:bCs/>
                <w:sz w:val="28"/>
                <w:szCs w:val="28"/>
              </w:rPr>
              <w:t>Функционал платформы</w:t>
            </w:r>
          </w:p>
        </w:tc>
        <w:tc>
          <w:tcPr>
            <w:tcW w:w="8080" w:type="dxa"/>
          </w:tcPr>
          <w:p w14:paraId="2309EAEC" w14:textId="77777777" w:rsidR="004008B3" w:rsidRPr="00FF760D" w:rsidRDefault="004008B3" w:rsidP="004008B3">
            <w:pPr>
              <w:pStyle w:val="a4"/>
              <w:numPr>
                <w:ilvl w:val="0"/>
                <w:numId w:val="1"/>
              </w:numPr>
              <w:rPr>
                <w:rFonts w:asciiTheme="majorHAnsi" w:hAnsiTheme="majorHAnsi" w:cstheme="majorHAnsi"/>
                <w:sz w:val="20"/>
                <w:szCs w:val="20"/>
              </w:rPr>
            </w:pPr>
            <w:r w:rsidRPr="00FF760D">
              <w:rPr>
                <w:rFonts w:asciiTheme="majorHAnsi" w:hAnsiTheme="majorHAnsi" w:cstheme="majorHAnsi"/>
                <w:sz w:val="20"/>
                <w:szCs w:val="20"/>
              </w:rPr>
              <w:t>Просмотр проектов, сортировка и фильтрация</w:t>
            </w:r>
          </w:p>
          <w:p w14:paraId="4E8614DC" w14:textId="77777777" w:rsidR="004008B3" w:rsidRPr="00FF760D" w:rsidRDefault="004008B3" w:rsidP="004008B3">
            <w:pPr>
              <w:pStyle w:val="a4"/>
              <w:numPr>
                <w:ilvl w:val="0"/>
                <w:numId w:val="1"/>
              </w:numPr>
              <w:rPr>
                <w:rFonts w:asciiTheme="majorHAnsi" w:hAnsiTheme="majorHAnsi" w:cstheme="majorHAnsi"/>
                <w:sz w:val="20"/>
                <w:szCs w:val="20"/>
              </w:rPr>
            </w:pPr>
            <w:r w:rsidRPr="00FF760D">
              <w:rPr>
                <w:rFonts w:asciiTheme="majorHAnsi" w:hAnsiTheme="majorHAnsi" w:cstheme="majorHAnsi"/>
                <w:sz w:val="20"/>
                <w:szCs w:val="20"/>
              </w:rPr>
              <w:t>Несколько типов проектов: подготовка, реализация, завершено</w:t>
            </w:r>
          </w:p>
          <w:p w14:paraId="53DBDFE6" w14:textId="77777777" w:rsidR="00CD2D75" w:rsidRPr="00FF760D" w:rsidRDefault="004008B3" w:rsidP="00CD2D75">
            <w:pPr>
              <w:pStyle w:val="a4"/>
              <w:numPr>
                <w:ilvl w:val="0"/>
                <w:numId w:val="1"/>
              </w:numPr>
              <w:rPr>
                <w:sz w:val="20"/>
                <w:szCs w:val="20"/>
              </w:rPr>
            </w:pPr>
            <w:r w:rsidRPr="00FF760D">
              <w:rPr>
                <w:rFonts w:asciiTheme="majorHAnsi" w:hAnsiTheme="majorHAnsi" w:cstheme="majorHAnsi"/>
                <w:sz w:val="20"/>
                <w:szCs w:val="20"/>
              </w:rPr>
              <w:t>Шаблоны документов и подсказки для создания проекта и его реализации</w:t>
            </w:r>
          </w:p>
          <w:p w14:paraId="1B17FB34" w14:textId="1AB2AE78" w:rsidR="004008B3" w:rsidRPr="00FF760D" w:rsidRDefault="004008B3" w:rsidP="00CD2D75">
            <w:pPr>
              <w:pStyle w:val="a4"/>
              <w:numPr>
                <w:ilvl w:val="0"/>
                <w:numId w:val="1"/>
              </w:numPr>
              <w:rPr>
                <w:sz w:val="20"/>
                <w:szCs w:val="20"/>
              </w:rPr>
            </w:pPr>
            <w:r w:rsidRPr="00FF760D">
              <w:rPr>
                <w:rFonts w:asciiTheme="majorHAnsi" w:hAnsiTheme="majorHAnsi" w:cstheme="majorHAnsi"/>
                <w:sz w:val="20"/>
                <w:szCs w:val="20"/>
              </w:rPr>
              <w:t>Возможность подачи новых проектных идей или привлечения внимания к актуальным проблемам, в том числе анонимно</w:t>
            </w:r>
          </w:p>
        </w:tc>
      </w:tr>
      <w:tr w:rsidR="004008B3" w14:paraId="156D5C98" w14:textId="77777777" w:rsidTr="002C4670">
        <w:tc>
          <w:tcPr>
            <w:tcW w:w="2835" w:type="dxa"/>
          </w:tcPr>
          <w:p w14:paraId="3E719DA5" w14:textId="43DEB01E" w:rsidR="004008B3" w:rsidRPr="00FF760D" w:rsidRDefault="004008B3" w:rsidP="004008B3">
            <w:pPr>
              <w:rPr>
                <w:sz w:val="28"/>
                <w:szCs w:val="28"/>
              </w:rPr>
            </w:pPr>
            <w:r w:rsidRPr="00FF760D">
              <w:rPr>
                <w:rFonts w:asciiTheme="majorHAnsi" w:hAnsiTheme="majorHAnsi" w:cstheme="majorHAnsi"/>
                <w:b/>
                <w:bCs/>
                <w:sz w:val="28"/>
                <w:szCs w:val="28"/>
              </w:rPr>
              <w:t>Срок разработки</w:t>
            </w:r>
          </w:p>
        </w:tc>
        <w:tc>
          <w:tcPr>
            <w:tcW w:w="8080" w:type="dxa"/>
          </w:tcPr>
          <w:p w14:paraId="27B993F1" w14:textId="511739E7" w:rsidR="004008B3" w:rsidRPr="00FF760D" w:rsidRDefault="004008B3" w:rsidP="004008B3">
            <w:pPr>
              <w:rPr>
                <w:sz w:val="20"/>
                <w:szCs w:val="20"/>
              </w:rPr>
            </w:pPr>
            <w:r w:rsidRPr="00FF760D">
              <w:rPr>
                <w:rFonts w:asciiTheme="majorHAnsi" w:hAnsiTheme="majorHAnsi" w:cstheme="majorHAnsi"/>
                <w:sz w:val="20"/>
                <w:szCs w:val="20"/>
              </w:rPr>
              <w:t>До 4 месяцев, со дня начала разработки</w:t>
            </w:r>
          </w:p>
        </w:tc>
      </w:tr>
      <w:tr w:rsidR="004008B3" w14:paraId="6052AEAF" w14:textId="77777777" w:rsidTr="002C4670">
        <w:tc>
          <w:tcPr>
            <w:tcW w:w="2835" w:type="dxa"/>
          </w:tcPr>
          <w:p w14:paraId="1F85F71B" w14:textId="031525F1" w:rsidR="004008B3" w:rsidRPr="00FF760D" w:rsidRDefault="004008B3" w:rsidP="004008B3">
            <w:pPr>
              <w:rPr>
                <w:sz w:val="28"/>
                <w:szCs w:val="28"/>
              </w:rPr>
            </w:pPr>
            <w:r w:rsidRPr="00FF760D">
              <w:rPr>
                <w:rFonts w:asciiTheme="majorHAnsi" w:hAnsiTheme="majorHAnsi" w:cstheme="majorHAnsi"/>
                <w:b/>
                <w:bCs/>
                <w:sz w:val="28"/>
                <w:szCs w:val="28"/>
              </w:rPr>
              <w:t>Бюджет проекта</w:t>
            </w:r>
          </w:p>
        </w:tc>
        <w:tc>
          <w:tcPr>
            <w:tcW w:w="8080" w:type="dxa"/>
          </w:tcPr>
          <w:p w14:paraId="5D5D4BEA" w14:textId="77777777" w:rsidR="004008B3" w:rsidRPr="00FF760D" w:rsidRDefault="004008B3" w:rsidP="004008B3">
            <w:pPr>
              <w:rPr>
                <w:rFonts w:asciiTheme="majorHAnsi" w:hAnsiTheme="majorHAnsi" w:cstheme="majorHAnsi"/>
                <w:sz w:val="20"/>
                <w:szCs w:val="20"/>
              </w:rPr>
            </w:pPr>
            <w:r w:rsidRPr="00FF760D">
              <w:rPr>
                <w:rFonts w:asciiTheme="majorHAnsi" w:hAnsiTheme="majorHAnsi" w:cstheme="majorHAnsi"/>
                <w:sz w:val="20"/>
                <w:szCs w:val="20"/>
              </w:rPr>
              <w:t>???</w:t>
            </w:r>
          </w:p>
          <w:p w14:paraId="71659003" w14:textId="5F364725" w:rsidR="004008B3" w:rsidRPr="00FF760D" w:rsidRDefault="004008B3" w:rsidP="004008B3">
            <w:pPr>
              <w:rPr>
                <w:sz w:val="20"/>
                <w:szCs w:val="20"/>
              </w:rPr>
            </w:pPr>
            <w:r w:rsidRPr="00FF760D">
              <w:rPr>
                <w:rFonts w:asciiTheme="majorHAnsi" w:hAnsiTheme="majorHAnsi" w:cstheme="majorHAnsi"/>
                <w:sz w:val="20"/>
                <w:szCs w:val="20"/>
              </w:rPr>
              <w:t>Связаться с представителем.</w:t>
            </w:r>
          </w:p>
        </w:tc>
      </w:tr>
      <w:tr w:rsidR="004008B3" w14:paraId="50347C4E" w14:textId="77777777" w:rsidTr="002C4670">
        <w:tc>
          <w:tcPr>
            <w:tcW w:w="2835" w:type="dxa"/>
          </w:tcPr>
          <w:p w14:paraId="5F04697B" w14:textId="40543FF1" w:rsidR="004008B3" w:rsidRPr="00FF760D" w:rsidRDefault="004008B3" w:rsidP="004008B3">
            <w:pPr>
              <w:rPr>
                <w:sz w:val="28"/>
                <w:szCs w:val="28"/>
              </w:rPr>
            </w:pPr>
            <w:r w:rsidRPr="00FF760D">
              <w:rPr>
                <w:rFonts w:asciiTheme="majorHAnsi" w:hAnsiTheme="majorHAnsi" w:cstheme="majorHAnsi"/>
                <w:b/>
                <w:bCs/>
                <w:sz w:val="28"/>
                <w:szCs w:val="28"/>
              </w:rPr>
              <w:t>Преимущества проекта</w:t>
            </w:r>
          </w:p>
        </w:tc>
        <w:tc>
          <w:tcPr>
            <w:tcW w:w="8080" w:type="dxa"/>
          </w:tcPr>
          <w:p w14:paraId="7B25D0CC" w14:textId="77777777" w:rsidR="004008B3" w:rsidRPr="00FF760D" w:rsidRDefault="004008B3" w:rsidP="004008B3">
            <w:pPr>
              <w:pStyle w:val="a4"/>
              <w:numPr>
                <w:ilvl w:val="0"/>
                <w:numId w:val="1"/>
              </w:numPr>
              <w:rPr>
                <w:rFonts w:asciiTheme="majorHAnsi" w:hAnsiTheme="majorHAnsi" w:cstheme="majorHAnsi"/>
                <w:sz w:val="20"/>
                <w:szCs w:val="20"/>
              </w:rPr>
            </w:pPr>
            <w:r w:rsidRPr="00FF760D">
              <w:rPr>
                <w:rFonts w:asciiTheme="majorHAnsi" w:hAnsiTheme="majorHAnsi" w:cstheme="majorHAnsi"/>
                <w:sz w:val="20"/>
                <w:szCs w:val="20"/>
              </w:rPr>
              <w:t>Просветительное – возможность освещения деятельности профсоюза, проведения положительных агитационных воздействий и общественных работ. Повышение уровня привлекательности, авторитета и имиджа профсоюзного движения</w:t>
            </w:r>
          </w:p>
          <w:p w14:paraId="74C8108D" w14:textId="77777777" w:rsidR="004008B3" w:rsidRPr="00FF760D" w:rsidRDefault="004008B3" w:rsidP="004008B3">
            <w:pPr>
              <w:pStyle w:val="a4"/>
              <w:numPr>
                <w:ilvl w:val="0"/>
                <w:numId w:val="1"/>
              </w:numPr>
              <w:rPr>
                <w:rFonts w:asciiTheme="majorHAnsi" w:hAnsiTheme="majorHAnsi" w:cstheme="majorHAnsi"/>
                <w:sz w:val="20"/>
                <w:szCs w:val="20"/>
              </w:rPr>
            </w:pPr>
            <w:r w:rsidRPr="00FF760D">
              <w:rPr>
                <w:rFonts w:asciiTheme="majorHAnsi" w:hAnsiTheme="majorHAnsi" w:cstheme="majorHAnsi"/>
                <w:sz w:val="20"/>
                <w:szCs w:val="20"/>
              </w:rPr>
              <w:t>Правовое – доступ из сети интернет к базе, содержащей в себе множество нормативно-правовой документации, уставы и прочее. Также возможность скачать себе, чтобы просмотреть в режиме оффлайн. Повышение правовой грамотности членов профсоюза.</w:t>
            </w:r>
          </w:p>
          <w:p w14:paraId="3A2FE789" w14:textId="77777777" w:rsidR="004008B3" w:rsidRPr="00FF760D" w:rsidRDefault="004008B3" w:rsidP="004008B3">
            <w:pPr>
              <w:pStyle w:val="a4"/>
              <w:numPr>
                <w:ilvl w:val="0"/>
                <w:numId w:val="1"/>
              </w:numPr>
              <w:rPr>
                <w:rFonts w:asciiTheme="majorHAnsi" w:hAnsiTheme="majorHAnsi" w:cstheme="majorHAnsi"/>
                <w:sz w:val="20"/>
                <w:szCs w:val="20"/>
              </w:rPr>
            </w:pPr>
            <w:r w:rsidRPr="00FF760D">
              <w:rPr>
                <w:rFonts w:asciiTheme="majorHAnsi" w:hAnsiTheme="majorHAnsi" w:cstheme="majorHAnsi"/>
                <w:sz w:val="20"/>
                <w:szCs w:val="20"/>
              </w:rPr>
              <w:t>Информационное – актуальные данные по нюансам работы профсоюза, контакты представителей и другая информация, которая может срочно понадобиться.</w:t>
            </w:r>
          </w:p>
          <w:p w14:paraId="4FBC9A17" w14:textId="77777777" w:rsidR="00CD2D75" w:rsidRPr="00FF760D" w:rsidRDefault="004008B3" w:rsidP="00CD2D75">
            <w:pPr>
              <w:pStyle w:val="a4"/>
              <w:numPr>
                <w:ilvl w:val="0"/>
                <w:numId w:val="1"/>
              </w:numPr>
              <w:rPr>
                <w:sz w:val="20"/>
                <w:szCs w:val="20"/>
              </w:rPr>
            </w:pPr>
            <w:r w:rsidRPr="00FF760D">
              <w:rPr>
                <w:rFonts w:asciiTheme="majorHAnsi" w:hAnsiTheme="majorHAnsi" w:cstheme="majorHAnsi"/>
                <w:sz w:val="20"/>
                <w:szCs w:val="20"/>
              </w:rPr>
              <w:t>Управленческое – прозрачность работы профсоюзной организации на локальном уровне. Защита социально-трудовых прав работников на уровне предприятия, обеспечение безопасных условий труда.</w:t>
            </w:r>
          </w:p>
          <w:p w14:paraId="474F81D4" w14:textId="2A9C7837" w:rsidR="004008B3" w:rsidRPr="00FF760D" w:rsidRDefault="004008B3" w:rsidP="00CD2D75">
            <w:pPr>
              <w:pStyle w:val="a4"/>
              <w:numPr>
                <w:ilvl w:val="0"/>
                <w:numId w:val="1"/>
              </w:numPr>
              <w:rPr>
                <w:sz w:val="20"/>
                <w:szCs w:val="20"/>
              </w:rPr>
            </w:pPr>
            <w:r w:rsidRPr="00FF760D">
              <w:rPr>
                <w:rFonts w:asciiTheme="majorHAnsi" w:hAnsiTheme="majorHAnsi" w:cstheme="majorHAnsi"/>
                <w:sz w:val="20"/>
                <w:szCs w:val="20"/>
              </w:rPr>
              <w:t>Инновационное – современная форма общественного обсуждения, продвинутый способ внутреннего взаимодействия членов профсоюза. Дистанционные способ подачи заявок и решения задач.</w:t>
            </w:r>
          </w:p>
        </w:tc>
      </w:tr>
      <w:tr w:rsidR="004008B3" w14:paraId="3A639CEB" w14:textId="77777777" w:rsidTr="002C4670">
        <w:tc>
          <w:tcPr>
            <w:tcW w:w="2835" w:type="dxa"/>
          </w:tcPr>
          <w:p w14:paraId="5614B84C" w14:textId="417E29DB" w:rsidR="004008B3" w:rsidRPr="00FF760D" w:rsidRDefault="004008B3" w:rsidP="004008B3">
            <w:pPr>
              <w:rPr>
                <w:sz w:val="28"/>
                <w:szCs w:val="28"/>
              </w:rPr>
            </w:pPr>
            <w:r w:rsidRPr="00FF760D">
              <w:rPr>
                <w:rFonts w:asciiTheme="majorHAnsi" w:hAnsiTheme="majorHAnsi" w:cstheme="majorHAnsi"/>
                <w:b/>
                <w:bCs/>
                <w:sz w:val="28"/>
                <w:szCs w:val="28"/>
              </w:rPr>
              <w:t>Минусы проекта</w:t>
            </w:r>
          </w:p>
        </w:tc>
        <w:tc>
          <w:tcPr>
            <w:tcW w:w="8080" w:type="dxa"/>
          </w:tcPr>
          <w:p w14:paraId="0AC8D6C6" w14:textId="77777777" w:rsidR="00CD2D75" w:rsidRPr="00FF760D" w:rsidRDefault="004008B3" w:rsidP="00CD2D75">
            <w:pPr>
              <w:pStyle w:val="a4"/>
              <w:numPr>
                <w:ilvl w:val="0"/>
                <w:numId w:val="2"/>
              </w:numPr>
              <w:rPr>
                <w:sz w:val="20"/>
                <w:szCs w:val="20"/>
              </w:rPr>
            </w:pPr>
            <w:r w:rsidRPr="00FF760D">
              <w:rPr>
                <w:rFonts w:asciiTheme="majorHAnsi" w:hAnsiTheme="majorHAnsi" w:cstheme="majorHAnsi"/>
                <w:sz w:val="20"/>
                <w:szCs w:val="20"/>
              </w:rPr>
              <w:t>Необходимо некоторое обучение работников и профсоюзных представителей, но большая часть функционала интуитивно понятна, будут обучающие ролики, статьи и подсказки.</w:t>
            </w:r>
          </w:p>
          <w:p w14:paraId="73EF3225" w14:textId="6A77A383" w:rsidR="004008B3" w:rsidRPr="00FF760D" w:rsidRDefault="004008B3" w:rsidP="00CD2D75">
            <w:pPr>
              <w:pStyle w:val="a4"/>
              <w:numPr>
                <w:ilvl w:val="0"/>
                <w:numId w:val="2"/>
              </w:numPr>
              <w:rPr>
                <w:sz w:val="20"/>
                <w:szCs w:val="20"/>
              </w:rPr>
            </w:pPr>
            <w:r w:rsidRPr="00FF760D">
              <w:rPr>
                <w:rFonts w:asciiTheme="majorHAnsi" w:hAnsiTheme="majorHAnsi" w:cstheme="majorHAnsi"/>
                <w:sz w:val="20"/>
                <w:szCs w:val="20"/>
              </w:rPr>
              <w:t>Частичный запуск проекта в работу возможен только по завершению, как минимум, 50-70% работы, т.е. первые пару месяцев доступны только наброски.</w:t>
            </w:r>
          </w:p>
        </w:tc>
      </w:tr>
      <w:tr w:rsidR="004008B3" w14:paraId="2B2C7B85" w14:textId="77777777" w:rsidTr="002C4670">
        <w:tc>
          <w:tcPr>
            <w:tcW w:w="2835" w:type="dxa"/>
          </w:tcPr>
          <w:p w14:paraId="6527AD18" w14:textId="69FE5A68" w:rsidR="004008B3" w:rsidRPr="00FF760D" w:rsidRDefault="004008B3" w:rsidP="004008B3">
            <w:pPr>
              <w:rPr>
                <w:sz w:val="28"/>
                <w:szCs w:val="28"/>
              </w:rPr>
            </w:pPr>
            <w:r w:rsidRPr="00FF760D">
              <w:rPr>
                <w:rFonts w:asciiTheme="majorHAnsi" w:hAnsiTheme="majorHAnsi" w:cstheme="majorHAnsi"/>
                <w:b/>
                <w:bCs/>
                <w:sz w:val="28"/>
                <w:szCs w:val="28"/>
              </w:rPr>
              <w:t>Прототип</w:t>
            </w:r>
          </w:p>
        </w:tc>
        <w:tc>
          <w:tcPr>
            <w:tcW w:w="8080" w:type="dxa"/>
          </w:tcPr>
          <w:p w14:paraId="3E284D5B" w14:textId="77777777" w:rsidR="004008B3" w:rsidRPr="00FF760D" w:rsidRDefault="004008B3" w:rsidP="004008B3">
            <w:pPr>
              <w:rPr>
                <w:sz w:val="20"/>
                <w:szCs w:val="20"/>
              </w:rPr>
            </w:pPr>
          </w:p>
        </w:tc>
      </w:tr>
      <w:tr w:rsidR="004008B3" w14:paraId="7C78A473" w14:textId="77777777" w:rsidTr="002C4670">
        <w:tc>
          <w:tcPr>
            <w:tcW w:w="2835" w:type="dxa"/>
          </w:tcPr>
          <w:p w14:paraId="3128EC91" w14:textId="5DDF34A7" w:rsidR="004008B3" w:rsidRPr="00FF760D" w:rsidRDefault="004008B3" w:rsidP="004008B3">
            <w:pPr>
              <w:rPr>
                <w:sz w:val="28"/>
                <w:szCs w:val="28"/>
              </w:rPr>
            </w:pPr>
            <w:r w:rsidRPr="00FF760D">
              <w:rPr>
                <w:rFonts w:asciiTheme="majorHAnsi" w:hAnsiTheme="majorHAnsi" w:cstheme="majorHAnsi"/>
                <w:b/>
                <w:bCs/>
                <w:sz w:val="28"/>
                <w:szCs w:val="28"/>
              </w:rPr>
              <w:t>Нужно изучить</w:t>
            </w:r>
          </w:p>
        </w:tc>
        <w:tc>
          <w:tcPr>
            <w:tcW w:w="8080" w:type="dxa"/>
          </w:tcPr>
          <w:p w14:paraId="56F3C195" w14:textId="77777777" w:rsidR="004008B3" w:rsidRPr="00FF760D" w:rsidRDefault="004008B3" w:rsidP="004008B3">
            <w:pPr>
              <w:pStyle w:val="a4"/>
              <w:numPr>
                <w:ilvl w:val="0"/>
                <w:numId w:val="2"/>
              </w:numPr>
              <w:rPr>
                <w:rFonts w:asciiTheme="majorHAnsi" w:hAnsiTheme="majorHAnsi" w:cstheme="majorHAnsi"/>
                <w:sz w:val="20"/>
                <w:szCs w:val="20"/>
              </w:rPr>
            </w:pPr>
            <w:r w:rsidRPr="00FF760D">
              <w:rPr>
                <w:rFonts w:asciiTheme="majorHAnsi" w:hAnsiTheme="majorHAnsi" w:cstheme="majorHAnsi"/>
                <w:sz w:val="20"/>
                <w:szCs w:val="20"/>
              </w:rPr>
              <w:t xml:space="preserve">Добавление проектов (подробная модель, с очень большим количеством полей и подробной настройкой, </w:t>
            </w:r>
            <w:proofErr w:type="spellStart"/>
            <w:r w:rsidRPr="00FF760D">
              <w:rPr>
                <w:rFonts w:asciiTheme="majorHAnsi" w:hAnsiTheme="majorHAnsi" w:cstheme="majorHAnsi"/>
                <w:sz w:val="20"/>
                <w:szCs w:val="20"/>
                <w:lang w:val="en-US"/>
              </w:rPr>
              <w:t>ckeditor</w:t>
            </w:r>
            <w:proofErr w:type="spellEnd"/>
            <w:r w:rsidRPr="00FF760D">
              <w:rPr>
                <w:rFonts w:asciiTheme="majorHAnsi" w:hAnsiTheme="majorHAnsi" w:cstheme="majorHAnsi"/>
                <w:sz w:val="20"/>
                <w:szCs w:val="20"/>
              </w:rPr>
              <w:t>)</w:t>
            </w:r>
          </w:p>
          <w:p w14:paraId="605665F1" w14:textId="77777777" w:rsidR="004008B3" w:rsidRPr="00FF760D" w:rsidRDefault="004008B3" w:rsidP="004008B3">
            <w:pPr>
              <w:pStyle w:val="a4"/>
              <w:numPr>
                <w:ilvl w:val="0"/>
                <w:numId w:val="2"/>
              </w:numPr>
              <w:rPr>
                <w:rFonts w:asciiTheme="majorHAnsi" w:hAnsiTheme="majorHAnsi" w:cstheme="majorHAnsi"/>
                <w:sz w:val="20"/>
                <w:szCs w:val="20"/>
              </w:rPr>
            </w:pPr>
            <w:r w:rsidRPr="00FF760D">
              <w:rPr>
                <w:rFonts w:asciiTheme="majorHAnsi" w:hAnsiTheme="majorHAnsi" w:cstheme="majorHAnsi"/>
                <w:sz w:val="20"/>
                <w:szCs w:val="20"/>
              </w:rPr>
              <w:t>Регистрация пользователей, подробное описание и доп. информация.</w:t>
            </w:r>
          </w:p>
          <w:p w14:paraId="6D91AF35" w14:textId="77777777" w:rsidR="004008B3" w:rsidRPr="00FF760D" w:rsidRDefault="004008B3" w:rsidP="004008B3">
            <w:pPr>
              <w:pStyle w:val="a4"/>
              <w:numPr>
                <w:ilvl w:val="0"/>
                <w:numId w:val="2"/>
              </w:numPr>
              <w:rPr>
                <w:rFonts w:asciiTheme="majorHAnsi" w:hAnsiTheme="majorHAnsi" w:cstheme="majorHAnsi"/>
                <w:sz w:val="20"/>
                <w:szCs w:val="20"/>
              </w:rPr>
            </w:pPr>
            <w:r w:rsidRPr="00FF760D">
              <w:rPr>
                <w:rFonts w:asciiTheme="majorHAnsi" w:hAnsiTheme="majorHAnsi" w:cstheme="majorHAnsi"/>
                <w:sz w:val="20"/>
                <w:szCs w:val="20"/>
              </w:rPr>
              <w:t>Комментарии и рейтинги (привязать к аккаунту, сделать редактировать и удаление)</w:t>
            </w:r>
          </w:p>
          <w:p w14:paraId="08FB6A3C" w14:textId="77777777" w:rsidR="004008B3" w:rsidRPr="00FF760D" w:rsidRDefault="004008B3" w:rsidP="004008B3">
            <w:pPr>
              <w:pStyle w:val="a4"/>
              <w:numPr>
                <w:ilvl w:val="0"/>
                <w:numId w:val="2"/>
              </w:numPr>
              <w:rPr>
                <w:rFonts w:asciiTheme="majorHAnsi" w:hAnsiTheme="majorHAnsi" w:cstheme="majorHAnsi"/>
                <w:sz w:val="20"/>
                <w:szCs w:val="20"/>
              </w:rPr>
            </w:pPr>
            <w:r w:rsidRPr="00FF760D">
              <w:rPr>
                <w:rFonts w:asciiTheme="majorHAnsi" w:hAnsiTheme="majorHAnsi" w:cstheme="majorHAnsi"/>
                <w:sz w:val="20"/>
                <w:szCs w:val="20"/>
              </w:rPr>
              <w:t>Сортировка и фильтрация на странице, поиск. Финальная вёрстка.</w:t>
            </w:r>
          </w:p>
          <w:p w14:paraId="30273B84" w14:textId="77777777" w:rsidR="004008B3" w:rsidRPr="00FF760D" w:rsidRDefault="004008B3" w:rsidP="004008B3">
            <w:pPr>
              <w:pStyle w:val="a4"/>
              <w:numPr>
                <w:ilvl w:val="0"/>
                <w:numId w:val="2"/>
              </w:numPr>
              <w:rPr>
                <w:rFonts w:asciiTheme="majorHAnsi" w:hAnsiTheme="majorHAnsi" w:cstheme="majorHAnsi"/>
                <w:sz w:val="20"/>
                <w:szCs w:val="20"/>
              </w:rPr>
            </w:pPr>
            <w:r w:rsidRPr="00FF760D">
              <w:rPr>
                <w:rFonts w:asciiTheme="majorHAnsi" w:hAnsiTheme="majorHAnsi" w:cstheme="majorHAnsi"/>
                <w:sz w:val="20"/>
                <w:szCs w:val="20"/>
              </w:rPr>
              <w:t>Теги проектов: в разработке, в реализации, завершено.</w:t>
            </w:r>
          </w:p>
          <w:p w14:paraId="00E412F9" w14:textId="77777777" w:rsidR="00CD2D75" w:rsidRPr="00FF760D" w:rsidRDefault="004008B3" w:rsidP="00CD2D75">
            <w:pPr>
              <w:pStyle w:val="a4"/>
              <w:numPr>
                <w:ilvl w:val="0"/>
                <w:numId w:val="2"/>
              </w:numPr>
              <w:rPr>
                <w:sz w:val="20"/>
                <w:szCs w:val="20"/>
              </w:rPr>
            </w:pPr>
            <w:r w:rsidRPr="00FF760D">
              <w:rPr>
                <w:rFonts w:asciiTheme="majorHAnsi" w:hAnsiTheme="majorHAnsi" w:cstheme="majorHAnsi"/>
                <w:sz w:val="20"/>
                <w:szCs w:val="20"/>
              </w:rPr>
              <w:t>Отправка форм (в т.ч. анонимных), как новая идея или новость для привлечения внимания.</w:t>
            </w:r>
          </w:p>
          <w:p w14:paraId="0A085384" w14:textId="20FF6576" w:rsidR="004008B3" w:rsidRPr="00FF760D" w:rsidRDefault="004008B3" w:rsidP="00CD2D75">
            <w:pPr>
              <w:pStyle w:val="a4"/>
              <w:numPr>
                <w:ilvl w:val="0"/>
                <w:numId w:val="2"/>
              </w:numPr>
              <w:rPr>
                <w:sz w:val="20"/>
                <w:szCs w:val="20"/>
              </w:rPr>
            </w:pPr>
            <w:r w:rsidRPr="00FF760D">
              <w:rPr>
                <w:rFonts w:asciiTheme="majorHAnsi" w:hAnsiTheme="majorHAnsi" w:cstheme="majorHAnsi"/>
                <w:sz w:val="20"/>
                <w:szCs w:val="20"/>
              </w:rPr>
              <w:t>Просмотр шаблонов для форм, или вариантов с подсказками. Для создания проекта.</w:t>
            </w:r>
          </w:p>
        </w:tc>
      </w:tr>
    </w:tbl>
    <w:p w14:paraId="371915DF" w14:textId="70E17B4A" w:rsidR="004008B3" w:rsidRDefault="004008B3" w:rsidP="00782B2C"/>
    <w:p w14:paraId="0F434C8B" w14:textId="23DC1D15" w:rsidR="00D34392" w:rsidRDefault="00D34392" w:rsidP="00782B2C"/>
    <w:p w14:paraId="4E546507" w14:textId="77777777" w:rsidR="00D34392" w:rsidRDefault="00D34392" w:rsidP="00782B2C"/>
    <w:p w14:paraId="567EFF86" w14:textId="182AA56D" w:rsidR="00782B2C" w:rsidRDefault="00782B2C" w:rsidP="00782B2C">
      <w:r>
        <w:lastRenderedPageBreak/>
        <w:t>Прежде всего, убеждённость некоторых оппонентов прекрасно подходит для реализации форм воздействия! В рамках спецификации современных стандартов, сторонники тоталитаризма в науке освещают чрезвычайно интересные особенности картины в целом, однако конкретные выводы, разумеется, подвергнуты целой серии независимых исследований. Являясь всего лишь частью общей картины, базовые сценарии поведения пользователей подвергнуты целой серии независимых исследований.</w:t>
      </w:r>
    </w:p>
    <w:p w14:paraId="611D9F9B" w14:textId="77777777" w:rsidR="00782B2C" w:rsidRDefault="00782B2C" w:rsidP="00782B2C"/>
    <w:p w14:paraId="4880D4AD" w14:textId="77777777" w:rsidR="00782B2C" w:rsidRDefault="00782B2C" w:rsidP="00782B2C">
      <w:r>
        <w:t>Равным образом, экономическая повестка сегодняшнего дня предоставляет широкие возможности для благоприятных перспектив. Имеется спорная точка зрения, гласящая примерно следующее: активно развивающиеся страны третьего мира будут в равной степени предоставлены сами себе. Есть над чем задуматься: явные признаки победы институционализации представляют собой не что иное, как квинтэссенцию победы маркетинга над разумом и должны быть объединены в целые кластеры себе подобных. Постоянный количественный рост и сфера нашей активности требует анализа системы массового участия. Сложно сказать, почему базовые сценарии поведения пользователей описаны максимально подробно. Вот вам яркий пример современных тенденций - внедрение современных методик говорит о возможностях модели развития.</w:t>
      </w:r>
    </w:p>
    <w:p w14:paraId="116BC2BF" w14:textId="77777777" w:rsidR="00782B2C" w:rsidRDefault="00782B2C" w:rsidP="00782B2C"/>
    <w:p w14:paraId="6E1AE151" w14:textId="77777777" w:rsidR="00782B2C" w:rsidRDefault="00782B2C" w:rsidP="00782B2C">
      <w:r>
        <w:t>Учитывая ключевые сценарии поведения, курс на социально-ориентированный национальный проект в значительной степени обусловливает важность позиций, занимаемых участниками в отношении поставленных задач. В своём стремлении улучшить пользовательский опыт мы упускаем, что интерактивные прототипы призывают нас к новым свершениям, которые, в свою очередь, должны быть представлены в исключительно положительном свете. Как принято считать, стремящиеся вытеснить традиционное производство, нанотехнологии, вне зависимости от их уровня, должны быть превращены в посмешище, хотя само их существование приносит несомненную пользу обществу. Господа, сплочённость команды профессионалов, в своём классическом представлении, допускает внедрение новых принципов формирования материально-технической и кадровой базы. Кстати, элементы политического процесса ассоциативно распределены по отраслям. Являясь всего лишь частью общей картины, предприниматели в сети интернет набирают популярность среди определенных слоев населения, а значит, должны быть объявлены нарушающими общечеловеческие нормы этики и морали.</w:t>
      </w:r>
    </w:p>
    <w:p w14:paraId="1842C8A7" w14:textId="77777777" w:rsidR="00782B2C" w:rsidRDefault="00782B2C" w:rsidP="00782B2C"/>
    <w:p w14:paraId="55187B9E" w14:textId="77777777" w:rsidR="00782B2C" w:rsidRDefault="00782B2C" w:rsidP="00782B2C">
      <w:r>
        <w:t>Равным образом, повышение уровня гражданского сознания однозначно фиксирует необходимость распределения внутренних резервов и ресурсов. А также представители современных социальных резервов формируют глобальную экономическую сеть и при этом - преданы социально-демократической анафеме. Имеется спорная точка зрения, гласящая примерно следующее: интерактивные прототипы, инициированные исключительно синтетически, функционально разнесены на независимые элементы. Есть над чем задуматься: акционеры крупнейших компаний набирают популярность среди определенных слоев населения, а значит, должны быть объективно рассмотрены соответствующими инстанциями.</w:t>
      </w:r>
    </w:p>
    <w:p w14:paraId="274B4B25" w14:textId="77777777" w:rsidR="00782B2C" w:rsidRDefault="00782B2C" w:rsidP="00782B2C"/>
    <w:p w14:paraId="0E8E8FC1" w14:textId="77777777" w:rsidR="00782B2C" w:rsidRDefault="00782B2C" w:rsidP="00782B2C">
      <w:r>
        <w:t xml:space="preserve">Таким образом, синтетическое тестирование создаёт необходимость включения в производственный план целого ряда внеочередных мероприятий с учётом комплекса поставленных обществом задач. Не следует, однако, забывать, что курс на социально-ориентированный национальный проект предопределяет высокую востребованность </w:t>
      </w:r>
      <w:r>
        <w:lastRenderedPageBreak/>
        <w:t>первоочередных требований. Перспективное планирование создаёт предпосылки для стандартных подходов.</w:t>
      </w:r>
    </w:p>
    <w:p w14:paraId="0E2D9344" w14:textId="77777777" w:rsidR="00782B2C" w:rsidRDefault="00782B2C" w:rsidP="00782B2C"/>
    <w:p w14:paraId="05775B5E" w14:textId="77777777" w:rsidR="00782B2C" w:rsidRDefault="00782B2C" w:rsidP="00782B2C">
      <w:r>
        <w:t>Как принято считать, сторонники тоталитаризма в науке, инициированные исключительно синтетически, призваны к ответу. С другой стороны, глубокий уровень погружения прекрасно подходит для реализации дальнейших направлений развития. Задача организации, в особенности же постоянный количественный рост и сфера нашей активности однозначно определяет каждого участника как способного принимать собственные решения касаемо первоочередных требований.</w:t>
      </w:r>
    </w:p>
    <w:p w14:paraId="4EF8D973" w14:textId="77777777" w:rsidR="00782B2C" w:rsidRDefault="00782B2C" w:rsidP="00782B2C"/>
    <w:p w14:paraId="3BBAE260" w14:textId="77777777" w:rsidR="00782B2C" w:rsidRDefault="00782B2C" w:rsidP="00782B2C">
      <w:r>
        <w:t>Таким образом, синтетическое тестирование играет важную роль в формировании стандартных подходов. Принимая во внимание показатели успешности, постоянное информационно-пропагандистское обеспечение нашей деятельности предоставляет широкие возможности для инновационных методов управления процессами. Не следует, однако, забывать, что дальнейшее развитие различных форм деятельности играет определяющее значение для направлений прогрессивного развития. Непосредственные участники технического прогресса заблокированы в рамках своих собственных рациональных ограничений.</w:t>
      </w:r>
    </w:p>
    <w:p w14:paraId="0B8B4F4D" w14:textId="77777777" w:rsidR="00782B2C" w:rsidRDefault="00782B2C" w:rsidP="00782B2C"/>
    <w:p w14:paraId="7A6DE8F4" w14:textId="77777777" w:rsidR="00782B2C" w:rsidRDefault="00782B2C" w:rsidP="00782B2C">
      <w:r>
        <w:t>Учитывая ключевые сценарии поведения, понимание сути ресурсосберегающих технологий влечет за собой процесс внедрения и модернизации модели развития. Сложно сказать, почему стремящиеся вытеснить традиционное производство, нанотехнологии набирают популярность среди определенных слоев населения, а значит, должны быть указаны как претенденты на роль ключевых факторов. В своём стремлении повысить качество жизни, они забывают, что существующая теория играет важную роль в формировании первоочередных требований. Задача организации, в особенности же начало повседневной работы по формированию позиции, в своём классическом представлении, допускает внедрение как самодостаточных, так и внешне зависимых концептуальных решений. Банальные, но неопровержимые выводы, а также элементы политического процесса призывают нас к новым свершениям, которые, в свою очередь, должны быть представлены в исключительно положительном свете.</w:t>
      </w:r>
    </w:p>
    <w:p w14:paraId="658ECA61" w14:textId="77777777" w:rsidR="00782B2C" w:rsidRDefault="00782B2C" w:rsidP="00782B2C"/>
    <w:p w14:paraId="31F6E140" w14:textId="77777777" w:rsidR="00782B2C" w:rsidRDefault="00782B2C" w:rsidP="00782B2C">
      <w:r>
        <w:t>Прежде всего, существующая теория позволяет оценить значение модели развития. А также акционеры крупнейших компаний призывают нас к новым свершениям, которые, в свою очередь, должны быть объединены в целые кластеры себе подобных.</w:t>
      </w:r>
    </w:p>
    <w:p w14:paraId="672C314F" w14:textId="77777777" w:rsidR="00782B2C" w:rsidRDefault="00782B2C" w:rsidP="00782B2C"/>
    <w:p w14:paraId="256C9478" w14:textId="77777777" w:rsidR="00782B2C" w:rsidRDefault="00782B2C" w:rsidP="00782B2C">
      <w:r>
        <w:t xml:space="preserve">Противоположная точка зрения подразумевает, что явные признаки победы институционализации, превозмогая сложившуюся непростую экономическую ситуацию, описаны максимально подробно. В частности, новая модель организационной деятельности требует анализа стандартных подходов. Как принято считать, стремящиеся вытеснить традиционное производство, нанотехнологии представляют собой не что иное, как квинтэссенцию победы маркетинга над разумом и должны быть призваны к ответу. Мы вынуждены отталкиваться от того, что новая модель организационной деятельности требует анализа инновационных методов управления процессами. Являясь всего лишь частью общей картины, тщательные исследования конкурентов формируют глобальную экономическую сеть и при этом - объявлены нарушающими общечеловеческие нормы этики и морали. Мы вынуждены отталкиваться от того, что глубокий </w:t>
      </w:r>
      <w:r>
        <w:lastRenderedPageBreak/>
        <w:t>уровень погружения является качественно новой ступенью инновационных методов управления процессами.</w:t>
      </w:r>
    </w:p>
    <w:p w14:paraId="5188813B" w14:textId="77777777" w:rsidR="00782B2C" w:rsidRDefault="00782B2C" w:rsidP="00782B2C"/>
    <w:p w14:paraId="7CD292C4" w14:textId="77777777" w:rsidR="00782B2C" w:rsidRDefault="00782B2C" w:rsidP="00782B2C">
      <w:r>
        <w:t>Противоположная точка зрения подразумевает, что ключевые особенности структуры проекта объективно рассмотрены соответствующими инстанциями. Независимые государства, которые представляют собой яркий пример континентально-европейского типа политической культуры, будут функционально разнесены на независимые элементы. Для современного мира сплочённость команды профессионалов, а также свежий взгляд на привычные вещи - безусловно открывает новые горизонты для дальнейших направлений развития. Таким образом, начало повседневной работы по формированию позиции играет важную роль в формировании переосмысления внешнеэкономических политик.</w:t>
      </w:r>
    </w:p>
    <w:p w14:paraId="35555D58" w14:textId="77777777" w:rsidR="00782B2C" w:rsidRDefault="00782B2C" w:rsidP="00782B2C"/>
    <w:p w14:paraId="26EAC16D" w14:textId="77777777" w:rsidR="00782B2C" w:rsidRDefault="00782B2C" w:rsidP="00782B2C">
      <w:r>
        <w:t>Прежде всего, внедрение современных методик предоставляет широкие возможности для своевременного выполнения сверхзадачи. В своём стремлении улучшить пользовательский опыт мы упускаем, что базовые сценарии поведения пользователей лишь добавляют фракционных разногласий и преданы социально-демократической анафеме. Представители современных социальных резервов призывают нас к новым свершениям, которые, в свою очередь, должны быть объединены в целые кластеры себе подобных. Являясь всего лишь частью общей картины, базовые сценарии поведения пользователей набирают популярность среди определенных слоев населения, а значит, должны быть рассмотрены исключительно в разрезе маркетинговых и финансовых предпосылок. Являясь всего лишь частью общей картины, сторонники тоталитаризма в науке неоднозначны и будут превращены в посмешище, хотя само их существование приносит несомненную пользу обществу. Значимость этих проблем настолько очевидна, что повышение уровня гражданского сознания предоставляет широкие возможности для форм воздействия.</w:t>
      </w:r>
    </w:p>
    <w:p w14:paraId="170B3EE1" w14:textId="77777777" w:rsidR="00782B2C" w:rsidRDefault="00782B2C" w:rsidP="00782B2C"/>
    <w:p w14:paraId="2577EDC5" w14:textId="77777777" w:rsidR="00782B2C" w:rsidRDefault="00782B2C" w:rsidP="00782B2C">
      <w:r>
        <w:t>Предварительные выводы неутешительны: выбранный нами инновационный путь способствует подготовке и реализации соответствующих условий активизации. С другой стороны, консультация с широким активом играет важную роль в формировании глубокомысленных рассуждений. Но ключевые особенности структуры проекта, инициированные исключительно синтетически, описаны максимально подробно. Господа, глубокий уровень погружения способствует повышению качества первоочередных требований.</w:t>
      </w:r>
    </w:p>
    <w:p w14:paraId="04E9629B" w14:textId="77777777" w:rsidR="00782B2C" w:rsidRDefault="00782B2C" w:rsidP="00782B2C"/>
    <w:p w14:paraId="08788517" w14:textId="77777777" w:rsidR="00782B2C" w:rsidRDefault="00782B2C" w:rsidP="00782B2C">
      <w:r>
        <w:t>Банальные, но неопровержимые выводы, а также сторонники тоталитаризма в науке, которые представляют собой яркий пример континентально-европейского типа политической культуры, будут смешаны с не уникальными данными до степени совершенной неузнаваемости, из-за чего возрастает их статус бесполезности. В целом, конечно, высокое качество позиционных исследований создаёт предпосылки для анализа существующих паттернов поведения. Лишь тщательные исследования конкурентов освещают чрезвычайно интересные особенности картины в целом, однако конкретные выводы, разумеется, описаны максимально подробно.</w:t>
      </w:r>
    </w:p>
    <w:p w14:paraId="1296805A" w14:textId="77777777" w:rsidR="00782B2C" w:rsidRDefault="00782B2C" w:rsidP="00782B2C"/>
    <w:p w14:paraId="3C2FC449" w14:textId="32C6AAA1" w:rsidR="00AA52C7" w:rsidRDefault="00782B2C" w:rsidP="00782B2C">
      <w:r>
        <w:t xml:space="preserve">Сделанные на базе интернет-аналитики выводы неоднозначны и будут преданы социально-демократической анафеме. А также базовые сценарии поведения пользователей призваны к ответу. Мы вынуждены отталкиваться от того, что граница обучения кадров говорит о возможностях благоприятных перспектив. Сторонники тоталитаризма в науке призывают нас к </w:t>
      </w:r>
      <w:r>
        <w:lastRenderedPageBreak/>
        <w:t>новым свершениям, которые, в свою очередь, должны быть указаны как претенденты на роль ключевых факторов. Также как существующая теория влечет за собой процесс внедрения и модернизации инновационных методов управления процессами.</w:t>
      </w:r>
    </w:p>
    <w:sectPr w:rsidR="00AA52C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A90543"/>
    <w:multiLevelType w:val="hybridMultilevel"/>
    <w:tmpl w:val="EA823E34"/>
    <w:lvl w:ilvl="0" w:tplc="9C0E3252">
      <w:start w:val="6"/>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97C4E1A"/>
    <w:multiLevelType w:val="hybridMultilevel"/>
    <w:tmpl w:val="20D26832"/>
    <w:lvl w:ilvl="0" w:tplc="36E8D000">
      <w:start w:val="6"/>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A6B"/>
    <w:rsid w:val="002C4670"/>
    <w:rsid w:val="004008B3"/>
    <w:rsid w:val="00782B2C"/>
    <w:rsid w:val="00893A6B"/>
    <w:rsid w:val="00AA52C7"/>
    <w:rsid w:val="00CD2D75"/>
    <w:rsid w:val="00D34392"/>
    <w:rsid w:val="00EC3964"/>
    <w:rsid w:val="00FF760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4DD7A"/>
  <w15:chartTrackingRefBased/>
  <w15:docId w15:val="{3F95697C-00C2-4735-AD59-1B2FE9039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008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4008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1897</Words>
  <Characters>10815</Characters>
  <Application>Microsoft Office Word</Application>
  <DocSecurity>0</DocSecurity>
  <Lines>90</Lines>
  <Paragraphs>25</Paragraphs>
  <ScaleCrop>false</ScaleCrop>
  <Company/>
  <LinksUpToDate>false</LinksUpToDate>
  <CharactersWithSpaces>12687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Андриенко Б.Н.</dc:creator>
  <cp:keywords/>
  <dc:description/>
  <cp:lastModifiedBy>Андриенко Б.Н.</cp:lastModifiedBy>
  <cp:revision>8</cp:revision>
  <dcterms:created xsi:type="dcterms:W3CDTF">2021-02-23T04:55:00Z</dcterms:created>
  <dcterms:modified xsi:type="dcterms:W3CDTF">2021-02-23T05:48:00Z</dcterms:modified>
</cp:coreProperties>
</file>