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775C8C" w:rsidRPr="00524B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 допомогою Object Oriented MicroMagnetic Framework (OOMMF) project at ITL/NIST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DD0E70">
        <w:rPr>
          <w:rFonts w:ascii="Times New Roman" w:eastAsia="Times New Roman" w:hAnsi="Times New Roman" w:cs="Times New Roman"/>
          <w:sz w:val="28"/>
          <w:szCs w:val="28"/>
          <w:lang w:val="uk-UA"/>
        </w:rPr>
        <w:t>22-2022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7D51C9" w:rsidRDefault="0075716A" w:rsidP="0075716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Pr="007D51C9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Магнітопружній вплив на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частоту феромагнітного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резонансу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.3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……………..………………..х</w:t>
      </w:r>
    </w:p>
    <w:p w:rsidR="00775E8A" w:rsidRPr="007D51C9" w:rsidRDefault="004848D3" w:rsidP="00DF03BB">
      <w:pPr>
        <w:pStyle w:val="a4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Вимірювання у вільному просторі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</w:t>
      </w:r>
      <w:bookmarkStart w:id="3" w:name="_GoBack"/>
      <w:bookmarkEnd w:id="3"/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рис. 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електронної системи феромагнітного зразка у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24B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24B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γ 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4B2E" w:rsidRPr="00524B2E" w:rsidRDefault="00524B2E" w:rsidP="00524B2E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Феромагнітний резонанс. </w:t>
      </w:r>
    </w:p>
    <w:p w:rsidR="00FF0B94" w:rsidRPr="00524B2E" w:rsidRDefault="00D04063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372602" w:rsidRDefault="00775C8C" w:rsidP="00775C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8C" w:rsidRPr="00524B2E" w:rsidRDefault="00524B2E" w:rsidP="00524B2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24B2E">
        <w:rPr>
          <w:rFonts w:ascii="Times New Roman" w:hAnsi="Times New Roman" w:cs="Times New Roman"/>
          <w:sz w:val="24"/>
          <w:szCs w:val="24"/>
          <w:lang w:val="uk-UA"/>
        </w:rPr>
        <w:t>Фіг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1. 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Графічна репрезентація метастатичних циркуляцій у нано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циліндрі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Суцільні лінії показують еквіпотенціальні лінії енергій нижніх станів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Штрихові лінії відповідають втраті стійкості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Кілька станів, представлених символами зі стрілками, можуть бути стабільними в затінених областях.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Крайній лівий в</w:t>
      </w:r>
      <w:r w:rsidRPr="00AB72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кожній групі вказує на основний стан. Формула показують асимптотику лінії переходу C-вихору, а інша штрих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524B2E">
        <w:rPr>
          <w:rFonts w:ascii="Times New Roman" w:hAnsi="Times New Roman" w:cs="Times New Roman"/>
          <w:sz w:val="24"/>
          <w:szCs w:val="24"/>
          <w:lang w:val="uk-UA"/>
        </w:rPr>
        <w:t>пунктирна лінія є рівноважний щодо зміну типу циркуляції.</w:t>
      </w:r>
    </w:p>
    <w:p w:rsidR="00A33E04" w:rsidRPr="00B71527" w:rsidRDefault="00A33E04" w:rsidP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8D3" w:rsidRPr="00B71527" w:rsidRDefault="006D68D3" w:rsidP="006D68D3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D04063" w:rsidRDefault="00B71527" w:rsidP="00D0406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704AC1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Використання коаксіального зразка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10EF2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ab/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Властивості матеріалу дослі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джуються шляхом занурення зразка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в рідину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(рис. 2.1)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 Структура полів на кінці пробника спотворя</w:t>
      </w:r>
      <w:r w:rsidR="008D4DEA">
        <w:rPr>
          <w:rFonts w:ascii="Times New Roman" w:hAnsi="Times New Roman" w:cs="Times New Roman"/>
          <w:sz w:val="28"/>
          <w:szCs w:val="28"/>
          <w:lang w:val="uk-UA"/>
        </w:rPr>
        <w:t>ться й зміниться коефіцієнт відбиття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відбиття)</w:t>
      </w:r>
      <w:r w:rsidRPr="00B71527">
        <w:rPr>
          <w:rFonts w:ascii="Times New Roman" w:hAnsi="Times New Roman" w:cs="Times New Roman"/>
          <w:sz w:val="28"/>
          <w:szCs w:val="28"/>
        </w:rPr>
        <w:t>.</w:t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1EB3" w:rsidRPr="00AA1EB3" w:rsidRDefault="00AA1EB3" w:rsidP="00AA1EB3">
      <w:pPr>
        <w:pStyle w:val="a4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</w:t>
      </w:r>
    </w:p>
    <w:p w:rsid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71900" cy="22098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Коксіальний зонд занурений у середовище (речовину) б) в) еквівалентні схеми відкритого кінця хвилевода.</w:t>
      </w:r>
    </w:p>
    <w:p w:rsidR="00BA362E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5206" w:rsidRPr="00B71527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Особливості методу: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Простий і зручний (не руйнуючий)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Обмежена точність вимірювання діелектричної проникності та можливість змінення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роздільної здатності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тангенсу кута втрат за низьких втрат.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Найкращий метод для рідин та пластичних матеріалів</w:t>
      </w:r>
    </w:p>
    <w:p w:rsidR="006E74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1.Товщина більша за половину довжини хвилі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2. Немагнітний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3. Ізотропний та однорідний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>4.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Плоска поверхня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5.Відсутність повітряних щілин</w:t>
      </w:r>
    </w:p>
    <w:p w:rsidR="005B5E26" w:rsidRPr="00B71527" w:rsidRDefault="0075716A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Неточність виміру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Нестабільність кабелю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Повітряні щілини</w:t>
      </w:r>
    </w:p>
    <w:p w:rsidR="00B71527" w:rsidRPr="00A3298F" w:rsidRDefault="005B5E26" w:rsidP="00A3298F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зразка</w:t>
      </w:r>
    </w:p>
    <w:p w:rsidR="00775E8A" w:rsidRPr="00B71527" w:rsidRDefault="00775E8A" w:rsidP="00775E8A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5B5E2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E26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лінії передач (хвилеводу)</w:t>
      </w:r>
    </w:p>
    <w:p w:rsidR="005B5E26" w:rsidRPr="00B71527" w:rsidRDefault="005B5E26" w:rsidP="005B5E26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Методи з використанням лінії передач (хвилеводу) містять розміщення зразка всередині частини закритої лінії передач. Матеріальні параметри знаходять за допомогою вимірів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коефіцієнтів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відбит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тя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3FDF" w:rsidRPr="00BA36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проходження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проходження зразка)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B71527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Обмежена роздільна здатність за низьких втрат (залежать від довжини зразка)</w:t>
      </w:r>
    </w:p>
    <w:p w:rsidR="00375206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мігнітних матеріалів</w:t>
      </w:r>
    </w:p>
    <w:p w:rsidR="00CD0BDA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анізотропних матеріалів</w:t>
      </w:r>
    </w:p>
    <w:p w:rsidR="00CD0BDA" w:rsidRPr="00B71527" w:rsidRDefault="00CD0BDA" w:rsidP="00CD0BDA">
      <w:pPr>
        <w:pStyle w:val="a4"/>
        <w:spacing w:after="200" w:line="276" w:lineRule="auto"/>
        <w:ind w:left="121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Зразок заповнює січення приладу підключення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щілин на стінках підключення ( відстані до стінок можуть бути вибрані спеціальні, наприклад  </w:t>
      </w:r>
      <m:oMath>
        <m:f>
          <m:fPr>
            <m:type m:val="skw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(довжина хвилі у хвилеводі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Гладкі і плоскі поверхні,  що розташовані перпендикулярно осі зразка</w:t>
      </w:r>
    </w:p>
    <w:p w:rsidR="00782E7B" w:rsidRP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Однорідність зразка</w:t>
      </w:r>
    </w:p>
    <w:p w:rsidR="00B71527" w:rsidRDefault="00B71527" w:rsidP="00782E7B">
      <w:pPr>
        <w:pStyle w:val="a4"/>
        <w:spacing w:after="200" w:line="276" w:lineRule="auto"/>
        <w:ind w:left="1571"/>
        <w:rPr>
          <w:rFonts w:ascii="Times New Roman" w:hAnsi="Times New Roman" w:cs="Times New Roman"/>
          <w:sz w:val="28"/>
          <w:szCs w:val="28"/>
          <w:lang w:val="uk-UA"/>
        </w:rPr>
      </w:pPr>
    </w:p>
    <w:p w:rsidR="00782E7B" w:rsidRPr="00B71527" w:rsidRDefault="00782E7B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B71527" w:rsidRDefault="00782E7B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сигналу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Недостатньо щільне прилягання матеріалу зразку до стінок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Порушення паралельності площин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що перпендикулярні осі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зразка</w:t>
      </w:r>
    </w:p>
    <w:p w:rsidR="00A406CE" w:rsidRP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06CE" w:rsidRPr="00B71527" w:rsidRDefault="00A406CE" w:rsidP="00A406CE">
      <w:pPr>
        <w:pStyle w:val="a4"/>
        <w:spacing w:after="200" w:line="276" w:lineRule="auto"/>
        <w:ind w:left="193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об</w:t>
      </w:r>
      <w:r w:rsidR="00AF6481" w:rsidRPr="00704AC1">
        <w:rPr>
          <w:rFonts w:ascii="Times New Roman" w:hAnsi="Times New Roman" w:cs="Times New Roman"/>
          <w:sz w:val="28"/>
          <w:szCs w:val="28"/>
        </w:rPr>
        <w:t>’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ємного резонатора</w:t>
      </w:r>
    </w:p>
    <w:p w:rsidR="00B71527" w:rsidRPr="00B71527" w:rsidRDefault="00B71527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Метод умовно можна поділити на дві групи. У першій збуджують резонанс всередині зразка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а у другій вносять зразок у поле опорного резонатору. В обох методах вимірюють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за якими вже визначають матеріальні параметри.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Pr="00B71527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Висока точність вимірювань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особливо для першої групи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Методи з першої групи підходять для вимірювання характеристик матеріалів з високим значенням діелектричної проникності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низьким.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з першої групи підходять для вимірювання характеристик матеріалів з низькими втратами</w:t>
      </w:r>
      <w:r w:rsidR="004B61C3"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великими.</w:t>
      </w:r>
    </w:p>
    <w:p w:rsidR="00F60034" w:rsidRPr="00B71527" w:rsidRDefault="004B61C3" w:rsidP="00BA362E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0034" w:rsidRPr="00B71527">
        <w:rPr>
          <w:rFonts w:ascii="Times New Roman" w:hAnsi="Times New Roman" w:cs="Times New Roman"/>
          <w:sz w:val="28"/>
          <w:szCs w:val="28"/>
          <w:lang w:val="uk-UA"/>
        </w:rPr>
        <w:t>пеціальна форма зразка для полегшення розрахунків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Default="00BA362E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F60034" w:rsidRPr="00B71527" w:rsidRDefault="00F60034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 методи з першої групи впливають неточності вимірювання розмірів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2867" w:rsidRPr="00B71527" w:rsidRDefault="00704AC1" w:rsidP="00704AC1">
      <w:pPr>
        <w:pStyle w:val="a4"/>
        <w:spacing w:after="200" w:line="276" w:lineRule="auto"/>
        <w:ind w:left="1843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4  </w:t>
      </w:r>
      <w:r w:rsidR="006D2867" w:rsidRPr="00B71527">
        <w:rPr>
          <w:rFonts w:ascii="Times New Roman" w:hAnsi="Times New Roman" w:cs="Times New Roman"/>
          <w:sz w:val="28"/>
          <w:szCs w:val="28"/>
          <w:lang w:val="uk-UA"/>
        </w:rPr>
        <w:t>Вимірювання у вільному просторі</w:t>
      </w:r>
    </w:p>
    <w:p w:rsidR="006D2867" w:rsidRPr="00B71527" w:rsidRDefault="006D2867" w:rsidP="006D286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6D286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В даній групі методів зразок опромінюють за допомогою антен. За допомогою тих самих антени вимірюють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14763" w:rsidRPr="00B7152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Безконтактний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не руйнуючий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Високочастотний – нижнє значення обмежено товщиною зразка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Може бути виміряний за високої температури</w:t>
      </w:r>
    </w:p>
    <w:p w:rsidR="00314763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Можливе змінення поляризації антен для вимірювання анізотропних матеріалів</w:t>
      </w:r>
    </w:p>
    <w:p w:rsidR="00855BDB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магнітних матеріалів</w:t>
      </w:r>
    </w:p>
    <w:p w:rsidR="00855BDB" w:rsidRPr="00B71527" w:rsidRDefault="00855BDB" w:rsidP="002B3D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Великі пласкі зразки з паралельними сторонами</w:t>
      </w:r>
    </w:p>
    <w:p w:rsidR="00855BDB" w:rsidRP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2B3D27">
        <w:rPr>
          <w:rFonts w:ascii="Times New Roman" w:hAnsi="Times New Roman" w:cs="Times New Roman"/>
          <w:sz w:val="28"/>
          <w:szCs w:val="28"/>
          <w:lang w:val="uk-UA"/>
        </w:rPr>
        <w:t>Однорідність</w:t>
      </w:r>
    </w:p>
    <w:p w:rsidR="00855BDB" w:rsidRPr="00B71527" w:rsidRDefault="00855BDB" w:rsidP="00855BDB">
      <w:pPr>
        <w:pStyle w:val="a4"/>
        <w:spacing w:after="200" w:line="276" w:lineRule="auto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690D7D" w:rsidRDefault="00855BDB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47C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 xml:space="preserve">Порушення паралельності площин паралельних площині, що перпендикулярна осі </w:t>
      </w:r>
      <w:r w:rsidR="00EA008A" w:rsidRPr="00690D7D">
        <w:rPr>
          <w:rFonts w:ascii="Times New Roman" w:hAnsi="Times New Roman" w:cs="Times New Roman"/>
          <w:sz w:val="28"/>
          <w:szCs w:val="28"/>
          <w:lang w:val="uk-UA"/>
        </w:rPr>
        <w:t>розповсюдження хвиль</w:t>
      </w:r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площин, о перпендикулярні напряму розповсюдження хвиль</w:t>
      </w:r>
    </w:p>
    <w:p w:rsidR="00E8147C" w:rsidRP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E8147C" w:rsidRPr="00B71527" w:rsidRDefault="00E814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8147C" w:rsidRPr="00B71527" w:rsidRDefault="004848D3" w:rsidP="00775E8A">
      <w:pPr>
        <w:pStyle w:val="a4"/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>Виведення формул для визначення діелектричної та магнітної проникності методом хвилеводу</w:t>
      </w:r>
    </w:p>
    <w:p w:rsidR="00C25680" w:rsidRPr="00B71527" w:rsidRDefault="00C25680" w:rsidP="00E8147C">
      <w:pPr>
        <w:pStyle w:val="a4"/>
        <w:spacing w:after="20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242CDA" w:rsidRPr="000C6FA2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3.1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43516A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3.2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B5D08" w:rsidRPr="00250021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діелектрична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- магнітна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 w:rsidR="002500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rad>
      </m:oMath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8147C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(3.3)</m:t>
          </m:r>
        </m:oMath>
      </m:oMathPara>
    </w:p>
    <w:p w:rsidR="00FB5D08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(3.4)</m:t>
          </m:r>
        </m:oMath>
      </m:oMathPara>
    </w:p>
    <w:p w:rsidR="000C6FA2" w:rsidRPr="000C6FA2" w:rsidRDefault="000C6FA2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C6FA2" w:rsidRPr="000C6FA2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</m:oMath>
      <w:r w:rsidR="000C6FA2" w:rsidRPr="000C6FA2">
        <w:rPr>
          <w:rFonts w:ascii="Times New Roman" w:hAnsi="Times New Roman" w:cs="Times New Roman"/>
          <w:sz w:val="28"/>
          <w:szCs w:val="28"/>
        </w:rPr>
        <w:t>,</w:t>
      </w:r>
      <w:r w:rsidR="000C6F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b>
        </m:sSub>
      </m:oMath>
      <w:r w:rsidR="000C6FA2">
        <w:rPr>
          <w:rFonts w:ascii="Times New Roman" w:hAnsi="Times New Roman" w:cs="Times New Roman"/>
          <w:sz w:val="28"/>
          <w:szCs w:val="28"/>
        </w:rPr>
        <w:t xml:space="preserve">- </w:t>
      </w:r>
      <w:r w:rsidR="000C6FA2">
        <w:rPr>
          <w:rFonts w:ascii="Times New Roman" w:hAnsi="Times New Roman" w:cs="Times New Roman"/>
          <w:sz w:val="28"/>
          <w:szCs w:val="28"/>
          <w:lang w:val="uk-UA"/>
        </w:rPr>
        <w:t>діелектричний та магнітний кут втрат</w:t>
      </w:r>
    </w:p>
    <w:p w:rsidR="00FB5D08" w:rsidRPr="000C6FA2" w:rsidRDefault="00FB5D08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872490</wp:posOffset>
            </wp:positionV>
            <wp:extent cx="5613400" cy="2355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31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B71527" w:rsidRDefault="00FB5D08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1 Хвилеводна секція з досліджуваним зразком.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– поперечні розміри хвилевода .</w:t>
      </w:r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- коефіціенти відбиття та проходження на границях 1 та 2 відповідно.</w:t>
      </w:r>
    </w:p>
    <w:p w:rsidR="00B653C5" w:rsidRPr="00B71527" w:rsidRDefault="00B653C5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C5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3.6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5417" w:rsidRPr="00B71527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 w:rsidR="00D97723" w:rsidRPr="00B71527">
        <w:rPr>
          <w:rFonts w:ascii="Times New Roman" w:hAnsi="Times New Roman" w:cs="Times New Roman"/>
          <w:sz w:val="28"/>
          <w:szCs w:val="28"/>
          <w:lang w:val="uk-UA"/>
        </w:rPr>
        <w:t>коефіцієнт відбивання в хвилев</w:t>
      </w:r>
      <w:r>
        <w:rPr>
          <w:rFonts w:ascii="Times New Roman" w:hAnsi="Times New Roman" w:cs="Times New Roman"/>
          <w:sz w:val="28"/>
          <w:szCs w:val="28"/>
          <w:lang w:val="uk-UA"/>
        </w:rPr>
        <w:t>оді на границі повітря – зразок</w:t>
      </w:r>
    </w:p>
    <w:p w:rsidR="00D97723" w:rsidRPr="00250021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Р – коефіцієнт розповсюдження через матеріал зразка в хвилеводі</w:t>
      </w:r>
    </w:p>
    <w:p w:rsidR="00250021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0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зразка у хвилеводі</w:t>
      </w:r>
    </w:p>
    <w:p w:rsidR="00AA1EB3" w:rsidRPr="00250021" w:rsidRDefault="00AA1EB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γ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стала розповсюдження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3.7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,(3.8)</m:t>
          </m:r>
        </m:oMath>
      </m:oMathPara>
    </w:p>
    <w:p w:rsidR="00D97723" w:rsidRPr="00B71527" w:rsidRDefault="002965AC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Р-Г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(3.9)</m:t>
          </m:r>
        </m:oMath>
      </m:oMathPara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±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ra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(3.10)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/>
            <m:sub/>
          </m:sSub>
        </m:oMath>
      </m:oMathPara>
    </w:p>
    <w:p w:rsidR="004A4421" w:rsidRPr="00B71527" w:rsidRDefault="004A4421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7723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(3.11)</m:t>
          </m:r>
        </m:oMath>
      </m:oMathPara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ln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Використовуючи дисперсійне рівняння для хвилевода:</w:t>
      </w: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кр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C00709" w:rsidRPr="00B7152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довжина хвилі у вакуумі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кр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>критична довжина хвилі у хвилеводі (залежить від його розмірів)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хвильові числа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(3.13)</m:t>
          </m:r>
        </m:oMath>
      </m:oMathPara>
    </w:p>
    <w:p w:rsidR="00E367DA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кр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*π</m:t>
                      </m:r>
                      <m:r>
                        <w:rPr>
                          <w:rFonts w:ascii="Times New Roman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3.14</m:t>
              </m:r>
            </m:e>
          </m:d>
        </m:oMath>
      </m:oMathPara>
    </w:p>
    <w:p w:rsidR="00E367DA" w:rsidRPr="00B71527" w:rsidRDefault="00E367DA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(1.18)</m:t>
          </m:r>
        </m:oMath>
      </m:oMathPara>
    </w:p>
    <w:p w:rsidR="00E367DA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 -</w:t>
      </w:r>
      <w:r w:rsidR="00C47B5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хвильові опори хвилевода з повітряним заповненням та з заповненням матеріалу зразка. Для хвиль типу ТЕ в хвилеводі ці опори рівні: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>,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47B5F" w:rsidRPr="00B71527" w:rsidRDefault="00C47B5F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-Г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кр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.(3.15)</m:t>
          </m:r>
        </m:oMath>
      </m:oMathPara>
    </w:p>
    <w:p w:rsidR="000C6FA2" w:rsidRDefault="000C6FA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C47B5F" w:rsidP="00897E0A">
      <w:pPr>
        <w:spacing w:after="200" w:line="276" w:lineRule="auto"/>
        <w:ind w:left="1429"/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71527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резонансу в наноциліндричному зразку.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3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4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2965AC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5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2965AC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2965AC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D2" w:rsidRDefault="00A924D2" w:rsidP="00775E8A">
      <w:r>
        <w:separator/>
      </w:r>
    </w:p>
  </w:endnote>
  <w:endnote w:type="continuationSeparator" w:id="0">
    <w:p w:rsidR="00A924D2" w:rsidRDefault="00A924D2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D2" w:rsidRDefault="00A924D2" w:rsidP="00775E8A">
      <w:r>
        <w:separator/>
      </w:r>
    </w:p>
  </w:footnote>
  <w:footnote w:type="continuationSeparator" w:id="0">
    <w:p w:rsidR="00A924D2" w:rsidRDefault="00A924D2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6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7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7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11"/>
  </w:num>
  <w:num w:numId="5">
    <w:abstractNumId w:val="24"/>
  </w:num>
  <w:num w:numId="6">
    <w:abstractNumId w:val="23"/>
  </w:num>
  <w:num w:numId="7">
    <w:abstractNumId w:val="19"/>
  </w:num>
  <w:num w:numId="8">
    <w:abstractNumId w:val="22"/>
  </w:num>
  <w:num w:numId="9">
    <w:abstractNumId w:val="0"/>
  </w:num>
  <w:num w:numId="10">
    <w:abstractNumId w:val="3"/>
  </w:num>
  <w:num w:numId="11">
    <w:abstractNumId w:val="27"/>
  </w:num>
  <w:num w:numId="12">
    <w:abstractNumId w:val="13"/>
  </w:num>
  <w:num w:numId="13">
    <w:abstractNumId w:val="1"/>
  </w:num>
  <w:num w:numId="14">
    <w:abstractNumId w:val="17"/>
  </w:num>
  <w:num w:numId="15">
    <w:abstractNumId w:val="28"/>
  </w:num>
  <w:num w:numId="16">
    <w:abstractNumId w:val="8"/>
  </w:num>
  <w:num w:numId="17">
    <w:abstractNumId w:val="7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18"/>
  </w:num>
  <w:num w:numId="23">
    <w:abstractNumId w:val="25"/>
  </w:num>
  <w:num w:numId="24">
    <w:abstractNumId w:val="2"/>
  </w:num>
  <w:num w:numId="25">
    <w:abstractNumId w:val="20"/>
  </w:num>
  <w:num w:numId="26">
    <w:abstractNumId w:val="4"/>
  </w:num>
  <w:num w:numId="27">
    <w:abstractNumId w:val="9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27CB"/>
    <w:rsid w:val="0009329B"/>
    <w:rsid w:val="000A0D23"/>
    <w:rsid w:val="000C3726"/>
    <w:rsid w:val="000C6FA2"/>
    <w:rsid w:val="000D2589"/>
    <w:rsid w:val="000D5417"/>
    <w:rsid w:val="000F0A20"/>
    <w:rsid w:val="000F3FDF"/>
    <w:rsid w:val="00112FC8"/>
    <w:rsid w:val="0013476B"/>
    <w:rsid w:val="001838B1"/>
    <w:rsid w:val="002242B6"/>
    <w:rsid w:val="00237147"/>
    <w:rsid w:val="00242CDA"/>
    <w:rsid w:val="00250021"/>
    <w:rsid w:val="002826C6"/>
    <w:rsid w:val="002965AC"/>
    <w:rsid w:val="002B3D27"/>
    <w:rsid w:val="00310EF2"/>
    <w:rsid w:val="00314763"/>
    <w:rsid w:val="00372602"/>
    <w:rsid w:val="00375206"/>
    <w:rsid w:val="00377963"/>
    <w:rsid w:val="003A7524"/>
    <w:rsid w:val="003B4ACA"/>
    <w:rsid w:val="003C6499"/>
    <w:rsid w:val="00414E4D"/>
    <w:rsid w:val="0043516A"/>
    <w:rsid w:val="00445FAF"/>
    <w:rsid w:val="004848D3"/>
    <w:rsid w:val="004A4421"/>
    <w:rsid w:val="004B61C3"/>
    <w:rsid w:val="004C1C80"/>
    <w:rsid w:val="004D64B7"/>
    <w:rsid w:val="00524B2E"/>
    <w:rsid w:val="005A0245"/>
    <w:rsid w:val="005A69CC"/>
    <w:rsid w:val="005B0E20"/>
    <w:rsid w:val="005B5E26"/>
    <w:rsid w:val="005F69B2"/>
    <w:rsid w:val="00690D7D"/>
    <w:rsid w:val="006D2867"/>
    <w:rsid w:val="006D68D3"/>
    <w:rsid w:val="006E7426"/>
    <w:rsid w:val="00704AC1"/>
    <w:rsid w:val="0070647F"/>
    <w:rsid w:val="00715675"/>
    <w:rsid w:val="00722E0A"/>
    <w:rsid w:val="00744E6E"/>
    <w:rsid w:val="0075716A"/>
    <w:rsid w:val="00764E6A"/>
    <w:rsid w:val="00775C8C"/>
    <w:rsid w:val="00775E8A"/>
    <w:rsid w:val="00782E7B"/>
    <w:rsid w:val="0079085C"/>
    <w:rsid w:val="007D51C9"/>
    <w:rsid w:val="007E1A41"/>
    <w:rsid w:val="007F03DF"/>
    <w:rsid w:val="007F1F52"/>
    <w:rsid w:val="008153CD"/>
    <w:rsid w:val="008246B7"/>
    <w:rsid w:val="00855BDB"/>
    <w:rsid w:val="008841F9"/>
    <w:rsid w:val="0088598E"/>
    <w:rsid w:val="00896407"/>
    <w:rsid w:val="00897E0A"/>
    <w:rsid w:val="008D4DEA"/>
    <w:rsid w:val="008E4A35"/>
    <w:rsid w:val="00933DE9"/>
    <w:rsid w:val="009812AC"/>
    <w:rsid w:val="00A15BE5"/>
    <w:rsid w:val="00A3298F"/>
    <w:rsid w:val="00A33E04"/>
    <w:rsid w:val="00A406CE"/>
    <w:rsid w:val="00A50056"/>
    <w:rsid w:val="00A644DF"/>
    <w:rsid w:val="00A65829"/>
    <w:rsid w:val="00A7331E"/>
    <w:rsid w:val="00A924D2"/>
    <w:rsid w:val="00AA1EB3"/>
    <w:rsid w:val="00AB1231"/>
    <w:rsid w:val="00AB72A1"/>
    <w:rsid w:val="00AF6481"/>
    <w:rsid w:val="00B2160D"/>
    <w:rsid w:val="00B653C5"/>
    <w:rsid w:val="00B7073C"/>
    <w:rsid w:val="00B71527"/>
    <w:rsid w:val="00BA362E"/>
    <w:rsid w:val="00BB4CB9"/>
    <w:rsid w:val="00BD73EC"/>
    <w:rsid w:val="00C00709"/>
    <w:rsid w:val="00C25680"/>
    <w:rsid w:val="00C47B5F"/>
    <w:rsid w:val="00CA3985"/>
    <w:rsid w:val="00CA3BC9"/>
    <w:rsid w:val="00CD0BDA"/>
    <w:rsid w:val="00D04063"/>
    <w:rsid w:val="00D20808"/>
    <w:rsid w:val="00D25203"/>
    <w:rsid w:val="00D646D8"/>
    <w:rsid w:val="00D84FB7"/>
    <w:rsid w:val="00D97723"/>
    <w:rsid w:val="00DB11CE"/>
    <w:rsid w:val="00DD0E70"/>
    <w:rsid w:val="00DF03BB"/>
    <w:rsid w:val="00E23655"/>
    <w:rsid w:val="00E24BF6"/>
    <w:rsid w:val="00E25059"/>
    <w:rsid w:val="00E367DA"/>
    <w:rsid w:val="00E8147C"/>
    <w:rsid w:val="00E954DB"/>
    <w:rsid w:val="00EA008A"/>
    <w:rsid w:val="00ED71A2"/>
    <w:rsid w:val="00EF29C7"/>
    <w:rsid w:val="00F24237"/>
    <w:rsid w:val="00F35A0F"/>
    <w:rsid w:val="00F60034"/>
    <w:rsid w:val="00F65E0B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3CF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dQw4w9WgXcQ&amp;ab_channel=RickAstley" TargetMode="External"/><Relationship Id="rId18" Type="http://schemas.openxmlformats.org/officeDocument/2006/relationships/hyperlink" Target="https://arxiv.org/abs/1704.022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nep.sumdu.edu.ua/download/numbers/2013/4/articles/jnep_2013_V5_0407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36949712_Numerical_investigation_of_dipole-exchange_spin_excitations_in_nickel_nanowires" TargetMode="External"/><Relationship Id="rId17" Type="http://schemas.openxmlformats.org/officeDocument/2006/relationships/hyperlink" Target="https://ieeexplore.ieee.org/document/71670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abs/1977ApPhy..12..261H/abstract" TargetMode="External"/><Relationship Id="rId20" Type="http://schemas.openxmlformats.org/officeDocument/2006/relationships/hyperlink" Target="https://arxiv.org/pdf/cond-mat/010930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59127659_Stress-Induced_Perpendicular_Magnetization_in_Epitaxial_Iron_Garnet_Thin_Fil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rxiv.org/abs/0807.19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0707.293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B6131-C8E9-483D-AE2F-B83C072E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15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75</cp:revision>
  <dcterms:created xsi:type="dcterms:W3CDTF">2020-12-03T05:28:00Z</dcterms:created>
  <dcterms:modified xsi:type="dcterms:W3CDTF">2022-12-08T17:31:00Z</dcterms:modified>
</cp:coreProperties>
</file>