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0E6" w:rsidRDefault="005460E6">
      <w:pPr>
        <w:pStyle w:val="BodyText"/>
        <w:rPr>
          <w:rFonts w:ascii="Times New Roman"/>
          <w:sz w:val="20"/>
        </w:rPr>
      </w:pPr>
    </w:p>
    <w:p w:rsidR="005460E6" w:rsidRDefault="005460E6">
      <w:pPr>
        <w:pStyle w:val="BodyText"/>
        <w:rPr>
          <w:rFonts w:ascii="Times New Roman"/>
          <w:sz w:val="20"/>
        </w:rPr>
      </w:pPr>
    </w:p>
    <w:p w:rsidR="005460E6" w:rsidRDefault="005460E6">
      <w:pPr>
        <w:pStyle w:val="BodyText"/>
        <w:rPr>
          <w:rFonts w:ascii="Times New Roman"/>
          <w:sz w:val="20"/>
        </w:rPr>
      </w:pPr>
    </w:p>
    <w:p w:rsidR="005460E6" w:rsidRDefault="005460E6">
      <w:pPr>
        <w:pStyle w:val="BodyText"/>
        <w:rPr>
          <w:rFonts w:ascii="Times New Roman"/>
          <w:sz w:val="20"/>
        </w:rPr>
      </w:pPr>
    </w:p>
    <w:p w:rsidR="005460E6" w:rsidRDefault="005460E6">
      <w:pPr>
        <w:pStyle w:val="BodyText"/>
        <w:rPr>
          <w:rFonts w:ascii="Times New Roman"/>
          <w:sz w:val="20"/>
        </w:rPr>
      </w:pPr>
    </w:p>
    <w:p w:rsidR="005460E6" w:rsidRDefault="005460E6">
      <w:pPr>
        <w:pStyle w:val="BodyText"/>
        <w:rPr>
          <w:rFonts w:ascii="Times New Roman"/>
          <w:sz w:val="20"/>
        </w:rPr>
      </w:pPr>
    </w:p>
    <w:p w:rsidR="005460E6" w:rsidRDefault="005460E6">
      <w:pPr>
        <w:pStyle w:val="BodyText"/>
        <w:rPr>
          <w:rFonts w:ascii="Times New Roman"/>
          <w:sz w:val="20"/>
        </w:rPr>
      </w:pPr>
    </w:p>
    <w:p w:rsidR="005460E6" w:rsidRDefault="005460E6">
      <w:pPr>
        <w:pStyle w:val="BodyText"/>
        <w:rPr>
          <w:rFonts w:ascii="Times New Roman"/>
          <w:sz w:val="20"/>
        </w:rPr>
      </w:pPr>
    </w:p>
    <w:p w:rsidR="005460E6" w:rsidRDefault="005460E6">
      <w:pPr>
        <w:pStyle w:val="BodyText"/>
        <w:rPr>
          <w:rFonts w:ascii="Times New Roman"/>
          <w:sz w:val="20"/>
        </w:rPr>
      </w:pPr>
    </w:p>
    <w:p w:rsidR="005460E6" w:rsidRDefault="005460E6">
      <w:pPr>
        <w:pStyle w:val="BodyText"/>
        <w:rPr>
          <w:rFonts w:ascii="Times New Roman"/>
          <w:sz w:val="20"/>
        </w:rPr>
      </w:pPr>
    </w:p>
    <w:p w:rsidR="005460E6" w:rsidRDefault="005460E6">
      <w:pPr>
        <w:pStyle w:val="BodyText"/>
        <w:rPr>
          <w:rFonts w:ascii="Times New Roman"/>
          <w:sz w:val="20"/>
        </w:rPr>
      </w:pPr>
      <w:bookmarkStart w:id="0" w:name="_GoBack"/>
      <w:bookmarkEnd w:id="0"/>
    </w:p>
    <w:p w:rsidR="005460E6" w:rsidRDefault="00C16507">
      <w:pPr>
        <w:spacing w:before="232"/>
        <w:ind w:left="100"/>
        <w:rPr>
          <w:b/>
          <w:sz w:val="52"/>
        </w:rPr>
      </w:pPr>
      <w:r>
        <w:rPr>
          <w:b/>
          <w:color w:val="022F39"/>
          <w:sz w:val="52"/>
        </w:rPr>
        <w:t>Offer</w:t>
      </w:r>
    </w:p>
    <w:p w:rsidR="005460E6" w:rsidRDefault="005460E6">
      <w:pPr>
        <w:pStyle w:val="BodyText"/>
        <w:rPr>
          <w:b/>
          <w:sz w:val="58"/>
        </w:rPr>
      </w:pPr>
    </w:p>
    <w:p w:rsidR="005460E6" w:rsidRDefault="00C16507">
      <w:pPr>
        <w:pStyle w:val="Heading2"/>
        <w:spacing w:before="513"/>
      </w:pPr>
      <w:proofErr w:type="spellStart"/>
      <w:r>
        <w:t>Gradle</w:t>
      </w:r>
      <w:proofErr w:type="spellEnd"/>
      <w:r>
        <w:t xml:space="preserve"> Enterprise</w:t>
      </w:r>
    </w:p>
    <w:p w:rsidR="005460E6" w:rsidRDefault="005460E6">
      <w:pPr>
        <w:pStyle w:val="BodyText"/>
        <w:spacing w:before="2"/>
        <w:rPr>
          <w:sz w:val="42"/>
        </w:rPr>
      </w:pPr>
    </w:p>
    <w:p w:rsidR="005460E6" w:rsidRDefault="00C16507">
      <w:pPr>
        <w:ind w:left="100"/>
        <w:rPr>
          <w:sz w:val="40"/>
        </w:rPr>
      </w:pPr>
      <w:r>
        <w:rPr>
          <w:color w:val="434343"/>
          <w:sz w:val="40"/>
        </w:rPr>
        <w:t xml:space="preserve">Between </w:t>
      </w:r>
      <w:proofErr w:type="spellStart"/>
      <w:r>
        <w:rPr>
          <w:color w:val="434343"/>
          <w:sz w:val="40"/>
        </w:rPr>
        <w:t>Gradle</w:t>
      </w:r>
      <w:proofErr w:type="spellEnd"/>
      <w:r>
        <w:rPr>
          <w:color w:val="434343"/>
          <w:sz w:val="40"/>
        </w:rPr>
        <w:t xml:space="preserve"> Inc</w:t>
      </w:r>
      <w:r w:rsidR="008A3B31">
        <w:rPr>
          <w:color w:val="434343"/>
          <w:sz w:val="40"/>
        </w:rPr>
        <w:t>.</w:t>
      </w:r>
      <w:r>
        <w:rPr>
          <w:color w:val="434343"/>
          <w:sz w:val="40"/>
        </w:rPr>
        <w:t xml:space="preserve"> and </w:t>
      </w:r>
      <w:proofErr w:type="spellStart"/>
      <w:r>
        <w:rPr>
          <w:color w:val="434343"/>
          <w:sz w:val="40"/>
        </w:rPr>
        <w:t>AppDynamics</w:t>
      </w:r>
      <w:proofErr w:type="spellEnd"/>
      <w:r w:rsidR="008A3B31">
        <w:rPr>
          <w:color w:val="434343"/>
          <w:sz w:val="40"/>
        </w:rPr>
        <w:t xml:space="preserve"> LLC</w:t>
      </w:r>
    </w:p>
    <w:p w:rsidR="005460E6" w:rsidRDefault="003F4C89">
      <w:pPr>
        <w:spacing w:before="365"/>
        <w:ind w:left="100"/>
        <w:rPr>
          <w:sz w:val="24"/>
        </w:rPr>
      </w:pPr>
      <w:r>
        <w:rPr>
          <w:color w:val="434343"/>
          <w:sz w:val="24"/>
        </w:rPr>
        <w:t>June 12</w:t>
      </w:r>
      <w:r w:rsidR="00C16507">
        <w:rPr>
          <w:color w:val="434343"/>
          <w:sz w:val="24"/>
        </w:rPr>
        <w:t>, 2018</w:t>
      </w:r>
    </w:p>
    <w:p w:rsidR="005460E6" w:rsidRDefault="005460E6">
      <w:pPr>
        <w:rPr>
          <w:sz w:val="24"/>
        </w:rPr>
        <w:sectPr w:rsidR="005460E6">
          <w:headerReference w:type="default" r:id="rId6"/>
          <w:type w:val="continuous"/>
          <w:pgSz w:w="12240" w:h="15840"/>
          <w:pgMar w:top="1880" w:right="1300" w:bottom="280" w:left="1340" w:header="783" w:footer="720" w:gutter="0"/>
          <w:cols w:space="720"/>
        </w:sectPr>
      </w:pPr>
    </w:p>
    <w:p w:rsidR="005460E6" w:rsidRDefault="005460E6">
      <w:pPr>
        <w:pStyle w:val="BodyText"/>
        <w:rPr>
          <w:sz w:val="20"/>
        </w:rPr>
      </w:pPr>
    </w:p>
    <w:p w:rsidR="005460E6" w:rsidRDefault="005460E6">
      <w:pPr>
        <w:pStyle w:val="BodyText"/>
        <w:spacing w:before="1"/>
        <w:rPr>
          <w:sz w:val="18"/>
        </w:rPr>
      </w:pPr>
    </w:p>
    <w:p w:rsidR="005460E6" w:rsidRDefault="00C16507">
      <w:pPr>
        <w:pStyle w:val="Heading1"/>
        <w:spacing w:before="85"/>
      </w:pPr>
      <w:r>
        <w:t>Product and Service Descriptions</w:t>
      </w:r>
    </w:p>
    <w:p w:rsidR="005460E6" w:rsidRDefault="00C16507">
      <w:pPr>
        <w:pStyle w:val="Heading3"/>
        <w:spacing w:before="341"/>
      </w:pPr>
      <w:proofErr w:type="spellStart"/>
      <w:r>
        <w:t>Gradle</w:t>
      </w:r>
      <w:proofErr w:type="spellEnd"/>
      <w:r>
        <w:t xml:space="preserve"> Enterprise</w:t>
      </w:r>
    </w:p>
    <w:p w:rsidR="005460E6" w:rsidRDefault="005460E6">
      <w:pPr>
        <w:pStyle w:val="BodyText"/>
        <w:spacing w:before="3"/>
        <w:rPr>
          <w:b/>
          <w:sz w:val="26"/>
        </w:rPr>
      </w:pPr>
    </w:p>
    <w:p w:rsidR="005460E6" w:rsidRDefault="00C16507">
      <w:pPr>
        <w:pStyle w:val="BodyText"/>
        <w:spacing w:line="285" w:lineRule="auto"/>
        <w:ind w:left="100" w:right="290"/>
      </w:pPr>
      <w:r>
        <w:t xml:space="preserve">Our commercial offering, </w:t>
      </w:r>
      <w:proofErr w:type="spellStart"/>
      <w:r>
        <w:t>Gradle</w:t>
      </w:r>
      <w:proofErr w:type="spellEnd"/>
      <w:r>
        <w:t xml:space="preserve"> Enterprise enables organizations to improve developer productivity and increase operational efficiencies of manufacturing software. </w:t>
      </w:r>
      <w:proofErr w:type="spellStart"/>
      <w:r>
        <w:t>Gradle</w:t>
      </w:r>
      <w:proofErr w:type="spellEnd"/>
      <w:r>
        <w:t xml:space="preserve"> Enterprise also reduces idle time for developers by monitoring and measuring every aspect of your build infrastructure, enabling you to continuously improve the speed and quality of service of your builds. With the data we are collecting, developers and build masters are empowered to determine the cause of failures quicker than ever before. Our advanced build cache feature dramatically reduces the wait times for local and CI builds, giving back time and focus to software engineers to do more important tasks.</w:t>
      </w:r>
    </w:p>
    <w:p w:rsidR="005460E6" w:rsidRDefault="005460E6">
      <w:pPr>
        <w:pStyle w:val="BodyText"/>
        <w:spacing w:before="2"/>
        <w:rPr>
          <w:sz w:val="20"/>
        </w:rPr>
      </w:pPr>
    </w:p>
    <w:p w:rsidR="005460E6" w:rsidRDefault="00C16507">
      <w:pPr>
        <w:pStyle w:val="BodyText"/>
        <w:spacing w:line="285" w:lineRule="auto"/>
        <w:ind w:left="100"/>
      </w:pPr>
      <w:proofErr w:type="spellStart"/>
      <w:r>
        <w:t>Gradle</w:t>
      </w:r>
      <w:proofErr w:type="spellEnd"/>
      <w:r>
        <w:t xml:space="preserve"> Inc. offers the </w:t>
      </w:r>
      <w:proofErr w:type="spellStart"/>
      <w:r>
        <w:t>Gradle</w:t>
      </w:r>
      <w:proofErr w:type="spellEnd"/>
      <w:r>
        <w:t xml:space="preserve"> Enterprise software as a customer on-premises deployment. The Licensed Software will be delivered electronically.</w:t>
      </w:r>
    </w:p>
    <w:p w:rsidR="005460E6" w:rsidRDefault="005460E6">
      <w:pPr>
        <w:pStyle w:val="BodyText"/>
        <w:spacing w:before="8"/>
        <w:rPr>
          <w:sz w:val="20"/>
        </w:rPr>
      </w:pPr>
    </w:p>
    <w:p w:rsidR="005460E6" w:rsidRDefault="00C16507">
      <w:pPr>
        <w:pStyle w:val="Heading1"/>
      </w:pPr>
      <w:r>
        <w:t>Fees and Payment Terms</w:t>
      </w:r>
    </w:p>
    <w:p w:rsidR="005460E6" w:rsidRDefault="00C16507">
      <w:pPr>
        <w:pStyle w:val="BodyText"/>
        <w:spacing w:before="341" w:after="44"/>
        <w:ind w:left="100"/>
      </w:pPr>
      <w:proofErr w:type="spellStart"/>
      <w:r>
        <w:t>Gradle</w:t>
      </w:r>
      <w:proofErr w:type="spellEnd"/>
      <w:r>
        <w:t xml:space="preserve"> is offering a term-based License of </w:t>
      </w:r>
      <w:proofErr w:type="spellStart"/>
      <w:r>
        <w:t>Gradle</w:t>
      </w:r>
      <w:proofErr w:type="spellEnd"/>
      <w:r>
        <w:t xml:space="preserve"> Enterprise.</w:t>
      </w:r>
    </w:p>
    <w:tbl>
      <w:tblPr>
        <w:tblW w:w="990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5"/>
        <w:gridCol w:w="1415"/>
        <w:gridCol w:w="1243"/>
        <w:gridCol w:w="1137"/>
        <w:gridCol w:w="1148"/>
        <w:gridCol w:w="1308"/>
        <w:gridCol w:w="2241"/>
      </w:tblGrid>
      <w:tr w:rsidR="008A3B31" w:rsidTr="003F4C89">
        <w:trPr>
          <w:trHeight w:val="353"/>
        </w:trPr>
        <w:tc>
          <w:tcPr>
            <w:tcW w:w="1415" w:type="dxa"/>
          </w:tcPr>
          <w:p w:rsidR="008A3B31" w:rsidRDefault="008A3B31">
            <w:pPr>
              <w:pStyle w:val="TableParagraph"/>
              <w:rPr>
                <w:b/>
              </w:rPr>
            </w:pPr>
          </w:p>
        </w:tc>
        <w:tc>
          <w:tcPr>
            <w:tcW w:w="8492" w:type="dxa"/>
            <w:gridSpan w:val="6"/>
          </w:tcPr>
          <w:p w:rsidR="008A3B31" w:rsidRDefault="008A3B31">
            <w:pPr>
              <w:pStyle w:val="TableParagraph"/>
              <w:rPr>
                <w:b/>
              </w:rPr>
            </w:pPr>
            <w:r>
              <w:rPr>
                <w:b/>
              </w:rPr>
              <w:t>Summary of Licensed Software</w:t>
            </w:r>
          </w:p>
        </w:tc>
      </w:tr>
      <w:tr w:rsidR="008A3B31" w:rsidTr="003F4C89">
        <w:trPr>
          <w:trHeight w:val="554"/>
        </w:trPr>
        <w:tc>
          <w:tcPr>
            <w:tcW w:w="2830" w:type="dxa"/>
            <w:gridSpan w:val="2"/>
          </w:tcPr>
          <w:p w:rsidR="008A3B31" w:rsidRDefault="008A3B31">
            <w:pPr>
              <w:pStyle w:val="TableParagraph"/>
              <w:spacing w:line="256" w:lineRule="auto"/>
              <w:ind w:right="919"/>
              <w:rPr>
                <w:b/>
              </w:rPr>
            </w:pPr>
            <w:r>
              <w:rPr>
                <w:b/>
              </w:rPr>
              <w:t>Licensed Software / Services</w:t>
            </w:r>
          </w:p>
        </w:tc>
        <w:tc>
          <w:tcPr>
            <w:tcW w:w="1243" w:type="dxa"/>
          </w:tcPr>
          <w:p w:rsidR="008A3B31" w:rsidRDefault="008A3B31">
            <w:pPr>
              <w:pStyle w:val="TableParagraph"/>
              <w:rPr>
                <w:b/>
              </w:rPr>
            </w:pPr>
            <w:r>
              <w:rPr>
                <w:b/>
              </w:rPr>
              <w:t>Term</w:t>
            </w:r>
          </w:p>
        </w:tc>
        <w:tc>
          <w:tcPr>
            <w:tcW w:w="1137" w:type="dxa"/>
          </w:tcPr>
          <w:p w:rsidR="008A3B31" w:rsidRDefault="008A3B31">
            <w:pPr>
              <w:pStyle w:val="TableParagraph"/>
              <w:ind w:left="0" w:right="101"/>
              <w:jc w:val="right"/>
              <w:rPr>
                <w:b/>
              </w:rPr>
            </w:pPr>
            <w:r>
              <w:rPr>
                <w:b/>
              </w:rPr>
              <w:t>Quantity</w:t>
            </w:r>
          </w:p>
        </w:tc>
        <w:tc>
          <w:tcPr>
            <w:tcW w:w="1148" w:type="dxa"/>
          </w:tcPr>
          <w:p w:rsidR="008A3B31" w:rsidRDefault="008A3B31">
            <w:pPr>
              <w:pStyle w:val="TableParagraph"/>
              <w:ind w:left="0" w:right="101"/>
              <w:jc w:val="right"/>
              <w:rPr>
                <w:b/>
              </w:rPr>
            </w:pPr>
            <w:r>
              <w:rPr>
                <w:b/>
              </w:rPr>
              <w:t>Discount</w:t>
            </w:r>
          </w:p>
        </w:tc>
        <w:tc>
          <w:tcPr>
            <w:tcW w:w="1308" w:type="dxa"/>
          </w:tcPr>
          <w:p w:rsidR="008A3B31" w:rsidRDefault="008A3B31">
            <w:pPr>
              <w:pStyle w:val="TableParagraph"/>
              <w:ind w:left="0" w:right="101"/>
              <w:jc w:val="right"/>
              <w:rPr>
                <w:b/>
              </w:rPr>
            </w:pPr>
            <w:r>
              <w:rPr>
                <w:b/>
              </w:rPr>
              <w:t>Unit Price</w:t>
            </w:r>
          </w:p>
        </w:tc>
        <w:tc>
          <w:tcPr>
            <w:tcW w:w="2241" w:type="dxa"/>
          </w:tcPr>
          <w:p w:rsidR="008A3B31" w:rsidRDefault="008A3B31">
            <w:pPr>
              <w:pStyle w:val="TableParagraph"/>
              <w:ind w:left="0" w:right="93"/>
              <w:jc w:val="right"/>
              <w:rPr>
                <w:b/>
              </w:rPr>
            </w:pPr>
            <w:r>
              <w:rPr>
                <w:b/>
              </w:rPr>
              <w:t>Total Price</w:t>
            </w:r>
          </w:p>
        </w:tc>
      </w:tr>
      <w:tr w:rsidR="008A3B31" w:rsidTr="003F4C89">
        <w:trPr>
          <w:trHeight w:val="498"/>
        </w:trPr>
        <w:tc>
          <w:tcPr>
            <w:tcW w:w="2830" w:type="dxa"/>
            <w:gridSpan w:val="2"/>
          </w:tcPr>
          <w:p w:rsidR="008A3B31" w:rsidRDefault="008A3B31">
            <w:pPr>
              <w:pStyle w:val="TableParagraph"/>
              <w:spacing w:line="252" w:lineRule="auto"/>
              <w:rPr>
                <w:sz w:val="16"/>
              </w:rPr>
            </w:pPr>
            <w:proofErr w:type="spellStart"/>
            <w:r>
              <w:t>Gradle</w:t>
            </w:r>
            <w:proofErr w:type="spellEnd"/>
            <w:r>
              <w:t xml:space="preserve"> Enterprise </w:t>
            </w:r>
            <w:r>
              <w:rPr>
                <w:vertAlign w:val="subscript"/>
              </w:rPr>
              <w:t>(includes</w:t>
            </w:r>
            <w:r>
              <w:t xml:space="preserve"> </w:t>
            </w:r>
            <w:r>
              <w:rPr>
                <w:sz w:val="16"/>
              </w:rPr>
              <w:t>maintenance and support)</w:t>
            </w:r>
          </w:p>
        </w:tc>
        <w:tc>
          <w:tcPr>
            <w:tcW w:w="1243" w:type="dxa"/>
          </w:tcPr>
          <w:p w:rsidR="008A3B31" w:rsidRDefault="008A3B31">
            <w:pPr>
              <w:pStyle w:val="TableParagraph"/>
            </w:pPr>
            <w:r>
              <w:t>36 months</w:t>
            </w:r>
          </w:p>
        </w:tc>
        <w:tc>
          <w:tcPr>
            <w:tcW w:w="1137" w:type="dxa"/>
          </w:tcPr>
          <w:p w:rsidR="008A3B31" w:rsidRDefault="008A3B31">
            <w:pPr>
              <w:pStyle w:val="TableParagraph"/>
              <w:ind w:left="0" w:right="101"/>
              <w:jc w:val="right"/>
            </w:pPr>
            <w:r>
              <w:t>300</w:t>
            </w:r>
          </w:p>
        </w:tc>
        <w:tc>
          <w:tcPr>
            <w:tcW w:w="1148" w:type="dxa"/>
          </w:tcPr>
          <w:p w:rsidR="008A3B31" w:rsidRDefault="008A3B31">
            <w:pPr>
              <w:pStyle w:val="TableParagraph"/>
              <w:ind w:left="0" w:right="93"/>
              <w:jc w:val="right"/>
            </w:pPr>
            <w:r>
              <w:t>25%</w:t>
            </w:r>
          </w:p>
        </w:tc>
        <w:tc>
          <w:tcPr>
            <w:tcW w:w="1308" w:type="dxa"/>
          </w:tcPr>
          <w:p w:rsidR="008A3B31" w:rsidRDefault="008A3B31">
            <w:pPr>
              <w:pStyle w:val="TableParagraph"/>
              <w:ind w:left="0" w:right="93"/>
              <w:jc w:val="right"/>
            </w:pPr>
            <w:r>
              <w:t>$412.50</w:t>
            </w:r>
          </w:p>
        </w:tc>
        <w:tc>
          <w:tcPr>
            <w:tcW w:w="2241" w:type="dxa"/>
          </w:tcPr>
          <w:p w:rsidR="008A3B31" w:rsidRDefault="008A3B31">
            <w:pPr>
              <w:pStyle w:val="TableParagraph"/>
              <w:ind w:left="0" w:right="106"/>
              <w:jc w:val="right"/>
            </w:pPr>
            <w:r>
              <w:t>$371,250</w:t>
            </w:r>
          </w:p>
        </w:tc>
      </w:tr>
      <w:tr w:rsidR="008A3B31" w:rsidTr="003F4C89">
        <w:trPr>
          <w:trHeight w:val="353"/>
        </w:trPr>
        <w:tc>
          <w:tcPr>
            <w:tcW w:w="1415" w:type="dxa"/>
          </w:tcPr>
          <w:p w:rsidR="008A3B31" w:rsidRDefault="008A3B31">
            <w:pPr>
              <w:pStyle w:val="TableParagraph"/>
              <w:ind w:left="0" w:right="104"/>
              <w:jc w:val="right"/>
            </w:pPr>
          </w:p>
        </w:tc>
        <w:tc>
          <w:tcPr>
            <w:tcW w:w="6251" w:type="dxa"/>
            <w:gridSpan w:val="5"/>
          </w:tcPr>
          <w:p w:rsidR="008A3B31" w:rsidRDefault="008A3B31">
            <w:pPr>
              <w:pStyle w:val="TableParagraph"/>
              <w:ind w:left="0" w:right="104"/>
              <w:jc w:val="right"/>
            </w:pPr>
            <w:r>
              <w:t>TOTAL</w:t>
            </w:r>
          </w:p>
        </w:tc>
        <w:tc>
          <w:tcPr>
            <w:tcW w:w="2241" w:type="dxa"/>
          </w:tcPr>
          <w:p w:rsidR="008A3B31" w:rsidRDefault="008A3B31">
            <w:pPr>
              <w:pStyle w:val="TableParagraph"/>
              <w:ind w:left="0" w:right="100"/>
              <w:jc w:val="right"/>
            </w:pPr>
            <w:r>
              <w:t>$371,250.00</w:t>
            </w:r>
          </w:p>
        </w:tc>
      </w:tr>
    </w:tbl>
    <w:p w:rsidR="005460E6" w:rsidRDefault="005460E6">
      <w:pPr>
        <w:pStyle w:val="BodyText"/>
        <w:rPr>
          <w:sz w:val="20"/>
        </w:rPr>
      </w:pPr>
    </w:p>
    <w:p w:rsidR="005460E6" w:rsidRDefault="005460E6">
      <w:pPr>
        <w:pStyle w:val="BodyText"/>
        <w:spacing w:before="11"/>
        <w:rPr>
          <w:sz w:val="26"/>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5460E6">
        <w:trPr>
          <w:trHeight w:val="475"/>
        </w:trPr>
        <w:tc>
          <w:tcPr>
            <w:tcW w:w="9360" w:type="dxa"/>
            <w:gridSpan w:val="3"/>
          </w:tcPr>
          <w:p w:rsidR="005460E6" w:rsidRDefault="00C16507">
            <w:pPr>
              <w:pStyle w:val="TableParagraph"/>
              <w:rPr>
                <w:b/>
              </w:rPr>
            </w:pPr>
            <w:r>
              <w:rPr>
                <w:b/>
              </w:rPr>
              <w:t xml:space="preserve">Volume Discount Tiers for a </w:t>
            </w:r>
            <w:proofErr w:type="gramStart"/>
            <w:r>
              <w:rPr>
                <w:b/>
              </w:rPr>
              <w:t>3 year</w:t>
            </w:r>
            <w:proofErr w:type="gramEnd"/>
            <w:r>
              <w:rPr>
                <w:b/>
              </w:rPr>
              <w:t xml:space="preserve">, prepaid </w:t>
            </w:r>
            <w:proofErr w:type="spellStart"/>
            <w:r>
              <w:rPr>
                <w:b/>
              </w:rPr>
              <w:t>Gradle</w:t>
            </w:r>
            <w:proofErr w:type="spellEnd"/>
            <w:r>
              <w:rPr>
                <w:b/>
              </w:rPr>
              <w:t xml:space="preserve"> Enterprise Purchase</w:t>
            </w:r>
          </w:p>
        </w:tc>
      </w:tr>
      <w:tr w:rsidR="005460E6">
        <w:trPr>
          <w:trHeight w:val="475"/>
        </w:trPr>
        <w:tc>
          <w:tcPr>
            <w:tcW w:w="3120" w:type="dxa"/>
          </w:tcPr>
          <w:p w:rsidR="005460E6" w:rsidRDefault="00C16507">
            <w:pPr>
              <w:pStyle w:val="TableParagraph"/>
            </w:pPr>
            <w:r>
              <w:t>Tier #</w:t>
            </w:r>
          </w:p>
        </w:tc>
        <w:tc>
          <w:tcPr>
            <w:tcW w:w="3120" w:type="dxa"/>
          </w:tcPr>
          <w:p w:rsidR="005460E6" w:rsidRDefault="00C16507">
            <w:pPr>
              <w:pStyle w:val="TableParagraph"/>
            </w:pPr>
            <w:r>
              <w:t>Number of Licenses</w:t>
            </w:r>
          </w:p>
        </w:tc>
        <w:tc>
          <w:tcPr>
            <w:tcW w:w="3120" w:type="dxa"/>
          </w:tcPr>
          <w:p w:rsidR="005460E6" w:rsidRDefault="00C16507">
            <w:pPr>
              <w:pStyle w:val="TableParagraph"/>
            </w:pPr>
            <w:r>
              <w:t>Percentage Discount</w:t>
            </w:r>
          </w:p>
        </w:tc>
      </w:tr>
      <w:tr w:rsidR="005460E6">
        <w:trPr>
          <w:trHeight w:val="475"/>
        </w:trPr>
        <w:tc>
          <w:tcPr>
            <w:tcW w:w="3120" w:type="dxa"/>
          </w:tcPr>
          <w:p w:rsidR="005460E6" w:rsidRDefault="00C16507">
            <w:pPr>
              <w:pStyle w:val="TableParagraph"/>
            </w:pPr>
            <w:r>
              <w:t>Tier 1</w:t>
            </w:r>
          </w:p>
        </w:tc>
        <w:tc>
          <w:tcPr>
            <w:tcW w:w="3120" w:type="dxa"/>
          </w:tcPr>
          <w:p w:rsidR="005460E6" w:rsidRDefault="00C16507">
            <w:pPr>
              <w:pStyle w:val="TableParagraph"/>
            </w:pPr>
            <w:r>
              <w:t>500 - 1000</w:t>
            </w:r>
          </w:p>
        </w:tc>
        <w:tc>
          <w:tcPr>
            <w:tcW w:w="3120" w:type="dxa"/>
          </w:tcPr>
          <w:p w:rsidR="005460E6" w:rsidRDefault="00C16507">
            <w:pPr>
              <w:pStyle w:val="TableParagraph"/>
            </w:pPr>
            <w:r>
              <w:t>10%</w:t>
            </w:r>
          </w:p>
        </w:tc>
      </w:tr>
      <w:tr w:rsidR="005460E6">
        <w:trPr>
          <w:trHeight w:val="475"/>
        </w:trPr>
        <w:tc>
          <w:tcPr>
            <w:tcW w:w="3120" w:type="dxa"/>
          </w:tcPr>
          <w:p w:rsidR="005460E6" w:rsidRDefault="00C16507">
            <w:pPr>
              <w:pStyle w:val="TableParagraph"/>
            </w:pPr>
            <w:r>
              <w:t>Tier 2</w:t>
            </w:r>
          </w:p>
        </w:tc>
        <w:tc>
          <w:tcPr>
            <w:tcW w:w="3120" w:type="dxa"/>
          </w:tcPr>
          <w:p w:rsidR="005460E6" w:rsidRDefault="00C16507">
            <w:pPr>
              <w:pStyle w:val="TableParagraph"/>
            </w:pPr>
            <w:r>
              <w:t>1000 - 2000</w:t>
            </w:r>
          </w:p>
        </w:tc>
        <w:tc>
          <w:tcPr>
            <w:tcW w:w="3120" w:type="dxa"/>
          </w:tcPr>
          <w:p w:rsidR="005460E6" w:rsidRDefault="00C16507">
            <w:pPr>
              <w:pStyle w:val="TableParagraph"/>
            </w:pPr>
            <w:r>
              <w:t>15%</w:t>
            </w:r>
          </w:p>
        </w:tc>
      </w:tr>
      <w:tr w:rsidR="005460E6">
        <w:trPr>
          <w:trHeight w:val="475"/>
        </w:trPr>
        <w:tc>
          <w:tcPr>
            <w:tcW w:w="3120" w:type="dxa"/>
          </w:tcPr>
          <w:p w:rsidR="005460E6" w:rsidRDefault="00C16507">
            <w:pPr>
              <w:pStyle w:val="TableParagraph"/>
            </w:pPr>
            <w:r>
              <w:t>Tier 3</w:t>
            </w:r>
          </w:p>
        </w:tc>
        <w:tc>
          <w:tcPr>
            <w:tcW w:w="3120" w:type="dxa"/>
          </w:tcPr>
          <w:p w:rsidR="005460E6" w:rsidRDefault="00C16507">
            <w:pPr>
              <w:pStyle w:val="TableParagraph"/>
            </w:pPr>
            <w:r>
              <w:t>2000 +</w:t>
            </w:r>
          </w:p>
        </w:tc>
        <w:tc>
          <w:tcPr>
            <w:tcW w:w="3120" w:type="dxa"/>
          </w:tcPr>
          <w:p w:rsidR="005460E6" w:rsidRDefault="00C16507">
            <w:pPr>
              <w:pStyle w:val="TableParagraph"/>
            </w:pPr>
            <w:r>
              <w:t>20%</w:t>
            </w:r>
          </w:p>
        </w:tc>
      </w:tr>
    </w:tbl>
    <w:p w:rsidR="005460E6" w:rsidRDefault="005460E6">
      <w:pPr>
        <w:sectPr w:rsidR="005460E6">
          <w:footerReference w:type="default" r:id="rId7"/>
          <w:pgSz w:w="12240" w:h="15840"/>
          <w:pgMar w:top="1880" w:right="1300" w:bottom="1220" w:left="1340" w:header="783" w:footer="1028" w:gutter="0"/>
          <w:pgNumType w:start="2"/>
          <w:cols w:space="720"/>
        </w:sectPr>
      </w:pPr>
    </w:p>
    <w:p w:rsidR="005460E6" w:rsidRPr="003F4C89" w:rsidRDefault="008A3B31" w:rsidP="003F4C89">
      <w:pPr>
        <w:pStyle w:val="BodyText"/>
        <w:ind w:left="90"/>
      </w:pPr>
      <w:r w:rsidRPr="003F4C89">
        <w:lastRenderedPageBreak/>
        <w:t xml:space="preserve">Customer will be provided volume discounts based on the number of licenses purchased per the </w:t>
      </w:r>
      <w:r w:rsidR="003F4C89">
        <w:t xml:space="preserve">   </w:t>
      </w:r>
      <w:proofErr w:type="gramStart"/>
      <w:r w:rsidRPr="003F4C89">
        <w:t>table  above</w:t>
      </w:r>
      <w:proofErr w:type="gramEnd"/>
      <w:r w:rsidR="006338A4" w:rsidRPr="003F4C89">
        <w:t xml:space="preserve">. Volume discounts are based on the total licenses purchased by Cisco Systems, Inc. and Customer. </w:t>
      </w:r>
    </w:p>
    <w:p w:rsidR="005460E6" w:rsidRDefault="005460E6">
      <w:pPr>
        <w:pStyle w:val="BodyText"/>
        <w:rPr>
          <w:sz w:val="20"/>
        </w:rPr>
      </w:pPr>
    </w:p>
    <w:p w:rsidR="005460E6" w:rsidRDefault="005460E6">
      <w:pPr>
        <w:pStyle w:val="BodyText"/>
        <w:rPr>
          <w:sz w:val="19"/>
        </w:rPr>
      </w:pPr>
    </w:p>
    <w:p w:rsidR="005460E6" w:rsidRDefault="00C16507">
      <w:pPr>
        <w:pStyle w:val="BodyText"/>
        <w:spacing w:line="285" w:lineRule="auto"/>
        <w:ind w:left="100"/>
      </w:pPr>
      <w:r>
        <w:t>The payment terms of the invoice will be Net 30. All payments must be made in U.S. dollars. In principle orders are non-cancellable, and all amounts paid are non-refundable and</w:t>
      </w:r>
    </w:p>
    <w:p w:rsidR="005460E6" w:rsidRDefault="00C16507">
      <w:pPr>
        <w:pStyle w:val="BodyText"/>
        <w:spacing w:line="251" w:lineRule="exact"/>
        <w:ind w:left="100"/>
      </w:pPr>
      <w:r>
        <w:t>non-creditable.</w:t>
      </w:r>
    </w:p>
    <w:p w:rsidR="005460E6" w:rsidRDefault="005460E6">
      <w:pPr>
        <w:pStyle w:val="BodyText"/>
        <w:spacing w:before="11"/>
        <w:rPr>
          <w:sz w:val="24"/>
        </w:rPr>
      </w:pPr>
    </w:p>
    <w:p w:rsidR="005460E6" w:rsidRDefault="00C16507">
      <w:pPr>
        <w:pStyle w:val="BodyText"/>
        <w:spacing w:line="285" w:lineRule="auto"/>
        <w:ind w:left="100"/>
      </w:pPr>
      <w:r>
        <w:t xml:space="preserve">The fees payable to </w:t>
      </w:r>
      <w:proofErr w:type="spellStart"/>
      <w:r>
        <w:t>Gradle</w:t>
      </w:r>
      <w:proofErr w:type="spellEnd"/>
      <w:r>
        <w:t xml:space="preserve"> exclude all applicable sales, use, and other taxes and all applicable export and import fees, custom duties and similar charges</w:t>
      </w:r>
    </w:p>
    <w:p w:rsidR="005460E6" w:rsidRDefault="005460E6">
      <w:pPr>
        <w:pStyle w:val="BodyText"/>
        <w:spacing w:before="7"/>
        <w:rPr>
          <w:sz w:val="20"/>
        </w:rPr>
      </w:pPr>
    </w:p>
    <w:p w:rsidR="005460E6" w:rsidRDefault="00C16507">
      <w:pPr>
        <w:pStyle w:val="BodyText"/>
        <w:spacing w:line="285" w:lineRule="auto"/>
        <w:ind w:left="100" w:right="290"/>
      </w:pPr>
      <w:r>
        <w:t xml:space="preserve">The Customer may purchase additional authorized user licenses during the term of the agreement at any time with notice to </w:t>
      </w:r>
      <w:proofErr w:type="spellStart"/>
      <w:r>
        <w:t>Gradle</w:t>
      </w:r>
      <w:proofErr w:type="spellEnd"/>
      <w:r>
        <w:t xml:space="preserve">. Customer will be charged the same amount </w:t>
      </w:r>
      <w:r w:rsidR="008A3B31">
        <w:t xml:space="preserve">(plus volume discount if applicable) </w:t>
      </w:r>
      <w:r>
        <w:t>on a per-Authorized User basis for the then-current initial or Renewal Term, pro-rated for the remainder of the the-current Initial or Renewal Term.</w:t>
      </w:r>
    </w:p>
    <w:p w:rsidR="005460E6" w:rsidRDefault="005460E6">
      <w:pPr>
        <w:pStyle w:val="BodyText"/>
        <w:rPr>
          <w:sz w:val="24"/>
        </w:rPr>
      </w:pPr>
    </w:p>
    <w:p w:rsidR="005460E6" w:rsidRDefault="005460E6">
      <w:pPr>
        <w:pStyle w:val="BodyText"/>
        <w:spacing w:before="6"/>
      </w:pPr>
    </w:p>
    <w:p w:rsidR="005460E6" w:rsidRDefault="00C16507">
      <w:pPr>
        <w:pStyle w:val="BodyText"/>
        <w:spacing w:before="1" w:line="398" w:lineRule="auto"/>
        <w:ind w:left="100" w:right="4042"/>
      </w:pPr>
      <w:r>
        <w:t>Pricing and terms of this Offer Form are confidential. The offer is valid for 30 days from the date of the offer.</w:t>
      </w:r>
    </w:p>
    <w:p w:rsidR="005460E6" w:rsidRDefault="00C16507">
      <w:pPr>
        <w:pStyle w:val="Heading1"/>
        <w:spacing w:before="210" w:line="285" w:lineRule="auto"/>
      </w:pPr>
      <w:r>
        <w:t>Software Maintenance and Technical Support</w:t>
      </w:r>
    </w:p>
    <w:p w:rsidR="005460E6" w:rsidRDefault="00C16507">
      <w:pPr>
        <w:pStyle w:val="Heading3"/>
      </w:pPr>
      <w:proofErr w:type="spellStart"/>
      <w:r>
        <w:t>Gradle</w:t>
      </w:r>
      <w:proofErr w:type="spellEnd"/>
      <w:r>
        <w:t xml:space="preserve"> Enterprise</w:t>
      </w:r>
    </w:p>
    <w:p w:rsidR="005460E6" w:rsidRDefault="005460E6">
      <w:pPr>
        <w:pStyle w:val="BodyText"/>
        <w:spacing w:before="3"/>
        <w:rPr>
          <w:b/>
          <w:sz w:val="26"/>
        </w:rPr>
      </w:pPr>
    </w:p>
    <w:p w:rsidR="005460E6" w:rsidRDefault="00C16507">
      <w:pPr>
        <w:pStyle w:val="BodyText"/>
        <w:spacing w:line="285" w:lineRule="auto"/>
        <w:ind w:left="100" w:right="504"/>
      </w:pPr>
      <w:r>
        <w:t xml:space="preserve">Maintenance and Support is included in the License Fee for term-based licenses. </w:t>
      </w:r>
      <w:proofErr w:type="spellStart"/>
      <w:r>
        <w:t>Gradle</w:t>
      </w:r>
      <w:proofErr w:type="spellEnd"/>
      <w:r>
        <w:t xml:space="preserve"> will provide standard Maintenance and Support services with regard to the Licensed Software in accordance with </w:t>
      </w:r>
      <w:proofErr w:type="spellStart"/>
      <w:r>
        <w:t>Gradle’s</w:t>
      </w:r>
      <w:proofErr w:type="spellEnd"/>
      <w:r>
        <w:t xml:space="preserve"> then-current support and maintenance terms and conditions. The current version can be found here: </w:t>
      </w:r>
      <w:hyperlink r:id="rId8">
        <w:r>
          <w:rPr>
            <w:color w:val="1154CC"/>
            <w:u w:val="single" w:color="1154CC"/>
          </w:rPr>
          <w:t>https://</w:t>
        </w:r>
        <w:proofErr w:type="spellStart"/>
        <w:r>
          <w:rPr>
            <w:color w:val="1154CC"/>
            <w:u w:val="single" w:color="1154CC"/>
          </w:rPr>
          <w:t>gradle.com</w:t>
        </w:r>
        <w:proofErr w:type="spellEnd"/>
        <w:r>
          <w:rPr>
            <w:color w:val="1154CC"/>
            <w:u w:val="single" w:color="1154CC"/>
          </w:rPr>
          <w:t>/legal/terms-of-service</w:t>
        </w:r>
      </w:hyperlink>
      <w:r>
        <w:t>.</w:t>
      </w:r>
    </w:p>
    <w:sectPr w:rsidR="005460E6">
      <w:pgSz w:w="12240" w:h="15840"/>
      <w:pgMar w:top="1880" w:right="1300" w:bottom="1220" w:left="1340" w:header="783" w:footer="10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661" w:rsidRDefault="002B5661">
      <w:r>
        <w:separator/>
      </w:r>
    </w:p>
  </w:endnote>
  <w:endnote w:type="continuationSeparator" w:id="0">
    <w:p w:rsidR="002B5661" w:rsidRDefault="002B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E6" w:rsidRDefault="000842DE">
    <w:pPr>
      <w:pStyle w:val="BodyText"/>
      <w:spacing w:line="14" w:lineRule="auto"/>
      <w:rPr>
        <w:sz w:val="20"/>
      </w:rPr>
    </w:pPr>
    <w:r>
      <w:rPr>
        <w:noProof/>
      </w:rPr>
      <mc:AlternateContent>
        <mc:Choice Requires="wps">
          <w:drawing>
            <wp:anchor distT="0" distB="0" distL="114300" distR="114300" simplePos="0" relativeHeight="503310824" behindDoc="1" locked="0" layoutInCell="1" allowOverlap="1">
              <wp:simplePos x="0" y="0"/>
              <wp:positionH relativeFrom="page">
                <wp:posOffset>987425</wp:posOffset>
              </wp:positionH>
              <wp:positionV relativeFrom="page">
                <wp:posOffset>9265920</wp:posOffset>
              </wp:positionV>
              <wp:extent cx="5774055" cy="1536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40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0E6" w:rsidRDefault="00C16507">
                          <w:pPr>
                            <w:spacing w:before="14"/>
                            <w:ind w:left="20"/>
                            <w:rPr>
                              <w:sz w:val="18"/>
                            </w:rPr>
                          </w:pPr>
                          <w:proofErr w:type="spellStart"/>
                          <w:r>
                            <w:rPr>
                              <w:b/>
                              <w:color w:val="022F39"/>
                              <w:sz w:val="18"/>
                            </w:rPr>
                            <w:t>Gradle</w:t>
                          </w:r>
                          <w:proofErr w:type="spellEnd"/>
                          <w:r>
                            <w:rPr>
                              <w:b/>
                              <w:color w:val="022F39"/>
                              <w:sz w:val="18"/>
                            </w:rPr>
                            <w:t xml:space="preserve"> Inc. </w:t>
                          </w:r>
                          <w:hyperlink r:id="rId1">
                            <w:r>
                              <w:rPr>
                                <w:color w:val="022F39"/>
                                <w:sz w:val="18"/>
                              </w:rPr>
                              <w:t xml:space="preserve">| 325, 9th Street San Francisco CA United States | Phone +1-415-446-9553 | Email: </w:t>
                            </w:r>
                            <w:proofErr w:type="spellStart"/>
                            <w:r>
                              <w:rPr>
                                <w:color w:val="022F39"/>
                                <w:sz w:val="18"/>
                              </w:rPr>
                              <w:t>info@gradle.com</w:t>
                            </w:r>
                            <w:proofErr w:type="spellEnd"/>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7.75pt;margin-top:729.6pt;width:454.65pt;height:12.1pt;z-index:-5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" filled="f" stroked="f">
              <v:path arrowok="t"/>
              <v:textbox inset="0,0,0,0">
                <w:txbxContent>
                  <w:p w:rsidR="005460E6" w:rsidRDefault="00C16507">
                    <w:pPr>
                      <w:spacing w:before="14"/>
                      <w:ind w:left="20"/>
                      <w:rPr>
                        <w:sz w:val="18"/>
                      </w:rPr>
                    </w:pPr>
                    <w:proofErr w:type="spellStart"/>
                    <w:r>
                      <w:rPr>
                        <w:b/>
                        <w:color w:val="022F39"/>
                        <w:sz w:val="18"/>
                      </w:rPr>
                      <w:t>Gradle</w:t>
                    </w:r>
                    <w:proofErr w:type="spellEnd"/>
                    <w:r>
                      <w:rPr>
                        <w:b/>
                        <w:color w:val="022F39"/>
                        <w:sz w:val="18"/>
                      </w:rPr>
                      <w:t xml:space="preserve"> Inc. </w:t>
                    </w:r>
                    <w:hyperlink r:id="rId2">
                      <w:r>
                        <w:rPr>
                          <w:color w:val="022F39"/>
                          <w:sz w:val="18"/>
                        </w:rPr>
                        <w:t xml:space="preserve">| 325, 9th Street San Francisco CA United States | Phone +1-415-446-9553 | Email: </w:t>
                      </w:r>
                      <w:proofErr w:type="spellStart"/>
                      <w:r>
                        <w:rPr>
                          <w:color w:val="022F39"/>
                          <w:sz w:val="18"/>
                        </w:rPr>
                        <w:t>info@gradle.com</w:t>
                      </w:r>
                      <w:proofErr w:type="spellEnd"/>
                    </w:hyperlink>
                  </w:p>
                </w:txbxContent>
              </v:textbox>
              <w10:wrap anchorx="page" anchory="page"/>
            </v:shape>
          </w:pict>
        </mc:Fallback>
      </mc:AlternateContent>
    </w:r>
    <w:r>
      <w:rPr>
        <w:noProof/>
      </w:rPr>
      <mc:AlternateContent>
        <mc:Choice Requires="wps">
          <w:drawing>
            <wp:anchor distT="0" distB="0" distL="114300" distR="114300" simplePos="0" relativeHeight="503310848" behindDoc="1" locked="0" layoutInCell="1" allowOverlap="1">
              <wp:simplePos x="0" y="0"/>
              <wp:positionH relativeFrom="page">
                <wp:posOffset>6746875</wp:posOffset>
              </wp:positionH>
              <wp:positionV relativeFrom="page">
                <wp:posOffset>9481185</wp:posOffset>
              </wp:positionV>
              <wp:extent cx="12890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9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0E6" w:rsidRDefault="00C16507">
                          <w:pPr>
                            <w:pStyle w:val="BodyText"/>
                            <w:spacing w:before="12"/>
                            <w:ind w:left="4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31.25pt;margin-top:746.55pt;width:10.15pt;height:14.3pt;z-index:-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" filled="f" stroked="f">
              <v:path arrowok="t"/>
              <v:textbox inset="0,0,0,0">
                <w:txbxContent>
                  <w:p w:rsidR="005460E6" w:rsidRDefault="00C16507">
                    <w:pPr>
                      <w:pStyle w:val="BodyText"/>
                      <w:spacing w:before="12"/>
                      <w:ind w:left="4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661" w:rsidRDefault="002B5661">
      <w:r>
        <w:separator/>
      </w:r>
    </w:p>
  </w:footnote>
  <w:footnote w:type="continuationSeparator" w:id="0">
    <w:p w:rsidR="002B5661" w:rsidRDefault="002B5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E6" w:rsidRDefault="00C16507">
    <w:pPr>
      <w:pStyle w:val="BodyText"/>
      <w:spacing w:line="14" w:lineRule="auto"/>
      <w:rPr>
        <w:sz w:val="20"/>
      </w:rPr>
    </w:pPr>
    <w:r>
      <w:rPr>
        <w:noProof/>
      </w:rPr>
      <w:drawing>
        <wp:anchor distT="0" distB="0" distL="0" distR="0" simplePos="0" relativeHeight="268429775" behindDoc="1" locked="0" layoutInCell="1" allowOverlap="1">
          <wp:simplePos x="0" y="0"/>
          <wp:positionH relativeFrom="page">
            <wp:posOffset>964160</wp:posOffset>
          </wp:positionH>
          <wp:positionV relativeFrom="page">
            <wp:posOffset>497205</wp:posOffset>
          </wp:positionV>
          <wp:extent cx="2443654" cy="6966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443654" cy="69668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E6"/>
    <w:rsid w:val="000842DE"/>
    <w:rsid w:val="002B5661"/>
    <w:rsid w:val="003531C0"/>
    <w:rsid w:val="003F4C89"/>
    <w:rsid w:val="005460E6"/>
    <w:rsid w:val="006338A4"/>
    <w:rsid w:val="006E3004"/>
    <w:rsid w:val="008A3B31"/>
    <w:rsid w:val="00C1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3C076"/>
  <w15:docId w15:val="{ACBD9F06-3461-9D43-B2EE-1A4B68B6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46"/>
      <w:szCs w:val="46"/>
    </w:rPr>
  </w:style>
  <w:style w:type="paragraph" w:styleId="Heading2">
    <w:name w:val="heading 2"/>
    <w:basedOn w:val="Normal"/>
    <w:uiPriority w:val="1"/>
    <w:qFormat/>
    <w:pPr>
      <w:ind w:left="100"/>
      <w:outlineLvl w:val="1"/>
    </w:pPr>
    <w:rPr>
      <w:sz w:val="40"/>
      <w:szCs w:val="40"/>
    </w:rPr>
  </w:style>
  <w:style w:type="paragraph" w:styleId="Heading3">
    <w:name w:val="heading 3"/>
    <w:basedOn w:val="Normal"/>
    <w:uiPriority w:val="1"/>
    <w:qFormat/>
    <w:pPr>
      <w:spacing w:before="241"/>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6"/>
      <w:ind w:left="94"/>
    </w:pPr>
  </w:style>
  <w:style w:type="paragraph" w:styleId="BalloonText">
    <w:name w:val="Balloon Text"/>
    <w:basedOn w:val="Normal"/>
    <w:link w:val="BalloonTextChar"/>
    <w:uiPriority w:val="99"/>
    <w:semiHidden/>
    <w:unhideWhenUsed/>
    <w:rsid w:val="008A3B31"/>
    <w:rPr>
      <w:rFonts w:ascii="Times New Roman" w:hAnsi="Times New Roman"/>
      <w:sz w:val="26"/>
      <w:szCs w:val="26"/>
    </w:rPr>
  </w:style>
  <w:style w:type="character" w:customStyle="1" w:styleId="BalloonTextChar">
    <w:name w:val="Balloon Text Char"/>
    <w:basedOn w:val="DefaultParagraphFont"/>
    <w:link w:val="BalloonText"/>
    <w:uiPriority w:val="99"/>
    <w:semiHidden/>
    <w:rsid w:val="008A3B31"/>
    <w:rPr>
      <w:rFonts w:ascii="Times New Roman" w:eastAsia="Arial" w:hAnsi="Times New Roman"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adle.com/legal/terms-of-service"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gradle.com" TargetMode="External"/><Relationship Id="rId1" Type="http://schemas.openxmlformats.org/officeDocument/2006/relationships/hyperlink" Target="mailto:info@grad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 Faherty</cp:lastModifiedBy>
  <cp:revision>3</cp:revision>
  <dcterms:created xsi:type="dcterms:W3CDTF">2018-06-12T18:30:00Z</dcterms:created>
  <dcterms:modified xsi:type="dcterms:W3CDTF">2018-06-12T18:32:00Z</dcterms:modified>
</cp:coreProperties>
</file>