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820" w:type="dxa"/>
        <w:tblLayout w:type="fixed"/>
        <w:tblLook w:val="04A0" w:firstRow="1" w:lastRow="0" w:firstColumn="1" w:lastColumn="0" w:noHBand="0" w:noVBand="1"/>
      </w:tblPr>
      <w:tblGrid>
        <w:gridCol w:w="3261"/>
        <w:gridCol w:w="3217"/>
        <w:gridCol w:w="3342"/>
      </w:tblGrid>
      <w:tr w:rsidR="00A74C28" w14:paraId="5F8249A8" w14:textId="77777777">
        <w:tc>
          <w:tcPr>
            <w:tcW w:w="9820" w:type="dxa"/>
            <w:gridSpan w:val="3"/>
          </w:tcPr>
          <w:p w14:paraId="76F6A6E6" w14:textId="77777777" w:rsidR="00A74C28" w:rsidRDefault="00000000">
            <w:pPr>
              <w:pStyle w:val="Heading"/>
              <w:jc w:val="center"/>
            </w:pPr>
            <w:bookmarkStart w:id="0" w:name="PaperTitle"/>
            <w:r>
              <w:t>Capsule-Endoscopy MMVQA with Grounded Clinical Decision Support</w:t>
            </w:r>
          </w:p>
          <w:bookmarkEnd w:id="0"/>
          <w:p w14:paraId="6F6DB9EA" w14:textId="77777777" w:rsidR="00A74C28" w:rsidRDefault="00A74C28"/>
        </w:tc>
      </w:tr>
      <w:tr w:rsidR="00A74C28" w14:paraId="2ADD23BF" w14:textId="77777777">
        <w:tc>
          <w:tcPr>
            <w:tcW w:w="3261" w:type="dxa"/>
          </w:tcPr>
          <w:p w14:paraId="2450916B" w14:textId="77777777" w:rsidR="00A74C28" w:rsidRDefault="00000000">
            <w:pPr>
              <w:jc w:val="center"/>
              <w:rPr>
                <w:rFonts w:ascii="Calibri" w:hAnsi="Calibri" w:cs="Calibri"/>
              </w:rPr>
            </w:pPr>
            <w:bookmarkStart w:id="1" w:name="AuthorName"/>
            <w:bookmarkEnd w:id="1"/>
            <w:r>
              <w:rPr>
                <w:rFonts w:ascii="Calibri" w:hAnsi="Calibri" w:cs="Calibri"/>
              </w:rPr>
              <w:t>Bogdan Parvu</w:t>
            </w:r>
          </w:p>
          <w:p w14:paraId="41E7721D" w14:textId="77777777" w:rsidR="00A74C28" w:rsidRDefault="00000000">
            <w:pPr>
              <w:jc w:val="center"/>
              <w:rPr>
                <w:rFonts w:ascii="Calibri" w:hAnsi="Calibri" w:cs="Calibri"/>
              </w:rPr>
            </w:pPr>
            <w:r>
              <w:rPr>
                <w:rFonts w:ascii="Calibri" w:hAnsi="Calibri" w:cs="Calibri"/>
              </w:rPr>
              <w:t>Department of Computer Science</w:t>
            </w:r>
            <w:r>
              <w:rPr>
                <w:rFonts w:ascii="Calibri" w:hAnsi="Calibri" w:cs="Calibri"/>
              </w:rPr>
              <w:br/>
              <w:t>Lakehead University</w:t>
            </w:r>
          </w:p>
          <w:p w14:paraId="67119DDF" w14:textId="77777777" w:rsidR="00A74C28" w:rsidRDefault="00000000">
            <w:pPr>
              <w:jc w:val="center"/>
              <w:rPr>
                <w:rFonts w:ascii="Calibri" w:hAnsi="Calibri" w:cs="Calibri"/>
              </w:rPr>
            </w:pPr>
            <w:r>
              <w:rPr>
                <w:rFonts w:ascii="Calibri" w:hAnsi="Calibri" w:cs="Calibri"/>
              </w:rPr>
              <w:t>Thunder Bay, Ontario, Canada</w:t>
            </w:r>
            <w:r>
              <w:rPr>
                <w:rFonts w:ascii="Calibri" w:hAnsi="Calibri" w:cs="Calibri"/>
              </w:rPr>
              <w:br/>
              <w:t>bparvu@lakeheadu.ca</w:t>
            </w:r>
          </w:p>
        </w:tc>
        <w:tc>
          <w:tcPr>
            <w:tcW w:w="3217" w:type="dxa"/>
          </w:tcPr>
          <w:p w14:paraId="29E25DF6" w14:textId="77777777" w:rsidR="00A74C28" w:rsidRDefault="00000000">
            <w:pPr>
              <w:jc w:val="center"/>
              <w:rPr>
                <w:rFonts w:ascii="Calibri" w:hAnsi="Calibri" w:cs="Calibri"/>
              </w:rPr>
            </w:pPr>
            <w:r>
              <w:rPr>
                <w:rFonts w:ascii="Calibri" w:hAnsi="Calibri" w:cs="Calibri"/>
              </w:rPr>
              <w:t xml:space="preserve">Sabah Mohammed </w:t>
            </w:r>
            <w:r>
              <w:rPr>
                <w:rFonts w:ascii="Calibri" w:hAnsi="Calibri" w:cs="Calibri"/>
              </w:rPr>
              <w:br/>
              <w:t>Department of Computer Science</w:t>
            </w:r>
          </w:p>
          <w:p w14:paraId="6C3B7A0F" w14:textId="77777777" w:rsidR="00A74C28" w:rsidRDefault="00000000">
            <w:pPr>
              <w:jc w:val="center"/>
              <w:rPr>
                <w:rFonts w:ascii="Calibri" w:hAnsi="Calibri" w:cs="Calibri"/>
              </w:rPr>
            </w:pPr>
            <w:r>
              <w:rPr>
                <w:rFonts w:ascii="Calibri" w:hAnsi="Calibri" w:cs="Calibri"/>
              </w:rPr>
              <w:t>Lakehead University</w:t>
            </w:r>
          </w:p>
          <w:p w14:paraId="40C68D88" w14:textId="77777777" w:rsidR="00A74C28" w:rsidRDefault="00000000">
            <w:pPr>
              <w:jc w:val="center"/>
              <w:rPr>
                <w:rFonts w:ascii="Calibri" w:hAnsi="Calibri" w:cs="Calibri"/>
              </w:rPr>
            </w:pPr>
            <w:r>
              <w:rPr>
                <w:rFonts w:ascii="Calibri" w:hAnsi="Calibri" w:cs="Calibri"/>
              </w:rPr>
              <w:t>Thunder Bay, Ontario, Canada</w:t>
            </w:r>
            <w:r>
              <w:rPr>
                <w:rFonts w:ascii="Calibri" w:hAnsi="Calibri" w:cs="Calibri"/>
              </w:rPr>
              <w:br/>
              <w:t>sabah.mohammed@lakeheadu.ca</w:t>
            </w:r>
          </w:p>
        </w:tc>
        <w:tc>
          <w:tcPr>
            <w:tcW w:w="3342" w:type="dxa"/>
          </w:tcPr>
          <w:p w14:paraId="1C306C75" w14:textId="77777777" w:rsidR="00A74C28" w:rsidRDefault="00000000">
            <w:pPr>
              <w:jc w:val="center"/>
              <w:rPr>
                <w:rFonts w:ascii="Calibri" w:hAnsi="Calibri" w:cs="Calibri"/>
              </w:rPr>
            </w:pPr>
            <w:r>
              <w:rPr>
                <w:rFonts w:ascii="Calibri" w:hAnsi="Calibri" w:cs="Calibri"/>
                <w:color w:val="222222"/>
                <w:shd w:val="clear" w:color="auto" w:fill="FFFFFF"/>
              </w:rPr>
              <w:t xml:space="preserve"> Jinan </w:t>
            </w:r>
            <w:proofErr w:type="spellStart"/>
            <w:r>
              <w:rPr>
                <w:rFonts w:ascii="Calibri" w:hAnsi="Calibri" w:cs="Calibri"/>
                <w:color w:val="222222"/>
                <w:shd w:val="clear" w:color="auto" w:fill="FFFFFF"/>
              </w:rPr>
              <w:t>Fiaidhi</w:t>
            </w:r>
            <w:proofErr w:type="spellEnd"/>
            <w:r>
              <w:rPr>
                <w:rFonts w:ascii="Calibri" w:hAnsi="Calibri" w:cs="Calibri"/>
              </w:rPr>
              <w:br/>
              <w:t>Department of Computer Science</w:t>
            </w:r>
          </w:p>
          <w:p w14:paraId="08BD7403" w14:textId="77777777" w:rsidR="00A74C28" w:rsidRDefault="00000000">
            <w:pPr>
              <w:jc w:val="center"/>
              <w:rPr>
                <w:rFonts w:ascii="Calibri" w:hAnsi="Calibri" w:cs="Calibri"/>
              </w:rPr>
            </w:pPr>
            <w:r>
              <w:rPr>
                <w:rFonts w:ascii="Calibri" w:hAnsi="Calibri" w:cs="Calibri"/>
              </w:rPr>
              <w:t>Lakehead University</w:t>
            </w:r>
          </w:p>
          <w:p w14:paraId="671850B5" w14:textId="77777777" w:rsidR="00A74C28" w:rsidRDefault="00000000">
            <w:pPr>
              <w:jc w:val="center"/>
              <w:rPr>
                <w:rFonts w:ascii="Calibri" w:hAnsi="Calibri" w:cs="Calibri"/>
              </w:rPr>
            </w:pPr>
            <w:r>
              <w:rPr>
                <w:rFonts w:ascii="Calibri" w:hAnsi="Calibri" w:cs="Calibri"/>
              </w:rPr>
              <w:t>Thunder Bay, Ontario, Canada</w:t>
            </w:r>
            <w:r>
              <w:rPr>
                <w:rFonts w:ascii="Calibri" w:hAnsi="Calibri" w:cs="Calibri"/>
              </w:rPr>
              <w:br/>
            </w:r>
            <w:r>
              <w:rPr>
                <w:rFonts w:ascii="Calibri" w:hAnsi="Calibri" w:cs="Calibri"/>
                <w:color w:val="222222"/>
                <w:shd w:val="clear" w:color="auto" w:fill="FFFFFF"/>
              </w:rPr>
              <w:t>jfiaidhi@lakeheadu.ca</w:t>
            </w:r>
          </w:p>
        </w:tc>
      </w:tr>
    </w:tbl>
    <w:p w14:paraId="00B110C3" w14:textId="77777777" w:rsidR="00A74C28" w:rsidRDefault="00A74C28"/>
    <w:p w14:paraId="23DCA910" w14:textId="77777777" w:rsidR="00A74C28" w:rsidRDefault="00A74C28"/>
    <w:p w14:paraId="634E8255" w14:textId="77777777" w:rsidR="00A74C28" w:rsidRDefault="00A74C28">
      <w:pPr>
        <w:sectPr w:rsidR="00A74C28">
          <w:pgSz w:w="12240" w:h="15840"/>
          <w:pgMar w:top="1440" w:right="1210" w:bottom="1440" w:left="1210" w:header="0" w:footer="0" w:gutter="0"/>
          <w:cols w:space="720"/>
          <w:formProt w:val="0"/>
          <w:titlePg/>
          <w:docGrid w:linePitch="360"/>
        </w:sectPr>
      </w:pPr>
    </w:p>
    <w:p w14:paraId="55EAF312" w14:textId="585A0BB6" w:rsidR="00A74C28" w:rsidRDefault="00000000">
      <w:pPr>
        <w:pStyle w:val="Abstract"/>
        <w:rPr>
          <w:b w:val="0"/>
          <w:bCs/>
          <w:i w:val="0"/>
          <w:iCs/>
        </w:rPr>
      </w:pPr>
      <w:r>
        <w:rPr>
          <w:rFonts w:eastAsia="SimSun;宋体"/>
        </w:rPr>
        <w:t xml:space="preserve">Abstract - </w:t>
      </w:r>
      <w:r>
        <w:rPr>
          <w:b w:val="0"/>
          <w:bCs/>
          <w:color w:val="000000"/>
        </w:rPr>
        <w:t xml:space="preserve">Capsule endoscopy produces large volumes of visual data in which clinically relevant abnormalities may be subtle, localized, transient, or visible across only a small number of frames. Although existing artificial-intelligence systems can support lesion classification and detection, </w:t>
      </w:r>
      <w:r>
        <w:rPr>
          <w:b w:val="0"/>
          <w:bCs/>
          <w:color w:val="000000"/>
          <w:highlight w:val="yellow"/>
        </w:rPr>
        <w:t>they provide limited capabilities for lesion identification when low contrast, tiny sizes, and complex backgrounds</w:t>
      </w:r>
      <w:r>
        <w:rPr>
          <w:b w:val="0"/>
          <w:bCs/>
          <w:color w:val="000000"/>
        </w:rPr>
        <w:t xml:space="preserve">. </w:t>
      </w:r>
      <w:r w:rsidR="00B86BC1">
        <w:rPr>
          <w:b w:val="0"/>
          <w:bCs/>
          <w:color w:val="000000"/>
        </w:rPr>
        <w:t>Moreover,</w:t>
      </w:r>
      <w:r>
        <w:rPr>
          <w:b w:val="0"/>
          <w:bCs/>
          <w:color w:val="000000"/>
        </w:rPr>
        <w:t xml:space="preserve"> they lack explicit evidence grounding. This paper proposes an evidence-grounded multimodal visual question-answering framework for capsule-endoscopy analysis. The framework extends the Kvasir-Capsule dataset into a structured medical MMVQA benchmark containing clinical questions, reference answers, visual evidence, localization information, temporal context, and validation metadata. General-purpose and medically adapted vision-language models are evaluated across question answering, finding recognition, localization, temporal interpretation, uncertainty handling, and structured response generation. To reduce unsupported outputs, the system integrates multimodal retrieval with curated medical knowledge and visual evidence. Model responses are further processed by a guarded clinical-support layer that applies evidence-sufficiency checks, confidence thresholds, abstention rules, and human-review requirements. The proposed framework is assessed using measures of answer accuracy, evidence grounding, temporal reasoning, localization, retrieval quality, hallucination, abstention </w:t>
      </w:r>
      <w:r w:rsidR="00576958">
        <w:rPr>
          <w:b w:val="0"/>
          <w:bCs/>
          <w:color w:val="000000"/>
        </w:rPr>
        <w:t>behavior</w:t>
      </w:r>
      <w:r>
        <w:rPr>
          <w:b w:val="0"/>
          <w:bCs/>
          <w:color w:val="000000"/>
        </w:rPr>
        <w:t>, and end-to-end safety. The system is intended as a research prototype for supporting clinician review rather than providing autonomous diagnosis or treatment recommendations.</w:t>
      </w:r>
      <w:r>
        <w:rPr>
          <w:rFonts w:eastAsia="SimSun;宋体"/>
          <w:b w:val="0"/>
          <w:bCs/>
        </w:rPr>
        <w:t xml:space="preserve"> </w:t>
      </w:r>
    </w:p>
    <w:p w14:paraId="317BE942" w14:textId="77777777" w:rsidR="00A74C28" w:rsidRDefault="00000000">
      <w:pPr>
        <w:pStyle w:val="Heading1"/>
        <w:numPr>
          <w:ilvl w:val="0"/>
          <w:numId w:val="2"/>
        </w:numPr>
      </w:pPr>
      <w:bookmarkStart w:id="2" w:name="_Introduction"/>
      <w:bookmarkEnd w:id="2"/>
      <w:r>
        <w:t>Introduction</w:t>
      </w:r>
    </w:p>
    <w:p w14:paraId="79B05C25" w14:textId="77777777" w:rsidR="00A74C28" w:rsidRDefault="00000000">
      <w:pPr>
        <w:pStyle w:val="NoSpacing"/>
        <w:ind w:firstLine="360"/>
        <w:jc w:val="both"/>
        <w:rPr>
          <w:rFonts w:ascii="-webkit-standard;Cambria" w:hAnsi="-webkit-standard;Cambria" w:cs="-webkit-standard;Cambria"/>
          <w:sz w:val="27"/>
          <w:szCs w:val="27"/>
        </w:rPr>
      </w:pPr>
      <w:r>
        <w:rPr>
          <w:highlight w:val="yellow"/>
        </w:rPr>
        <w:t>Screening complete capsule-endoscopy streams by clinicians remains</w:t>
      </w:r>
      <w:r>
        <w:t xml:space="preserve"> a time-consuming task because clinically important findings may occur in only a few frames and can be affected </w:t>
      </w:r>
      <w:r>
        <w:rPr>
          <w:highlight w:val="yellow"/>
        </w:rPr>
        <w:t>by human fatigue and/or image-quality limitations. This creates a need for automated systems that not only detect abnormalities during the screening period, but also to explain their findings,</w:t>
      </w:r>
      <w:r>
        <w:t xml:space="preserve"> provide similar supporting </w:t>
      </w:r>
      <w:proofErr w:type="gramStart"/>
      <w:r>
        <w:t>evidences</w:t>
      </w:r>
      <w:proofErr w:type="gramEnd"/>
      <w:r>
        <w:t>, and account for temporal context and uncertainty.</w:t>
      </w:r>
    </w:p>
    <w:p w14:paraId="7DCBE91B" w14:textId="77777777" w:rsidR="00A74C28" w:rsidRDefault="00A74C28" w:rsidP="006D069C">
      <w:pPr>
        <w:jc w:val="both"/>
        <w:rPr>
          <w:rFonts w:ascii="-webkit-standard;Cambria" w:hAnsi="-webkit-standard;Cambria" w:cs="-webkit-standard;Cambria"/>
          <w:color w:val="000000"/>
          <w:sz w:val="27"/>
          <w:szCs w:val="27"/>
        </w:rPr>
      </w:pPr>
    </w:p>
    <w:p w14:paraId="12BA9FC8" w14:textId="77777777" w:rsidR="00A74C28" w:rsidRDefault="00000000">
      <w:pPr>
        <w:ind w:firstLine="426"/>
        <w:jc w:val="both"/>
        <w:rPr>
          <w:color w:val="000000"/>
        </w:rPr>
      </w:pPr>
      <w:r>
        <w:rPr>
          <w:color w:val="000000"/>
        </w:rPr>
        <w:t xml:space="preserve">Existing capsule-endoscopy artificial-intelligence systems have primarily focused on automated lesion classification and localization [1, 2]. Although these approaches can improve examination review, they generally produce predefined labels or detections rather than interactive, natural language evidence-grounded responses to clinical questions. To address these limitations, this work proposes an evidence-grounded multimodal visual question-answering framework for capsule-endoscopy analysis. The framework combines general-purpose and medically adapted vision-language models with structured visual artifacts, temporal context, retrieval-based grounding, and a guarded clinical decision-support layer that evaluates evidence sufficiency, uncertainty, and the need for human review. The objective is not to replace clinical judgment, but to improve the efficiency, transparency, and reliability of capsule-endoscopy review by generating evidence-supported answers and identifying cases that require further human assessment. The main contribution of this work is a new research software prototype for evidence-grounded multimodal question answering </w:t>
      </w:r>
      <w:proofErr w:type="gramStart"/>
      <w:r>
        <w:rPr>
          <w:color w:val="000000"/>
        </w:rPr>
        <w:t>for  capsule</w:t>
      </w:r>
      <w:proofErr w:type="gramEnd"/>
      <w:r>
        <w:rPr>
          <w:color w:val="000000"/>
        </w:rPr>
        <w:t>-endoscopy images.</w:t>
      </w:r>
    </w:p>
    <w:p w14:paraId="1C906F96" w14:textId="77777777" w:rsidR="00A74C28" w:rsidRDefault="00000000">
      <w:pPr>
        <w:pStyle w:val="Heading1"/>
        <w:numPr>
          <w:ilvl w:val="0"/>
          <w:numId w:val="2"/>
        </w:numPr>
      </w:pPr>
      <w:r>
        <w:t>Background</w:t>
      </w:r>
    </w:p>
    <w:p w14:paraId="6C157C3F" w14:textId="77777777" w:rsidR="00A74C28" w:rsidRDefault="00000000">
      <w:pPr>
        <w:ind w:firstLine="360"/>
        <w:jc w:val="both"/>
        <w:rPr>
          <w:shd w:val="clear" w:color="auto" w:fill="FFFFFF"/>
        </w:rPr>
      </w:pPr>
      <w:r>
        <w:rPr>
          <w:shd w:val="clear" w:color="auto" w:fill="FFFFFF"/>
        </w:rPr>
        <w:t xml:space="preserve">Capsule-endoscopy VQA combines an image or an ordered set of frames with a natural-language question to generate an answer. Kvasir-Capsule provides labelled findings and source videos [3], from which QA pairs and supporting observations are constructed. A labelled keyframe identifies verified evidence without establishing the complete temporal extent of a finding. </w:t>
      </w:r>
    </w:p>
    <w:p w14:paraId="0F4C63EB" w14:textId="77777777" w:rsidR="00A74C28" w:rsidRDefault="00000000">
      <w:pPr>
        <w:ind w:firstLine="360"/>
        <w:jc w:val="both"/>
        <w:rPr>
          <w:lang w:val="en-CA"/>
        </w:rPr>
      </w:pPr>
      <w:r>
        <w:t>Spatial grounding localizes the visual regions that support an answer, whereas temporal grounding identifies the video frames or intervals containing the supporting evidence.</w:t>
      </w:r>
      <w:r>
        <w:rPr>
          <w:lang w:val="en-CA"/>
        </w:rPr>
        <w:t xml:space="preserve"> </w:t>
      </w:r>
      <w:r>
        <w:rPr>
          <w:shd w:val="clear" w:color="auto" w:fill="FFFFFF"/>
        </w:rPr>
        <w:t xml:space="preserve">TOGA jointly generates answers and temporal intervals under weak supervision [4], while SPARROW improves spatial precision and temporal referential consistency in pixel-grounded video models [5]. These </w:t>
      </w:r>
      <w:r>
        <w:rPr>
          <w:shd w:val="clear" w:color="auto" w:fill="FFFFFF"/>
        </w:rPr>
        <w:lastRenderedPageBreak/>
        <w:t>general-video methods provide methodological foundations for evaluating answer-evidence alignment separately from answer accuracy.</w:t>
      </w:r>
    </w:p>
    <w:p w14:paraId="00A1D88F" w14:textId="77777777" w:rsidR="00A74C28" w:rsidRDefault="00000000">
      <w:pPr>
        <w:ind w:firstLine="360"/>
        <w:jc w:val="both"/>
        <w:rPr>
          <w:color w:val="000000"/>
          <w:shd w:val="clear" w:color="auto" w:fill="FFFFFF"/>
        </w:rPr>
      </w:pPr>
      <w:r>
        <w:rPr>
          <w:color w:val="000000"/>
          <w:shd w:val="clear" w:color="auto" w:fill="FFFFFF"/>
        </w:rPr>
        <w:t>Retrieval supplies additional context: GI-VQA systems can retrieve dataset examples [6], which differs from retrieving clinical guidelines. Formal verification checks represented hypotheses, as in ARISE [7], and remains distinct from checking visual observations. Selective answering uses risk-coverage analysis to evaluate abstention [8]. These distinctions underpin the framework's separate assessment of visual support, retrieved knowledge, and interpretive consistency.</w:t>
      </w:r>
    </w:p>
    <w:p w14:paraId="5BFDA38A" w14:textId="77777777" w:rsidR="00A74C28" w:rsidRPr="00C9276B" w:rsidRDefault="008E604E">
      <w:pPr>
        <w:pStyle w:val="Heading2"/>
        <w:rPr>
          <w:rStyle w:val="Heading1Char"/>
        </w:rPr>
      </w:pPr>
      <w:r>
        <w:rPr>
          <w:rStyle w:val="Heading1Char"/>
        </w:rPr>
        <w:t>A.</w:t>
      </w:r>
      <w:r w:rsidRPr="00C9276B">
        <w:rPr>
          <w:rStyle w:val="Heading1Char"/>
        </w:rPr>
        <w:t xml:space="preserve"> Problem Formulation and Scope</w:t>
      </w:r>
    </w:p>
    <w:p w14:paraId="2C77CAD0" w14:textId="77777777" w:rsidR="00A74C28" w:rsidRDefault="00000000">
      <w:pPr>
        <w:pStyle w:val="NoSpacing"/>
        <w:ind w:firstLine="360"/>
        <w:jc w:val="both"/>
        <w:rPr>
          <w:lang w:eastAsia="pt-BR"/>
        </w:rPr>
      </w:pPr>
      <w:r>
        <w:rPr>
          <w:lang w:eastAsia="pt-BR"/>
        </w:rPr>
        <w:t>We formulate question answering over a capsule-endoscopy image or a temporally ordered set of frames as evidence-linked answer generation. The output comprises an answer and evidence links for its substantive claims. Visually observable claims identify supporting frames and, where annotations permit, spatial regions or temporal intervals. Interpretive claims additionally identify retrieved clinical support and applicable constraints. The framework assesses these evidence sources separately to distinguish unsupported observations from unsupported interpretations.</w:t>
      </w:r>
    </w:p>
    <w:p w14:paraId="0AAC5F2A" w14:textId="77777777" w:rsidR="00A74C28" w:rsidRDefault="00000000">
      <w:pPr>
        <w:pStyle w:val="NoSpacing"/>
        <w:ind w:firstLine="360"/>
        <w:jc w:val="both"/>
        <w:rPr>
          <w:lang w:eastAsia="pt-BR"/>
        </w:rPr>
      </w:pPr>
      <w:r>
        <w:rPr>
          <w:lang w:eastAsia="pt-BR"/>
        </w:rPr>
        <w:t>An unlabeled neighboring frame is treated as unknown rather than negative, and a labelled keyframe does not establish complete temporal boundaries. Questions therefore have explicit answerability criteria. The system abstains when available support is insufficient. Analysis is restricted to questions and evidence levels supported by the available imagery and reference annotations.</w:t>
      </w:r>
    </w:p>
    <w:p w14:paraId="11CB7A52" w14:textId="77777777" w:rsidR="00A74C28" w:rsidRDefault="00A74C28">
      <w:pPr>
        <w:pStyle w:val="NoSpacing"/>
        <w:ind w:firstLine="360"/>
        <w:rPr>
          <w:lang w:eastAsia="pt-BR"/>
        </w:rPr>
      </w:pPr>
    </w:p>
    <w:p w14:paraId="462047C6" w14:textId="77777777" w:rsidR="00A74C28" w:rsidRPr="00C9276B" w:rsidRDefault="008E604E">
      <w:pPr>
        <w:pStyle w:val="Heading2"/>
        <w:rPr>
          <w:rStyle w:val="Heading1Char"/>
        </w:rPr>
      </w:pPr>
      <w:r>
        <w:rPr>
          <w:rStyle w:val="Heading1Char"/>
        </w:rPr>
        <w:t>B.</w:t>
      </w:r>
      <w:r w:rsidRPr="00C9276B">
        <w:rPr>
          <w:rStyle w:val="Heading1Char"/>
        </w:rPr>
        <w:t xml:space="preserve"> Evaluation Protocol</w:t>
      </w:r>
    </w:p>
    <w:p w14:paraId="5F6E424E" w14:textId="77777777" w:rsidR="00A74C28" w:rsidRDefault="00000000">
      <w:pPr>
        <w:ind w:firstLine="360"/>
        <w:jc w:val="both"/>
        <w:rPr>
          <w:lang w:eastAsia="pt-BR"/>
        </w:rPr>
      </w:pPr>
      <w:r>
        <w:rPr>
          <w:color w:val="000000"/>
          <w:shd w:val="clear" w:color="auto" w:fill="FFFFFF"/>
        </w:rPr>
        <w:t>The evaluation compares image-only and temporal inputs, retrieval variants, and verification with and without abstention. Evidence-removal experiments use matched removal of irrelevant frames as a control; temporal reordering is evaluated only for questions whose answer depends on order. Answer accuracy, localization quality, unsupported-claim rates, and risk-coverage behaviors are assessed separately. Temporal-interval evaluation is restricted to questions with suitable reference annotations; other questions use verified supporting frames. These comparisons identify when attribution and verification help and which errors remain.</w:t>
      </w:r>
    </w:p>
    <w:p w14:paraId="23F2A033" w14:textId="77777777" w:rsidR="00A74C28" w:rsidRDefault="00000000">
      <w:pPr>
        <w:pStyle w:val="Heading1"/>
        <w:numPr>
          <w:ilvl w:val="0"/>
          <w:numId w:val="2"/>
        </w:numPr>
      </w:pPr>
      <w:r>
        <w:t>Related Work</w:t>
      </w:r>
    </w:p>
    <w:p w14:paraId="2DF893A7" w14:textId="77777777" w:rsidR="00A74C28" w:rsidRPr="00C9276B" w:rsidRDefault="00000000">
      <w:pPr>
        <w:pStyle w:val="Heading2"/>
        <w:jc w:val="both"/>
        <w:rPr>
          <w:rStyle w:val="Heading1Char"/>
        </w:rPr>
      </w:pPr>
      <w:r w:rsidRPr="00C9276B">
        <w:rPr>
          <w:rStyle w:val="Heading1Char"/>
        </w:rPr>
        <w:t>A. Gastrointestinal Visual Question Answering</w:t>
      </w:r>
    </w:p>
    <w:p w14:paraId="34454051" w14:textId="77777777" w:rsidR="00A74C28" w:rsidRDefault="00000000">
      <w:pPr>
        <w:ind w:firstLine="426"/>
        <w:jc w:val="both"/>
        <w:rPr>
          <w:lang w:eastAsia="pt-BR"/>
        </w:rPr>
      </w:pPr>
      <w:r>
        <w:rPr>
          <w:lang w:eastAsia="pt-BR"/>
        </w:rPr>
        <w:t xml:space="preserve">Kvasir-VQA introduces GI image-question pairs from </w:t>
      </w:r>
      <w:proofErr w:type="spellStart"/>
      <w:r>
        <w:rPr>
          <w:lang w:eastAsia="pt-BR"/>
        </w:rPr>
        <w:t>HyperKvasir</w:t>
      </w:r>
      <w:proofErr w:type="spellEnd"/>
      <w:r>
        <w:rPr>
          <w:lang w:eastAsia="pt-BR"/>
        </w:rPr>
        <w:t xml:space="preserve"> and Kvasir-Instrument [9]. Kvasir-VQA-x1 extends this foundation with complex questions and visual-robustness evaluation [10]; neither is derived from Kvasir-Capsule. Colon-X combines large-scale QA resources, </w:t>
      </w:r>
      <w:r>
        <w:rPr>
          <w:lang w:eastAsia="pt-BR"/>
        </w:rPr>
        <w:t xml:space="preserve">perturbation testing, and reasoning-oriented training, with capsule datasets among its aggregated sources [11]. </w:t>
      </w:r>
      <w:proofErr w:type="spellStart"/>
      <w:r>
        <w:rPr>
          <w:lang w:eastAsia="pt-BR"/>
        </w:rPr>
        <w:t>EndoBench</w:t>
      </w:r>
      <w:proofErr w:type="spellEnd"/>
      <w:r>
        <w:rPr>
          <w:lang w:eastAsia="pt-BR"/>
        </w:rPr>
        <w:t xml:space="preserve"> evaluates anatomical, lesion, and spatial understanding across endoscopic scenarios, including capsule images [12]. Its image-based evaluation makes it a direct domain benchmark, while leaving temporal evidence attribution as a distinct task. These resources support comparisons that distinguish question complexity and answer correctness from the validity of the observations supporting an answer.</w:t>
      </w:r>
    </w:p>
    <w:p w14:paraId="5FC12450" w14:textId="77777777" w:rsidR="00A74C28" w:rsidRPr="00C9276B" w:rsidRDefault="00000000">
      <w:pPr>
        <w:pStyle w:val="Heading2"/>
        <w:rPr>
          <w:rStyle w:val="Heading1Char"/>
        </w:rPr>
      </w:pPr>
      <w:r w:rsidRPr="00C9276B">
        <w:rPr>
          <w:rStyle w:val="Heading1Char"/>
        </w:rPr>
        <w:t>B. CE-R1 as the Principal Capsule VQA Comparator</w:t>
      </w:r>
    </w:p>
    <w:p w14:paraId="0F9AF672" w14:textId="77777777" w:rsidR="00A74C28" w:rsidRDefault="00000000">
      <w:pPr>
        <w:ind w:firstLine="426"/>
        <w:jc w:val="both"/>
        <w:rPr>
          <w:lang w:eastAsia="pt-BR"/>
        </w:rPr>
      </w:pPr>
      <w:r>
        <w:rPr>
          <w:lang w:eastAsia="pt-BR"/>
        </w:rPr>
        <w:t>CE-R1 is the closest task-specific predecessor [13]. Its CE-Bench resource contains approximately 502,000 QA pairs across anatomy, findings, diagnosis, treatment planning, and reporting. A neural router selects between Lite, which generates direct answers, and Deep, which is adapted through supervised fine-tuning on synthesized reasoning traces. Clips provide temporal context around annotated keyframes, and complex tasks combine visual observations from multiple gastrointestinal regions. This establishes prior art for capsule image/video QA, adaptive generation, and multi-evidence clinical reasoning.</w:t>
      </w:r>
    </w:p>
    <w:p w14:paraId="46ED1DAC" w14:textId="4D7F2F16" w:rsidR="00A74C28" w:rsidRDefault="00000000">
      <w:pPr>
        <w:ind w:firstLine="426"/>
        <w:jc w:val="both"/>
        <w:rPr>
          <w:lang w:eastAsia="pt-BR"/>
        </w:rPr>
      </w:pPr>
      <w:r>
        <w:rPr>
          <w:lang w:eastAsia="pt-BR"/>
        </w:rPr>
        <w:t xml:space="preserve">Two distinctions define the proposed comparison. Generated reasoning is learned text and does not itself verify the truth of its visual premises. Furthermore, the described architecture does not specify external medical retrieval or formal symbolic verification. The inspected public inference interface returns generated text and routing metadata without structured links from individual claims to regions, frame identities, or intervals [14]. </w:t>
      </w:r>
    </w:p>
    <w:p w14:paraId="11983A69" w14:textId="77777777" w:rsidR="00A74C28" w:rsidRDefault="00000000">
      <w:pPr>
        <w:ind w:firstLine="426"/>
        <w:jc w:val="both"/>
        <w:rPr>
          <w:lang w:eastAsia="pt-BR"/>
        </w:rPr>
      </w:pPr>
      <w:r>
        <w:rPr>
          <w:lang w:eastAsia="pt-BR"/>
        </w:rPr>
        <w:t>Accordingly, CE-R1 should be compared under matched inputs and tasks, with evidence validity evaluated separately from answer correctness. The proposed objective is to test whether explicit attribution and verification reduce unsupported claims, rather than infer reliability from detailed explanations. Missing public training components also limit exact reproduction, so benchmark results and locally reproduced experiments must be distinguished. Where models or benchmarks share source datasets, potential training overlap must be checked before interpreting transfer results as independent generalization.</w:t>
      </w:r>
    </w:p>
    <w:p w14:paraId="18058957" w14:textId="77777777" w:rsidR="00A74C28" w:rsidRPr="00C9276B" w:rsidRDefault="00000000">
      <w:pPr>
        <w:pStyle w:val="Heading2"/>
        <w:rPr>
          <w:rStyle w:val="Heading1Char"/>
        </w:rPr>
      </w:pPr>
      <w:r w:rsidRPr="00C9276B">
        <w:rPr>
          <w:rStyle w:val="Heading1Char"/>
        </w:rPr>
        <w:t>C. Spatial and Temporal Grounding in GI Imaging</w:t>
      </w:r>
    </w:p>
    <w:p w14:paraId="2772951D" w14:textId="77777777" w:rsidR="00A74C28" w:rsidRDefault="00000000">
      <w:pPr>
        <w:jc w:val="both"/>
      </w:pPr>
      <w:r>
        <w:rPr>
          <w:lang w:eastAsia="pt-BR"/>
        </w:rPr>
        <w:t xml:space="preserve">Grounded GI VQA combines question answering with auxiliary localization and description tasks, using expert polyp masks and weak Grad-CAM supervision for other findings [15]. It improves implicit answer-region alignment, although weak localization does not establish verified lesion boundaries. CE Reporter generates capsule-video reports with timestamped keyframes and time-aware alignment [16], providing a direct precedent for linking generated text to temporal observations. Its report-generation objective differs from interactive QA. These approaches motivate evaluating question-conditioned </w:t>
      </w:r>
      <w:r>
        <w:rPr>
          <w:lang w:eastAsia="pt-BR"/>
        </w:rPr>
        <w:lastRenderedPageBreak/>
        <w:t>attribution to supporting regions or intervals, with evidence quality measured separately from output fluency.</w:t>
      </w:r>
    </w:p>
    <w:p w14:paraId="71CF5073" w14:textId="77777777" w:rsidR="00A74C28" w:rsidRPr="00C9276B" w:rsidRDefault="00000000">
      <w:pPr>
        <w:pStyle w:val="Heading2"/>
        <w:rPr>
          <w:rStyle w:val="Heading1Char"/>
        </w:rPr>
      </w:pPr>
      <w:r w:rsidRPr="00C9276B">
        <w:rPr>
          <w:rStyle w:val="Heading1Char"/>
        </w:rPr>
        <w:t xml:space="preserve">D. Knowledge and Guarded Interpretation in GI </w:t>
      </w:r>
    </w:p>
    <w:p w14:paraId="394E4097" w14:textId="77777777" w:rsidR="00A74C28" w:rsidRDefault="00000000">
      <w:pPr>
        <w:ind w:firstLine="360"/>
        <w:jc w:val="both"/>
        <w:rPr>
          <w:lang w:eastAsia="pt-BR"/>
        </w:rPr>
      </w:pPr>
      <w:proofErr w:type="spellStart"/>
      <w:r>
        <w:rPr>
          <w:lang w:eastAsia="pt-BR"/>
        </w:rPr>
        <w:t>ImageCLEF</w:t>
      </w:r>
      <w:proofErr w:type="spellEnd"/>
      <w:r>
        <w:rPr>
          <w:lang w:eastAsia="pt-BR"/>
        </w:rPr>
        <w:t xml:space="preserve"> MEDVQA-GI 2026 defines explanation and behavioral-safety evaluation and provides endoscopy-related clinical resources to support retrieval [17]. Haider et al. study BM25 and multimodal hybrid retrieval of QA examples from GI benchmark data [6], which differs from retrieving external clinical guidelines. Gut-VLM uses </w:t>
      </w:r>
      <w:r>
        <w:rPr>
          <w:lang w:eastAsia="pt-BR"/>
        </w:rPr>
        <w:t>expert sentence-level corrections to target hallucinations in GI reports [18]. ARISE translates image-grounded hypotheses into first-order logic and checks them with Z3 for IBD assessment, including WCE image classification [7]. These precedents address knowledge support, factual correction, and consistency checking, without establishing temporal support for individual capsule-QA claims. Logical consistency must also be distinguished from correct visual observations.</w:t>
      </w:r>
    </w:p>
    <w:p w14:paraId="0A10C197" w14:textId="77777777" w:rsidR="00A74C28" w:rsidRDefault="00A74C28">
      <w:pPr>
        <w:ind w:firstLine="360"/>
        <w:jc w:val="both"/>
        <w:rPr>
          <w:lang w:eastAsia="pt-BR"/>
        </w:rPr>
        <w:sectPr w:rsidR="00A74C28">
          <w:type w:val="continuous"/>
          <w:pgSz w:w="12240" w:h="15840"/>
          <w:pgMar w:top="1440" w:right="1107" w:bottom="1440" w:left="1210" w:header="0" w:footer="0" w:gutter="0"/>
          <w:cols w:num="2" w:space="460"/>
          <w:formProt w:val="0"/>
          <w:titlePg/>
          <w:docGrid w:linePitch="360"/>
        </w:sectPr>
      </w:pPr>
    </w:p>
    <w:p w14:paraId="3FDF8470" w14:textId="77777777" w:rsidR="00576958" w:rsidRDefault="00576958">
      <w:pPr>
        <w:pStyle w:val="Heading"/>
        <w:keepNext/>
        <w:spacing w:after="60"/>
        <w:jc w:val="center"/>
        <w:rPr>
          <w:rFonts w:ascii="Times New Roman" w:eastAsia="Times New Roman" w:hAnsi="Times New Roman"/>
          <w:color w:val="000000"/>
          <w:sz w:val="16"/>
          <w:szCs w:val="16"/>
        </w:rPr>
      </w:pPr>
    </w:p>
    <w:p w14:paraId="7CE89A92" w14:textId="77777777" w:rsidR="00576958" w:rsidRDefault="00576958">
      <w:pPr>
        <w:pStyle w:val="Heading"/>
        <w:keepNext/>
        <w:spacing w:after="60"/>
        <w:jc w:val="center"/>
        <w:rPr>
          <w:rFonts w:ascii="Times New Roman" w:eastAsia="Times New Roman" w:hAnsi="Times New Roman"/>
          <w:color w:val="000000"/>
          <w:sz w:val="16"/>
          <w:szCs w:val="16"/>
        </w:rPr>
      </w:pPr>
    </w:p>
    <w:p w14:paraId="027EC3BC" w14:textId="77777777" w:rsidR="00A74C28" w:rsidRPr="00576958" w:rsidRDefault="00000000">
      <w:pPr>
        <w:pStyle w:val="Heading"/>
        <w:keepNext/>
        <w:spacing w:after="60"/>
        <w:jc w:val="center"/>
        <w:rPr>
          <w:rFonts w:ascii="Times New Roman" w:eastAsia="Times New Roman" w:hAnsi="Times New Roman"/>
          <w:color w:val="000000"/>
          <w:sz w:val="16"/>
          <w:szCs w:val="16"/>
        </w:rPr>
      </w:pPr>
      <w:r w:rsidRPr="00576958">
        <w:rPr>
          <w:rFonts w:ascii="Times New Roman" w:eastAsia="Times New Roman" w:hAnsi="Times New Roman"/>
          <w:color w:val="000000"/>
          <w:sz w:val="16"/>
          <w:szCs w:val="16"/>
        </w:rPr>
        <w:t>TABLE I</w:t>
      </w:r>
    </w:p>
    <w:p w14:paraId="5427BDF7" w14:textId="77777777" w:rsidR="00A74C28" w:rsidRPr="00576958" w:rsidRDefault="00000000">
      <w:pPr>
        <w:pStyle w:val="Heading"/>
        <w:keepNext/>
        <w:spacing w:after="60"/>
        <w:jc w:val="center"/>
        <w:rPr>
          <w:rFonts w:ascii="Times New Roman" w:eastAsia="Times New Roman" w:hAnsi="Times New Roman"/>
          <w:color w:val="000000"/>
          <w:sz w:val="16"/>
          <w:szCs w:val="16"/>
        </w:rPr>
      </w:pPr>
      <w:r w:rsidRPr="00576958">
        <w:rPr>
          <w:rFonts w:ascii="Times New Roman" w:eastAsia="Times New Roman" w:hAnsi="Times New Roman"/>
          <w:color w:val="000000"/>
          <w:sz w:val="16"/>
          <w:szCs w:val="16"/>
        </w:rPr>
        <w:t>SELECTED GI VQA AND EVIDENCE METHODS</w:t>
      </w:r>
    </w:p>
    <w:tbl>
      <w:tblPr>
        <w:tblW w:w="982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65" w:type="dxa"/>
          <w:bottom w:w="60" w:type="dxa"/>
          <w:right w:w="65" w:type="dxa"/>
        </w:tblCellMar>
        <w:tblLook w:val="04A0" w:firstRow="1" w:lastRow="0" w:firstColumn="1" w:lastColumn="0" w:noHBand="0" w:noVBand="1"/>
      </w:tblPr>
      <w:tblGrid>
        <w:gridCol w:w="1944"/>
        <w:gridCol w:w="1440"/>
        <w:gridCol w:w="3024"/>
        <w:gridCol w:w="3412"/>
      </w:tblGrid>
      <w:tr w:rsidR="00A74C28" w14:paraId="0BCAD795" w14:textId="77777777">
        <w:trPr>
          <w:cantSplit/>
          <w:tblHeader/>
          <w:jc w:val="center"/>
        </w:trPr>
        <w:tc>
          <w:tcPr>
            <w:tcW w:w="1944" w:type="dxa"/>
            <w:shd w:val="clear" w:color="auto" w:fill="F2F2F2"/>
            <w:vAlign w:val="center"/>
          </w:tcPr>
          <w:p w14:paraId="13AF8F31" w14:textId="77777777" w:rsidR="00A74C28" w:rsidRDefault="00000000">
            <w:pPr>
              <w:keepLines/>
              <w:snapToGrid w:val="0"/>
            </w:pPr>
            <w:r>
              <w:rPr>
                <w:b/>
                <w:color w:val="000000"/>
                <w:sz w:val="18"/>
                <w:szCs w:val="18"/>
              </w:rPr>
              <w:t>Work (year)</w:t>
            </w:r>
          </w:p>
        </w:tc>
        <w:tc>
          <w:tcPr>
            <w:tcW w:w="1440" w:type="dxa"/>
            <w:shd w:val="clear" w:color="auto" w:fill="F2F2F2"/>
            <w:vAlign w:val="center"/>
          </w:tcPr>
          <w:p w14:paraId="511508D7" w14:textId="77777777" w:rsidR="00A74C28" w:rsidRDefault="00000000">
            <w:pPr>
              <w:keepLines/>
              <w:snapToGrid w:val="0"/>
              <w:rPr>
                <w:b/>
                <w:color w:val="000000"/>
                <w:sz w:val="18"/>
              </w:rPr>
            </w:pPr>
            <w:r>
              <w:rPr>
                <w:b/>
                <w:color w:val="000000"/>
                <w:sz w:val="18"/>
                <w:szCs w:val="18"/>
              </w:rPr>
              <w:t>Task and inputs</w:t>
            </w:r>
          </w:p>
        </w:tc>
        <w:tc>
          <w:tcPr>
            <w:tcW w:w="3024" w:type="dxa"/>
            <w:shd w:val="clear" w:color="auto" w:fill="F2F2F2"/>
            <w:vAlign w:val="center"/>
          </w:tcPr>
          <w:p w14:paraId="2F01093B" w14:textId="77777777" w:rsidR="00A74C28" w:rsidRDefault="00000000">
            <w:pPr>
              <w:keepLines/>
              <w:snapToGrid w:val="0"/>
              <w:rPr>
                <w:b/>
                <w:color w:val="000000"/>
                <w:sz w:val="18"/>
              </w:rPr>
            </w:pPr>
            <w:r>
              <w:rPr>
                <w:b/>
                <w:color w:val="000000"/>
                <w:sz w:val="18"/>
                <w:szCs w:val="18"/>
              </w:rPr>
              <w:t>Main mechanism</w:t>
            </w:r>
          </w:p>
        </w:tc>
        <w:tc>
          <w:tcPr>
            <w:tcW w:w="3412" w:type="dxa"/>
            <w:shd w:val="clear" w:color="auto" w:fill="F2F2F2"/>
            <w:vAlign w:val="center"/>
          </w:tcPr>
          <w:p w14:paraId="55CBF034" w14:textId="77777777" w:rsidR="00A74C28" w:rsidRDefault="00000000">
            <w:pPr>
              <w:keepLines/>
              <w:snapToGrid w:val="0"/>
              <w:rPr>
                <w:b/>
                <w:color w:val="000000"/>
                <w:sz w:val="18"/>
              </w:rPr>
            </w:pPr>
            <w:r>
              <w:rPr>
                <w:b/>
                <w:color w:val="000000"/>
                <w:sz w:val="18"/>
                <w:szCs w:val="18"/>
              </w:rPr>
              <w:t>Relevance and scope</w:t>
            </w:r>
          </w:p>
        </w:tc>
      </w:tr>
      <w:tr w:rsidR="00A74C28" w14:paraId="7BEA9275" w14:textId="77777777">
        <w:trPr>
          <w:cantSplit/>
          <w:jc w:val="center"/>
        </w:trPr>
        <w:tc>
          <w:tcPr>
            <w:tcW w:w="1944" w:type="dxa"/>
            <w:vAlign w:val="center"/>
          </w:tcPr>
          <w:p w14:paraId="7FBD16B0" w14:textId="77777777" w:rsidR="00A74C28" w:rsidRDefault="00000000">
            <w:pPr>
              <w:keepLines/>
              <w:snapToGrid w:val="0"/>
            </w:pPr>
            <w:r>
              <w:rPr>
                <w:color w:val="000000"/>
                <w:sz w:val="18"/>
                <w:szCs w:val="18"/>
              </w:rPr>
              <w:t>Kvasir-VQA / x1</w:t>
            </w:r>
            <w:r>
              <w:rPr>
                <w:color w:val="000000"/>
                <w:sz w:val="18"/>
                <w:szCs w:val="18"/>
              </w:rPr>
              <w:br/>
              <w:t>(2024–26) [9], [10]</w:t>
            </w:r>
          </w:p>
        </w:tc>
        <w:tc>
          <w:tcPr>
            <w:tcW w:w="1440" w:type="dxa"/>
            <w:vAlign w:val="center"/>
          </w:tcPr>
          <w:p w14:paraId="141C5A8C" w14:textId="77777777" w:rsidR="00A74C28" w:rsidRDefault="00000000">
            <w:pPr>
              <w:keepLines/>
              <w:snapToGrid w:val="0"/>
              <w:rPr>
                <w:color w:val="000000"/>
                <w:sz w:val="18"/>
              </w:rPr>
            </w:pPr>
            <w:r>
              <w:rPr>
                <w:color w:val="000000"/>
                <w:sz w:val="18"/>
                <w:szCs w:val="18"/>
              </w:rPr>
              <w:t>GI image QA</w:t>
            </w:r>
          </w:p>
        </w:tc>
        <w:tc>
          <w:tcPr>
            <w:tcW w:w="3024" w:type="dxa"/>
            <w:vAlign w:val="center"/>
          </w:tcPr>
          <w:p w14:paraId="1ECA6309" w14:textId="77777777" w:rsidR="00A74C28" w:rsidRDefault="00000000">
            <w:pPr>
              <w:keepLines/>
              <w:snapToGrid w:val="0"/>
              <w:rPr>
                <w:color w:val="000000"/>
                <w:sz w:val="18"/>
              </w:rPr>
            </w:pPr>
            <w:r>
              <w:rPr>
                <w:color w:val="000000"/>
                <w:sz w:val="18"/>
                <w:szCs w:val="18"/>
              </w:rPr>
              <w:t>Image-question pairs; complex questions and perturbation tests</w:t>
            </w:r>
          </w:p>
        </w:tc>
        <w:tc>
          <w:tcPr>
            <w:tcW w:w="3412" w:type="dxa"/>
            <w:vAlign w:val="center"/>
          </w:tcPr>
          <w:p w14:paraId="55461042" w14:textId="77777777" w:rsidR="00A74C28" w:rsidRDefault="00000000">
            <w:pPr>
              <w:keepLines/>
              <w:snapToGrid w:val="0"/>
              <w:rPr>
                <w:color w:val="000000"/>
                <w:sz w:val="18"/>
              </w:rPr>
            </w:pPr>
            <w:r>
              <w:rPr>
                <w:color w:val="000000"/>
                <w:sz w:val="18"/>
                <w:szCs w:val="18"/>
              </w:rPr>
              <w:t>GI-VQA data foundation; not a capsule-video evidence benchmark.</w:t>
            </w:r>
          </w:p>
        </w:tc>
      </w:tr>
      <w:tr w:rsidR="00A74C28" w14:paraId="41BF5995" w14:textId="77777777">
        <w:trPr>
          <w:cantSplit/>
          <w:jc w:val="center"/>
        </w:trPr>
        <w:tc>
          <w:tcPr>
            <w:tcW w:w="1944" w:type="dxa"/>
            <w:vAlign w:val="center"/>
          </w:tcPr>
          <w:p w14:paraId="71019494" w14:textId="77777777" w:rsidR="00A74C28" w:rsidRDefault="00000000">
            <w:pPr>
              <w:keepLines/>
              <w:snapToGrid w:val="0"/>
            </w:pPr>
            <w:r>
              <w:rPr>
                <w:color w:val="000000"/>
                <w:sz w:val="18"/>
                <w:szCs w:val="18"/>
              </w:rPr>
              <w:t>Gut-VLM</w:t>
            </w:r>
            <w:r>
              <w:rPr>
                <w:color w:val="000000"/>
                <w:sz w:val="18"/>
                <w:szCs w:val="18"/>
              </w:rPr>
              <w:br/>
              <w:t>(2025) [18]</w:t>
            </w:r>
          </w:p>
        </w:tc>
        <w:tc>
          <w:tcPr>
            <w:tcW w:w="1440" w:type="dxa"/>
            <w:vAlign w:val="center"/>
          </w:tcPr>
          <w:p w14:paraId="64ADD831" w14:textId="77777777" w:rsidR="00A74C28" w:rsidRDefault="00000000">
            <w:pPr>
              <w:keepLines/>
              <w:snapToGrid w:val="0"/>
              <w:rPr>
                <w:color w:val="000000"/>
                <w:sz w:val="18"/>
              </w:rPr>
            </w:pPr>
            <w:r>
              <w:rPr>
                <w:color w:val="000000"/>
                <w:sz w:val="18"/>
                <w:szCs w:val="18"/>
              </w:rPr>
              <w:t>GI VQA and reports</w:t>
            </w:r>
          </w:p>
        </w:tc>
        <w:tc>
          <w:tcPr>
            <w:tcW w:w="3024" w:type="dxa"/>
            <w:vAlign w:val="center"/>
          </w:tcPr>
          <w:p w14:paraId="7C4BB553" w14:textId="77777777" w:rsidR="00A74C28" w:rsidRDefault="00000000">
            <w:pPr>
              <w:keepLines/>
              <w:snapToGrid w:val="0"/>
              <w:rPr>
                <w:color w:val="000000"/>
                <w:sz w:val="18"/>
              </w:rPr>
            </w:pPr>
            <w:r>
              <w:rPr>
                <w:color w:val="000000"/>
                <w:sz w:val="18"/>
                <w:szCs w:val="18"/>
              </w:rPr>
              <w:t xml:space="preserve">Expert hallucination labels and corrections; </w:t>
            </w:r>
            <w:proofErr w:type="spellStart"/>
            <w:r>
              <w:rPr>
                <w:color w:val="000000"/>
                <w:sz w:val="18"/>
                <w:szCs w:val="18"/>
              </w:rPr>
              <w:t>LLaVA</w:t>
            </w:r>
            <w:proofErr w:type="spellEnd"/>
            <w:r>
              <w:rPr>
                <w:color w:val="000000"/>
                <w:sz w:val="18"/>
                <w:szCs w:val="18"/>
              </w:rPr>
              <w:t xml:space="preserve"> fine-tuning</w:t>
            </w:r>
          </w:p>
        </w:tc>
        <w:tc>
          <w:tcPr>
            <w:tcW w:w="3412" w:type="dxa"/>
            <w:vAlign w:val="center"/>
          </w:tcPr>
          <w:p w14:paraId="7F783612" w14:textId="77777777" w:rsidR="00A74C28" w:rsidRDefault="00000000">
            <w:pPr>
              <w:keepLines/>
              <w:snapToGrid w:val="0"/>
              <w:rPr>
                <w:color w:val="000000"/>
                <w:sz w:val="18"/>
              </w:rPr>
            </w:pPr>
            <w:r>
              <w:rPr>
                <w:color w:val="000000"/>
                <w:sz w:val="18"/>
                <w:szCs w:val="18"/>
              </w:rPr>
              <w:t>Factuality comparator; static GI images.</w:t>
            </w:r>
          </w:p>
        </w:tc>
      </w:tr>
      <w:tr w:rsidR="00A74C28" w14:paraId="3FAFCB2E" w14:textId="77777777">
        <w:trPr>
          <w:cantSplit/>
          <w:jc w:val="center"/>
        </w:trPr>
        <w:tc>
          <w:tcPr>
            <w:tcW w:w="1944" w:type="dxa"/>
            <w:vAlign w:val="center"/>
          </w:tcPr>
          <w:p w14:paraId="64DC8B82" w14:textId="77777777" w:rsidR="00A74C28" w:rsidRDefault="00000000">
            <w:pPr>
              <w:keepLines/>
              <w:snapToGrid w:val="0"/>
            </w:pPr>
            <w:proofErr w:type="spellStart"/>
            <w:r>
              <w:rPr>
                <w:color w:val="000000"/>
                <w:sz w:val="18"/>
                <w:szCs w:val="18"/>
              </w:rPr>
              <w:t>EndoBench</w:t>
            </w:r>
            <w:proofErr w:type="spellEnd"/>
            <w:r>
              <w:rPr>
                <w:color w:val="000000"/>
                <w:sz w:val="18"/>
                <w:szCs w:val="18"/>
              </w:rPr>
              <w:br/>
              <w:t>(2025) [12]</w:t>
            </w:r>
          </w:p>
        </w:tc>
        <w:tc>
          <w:tcPr>
            <w:tcW w:w="1440" w:type="dxa"/>
            <w:vAlign w:val="center"/>
          </w:tcPr>
          <w:p w14:paraId="7BE0E705" w14:textId="77777777" w:rsidR="00A74C28" w:rsidRDefault="00000000">
            <w:pPr>
              <w:keepLines/>
              <w:snapToGrid w:val="0"/>
              <w:rPr>
                <w:color w:val="000000"/>
                <w:sz w:val="18"/>
              </w:rPr>
            </w:pPr>
            <w:r>
              <w:rPr>
                <w:color w:val="000000"/>
                <w:sz w:val="18"/>
                <w:szCs w:val="18"/>
              </w:rPr>
              <w:t>Endoscopic image QA, including capsule</w:t>
            </w:r>
          </w:p>
        </w:tc>
        <w:tc>
          <w:tcPr>
            <w:tcW w:w="3024" w:type="dxa"/>
            <w:vAlign w:val="center"/>
          </w:tcPr>
          <w:p w14:paraId="7E0BA120" w14:textId="77777777" w:rsidR="00A74C28" w:rsidRDefault="00000000">
            <w:pPr>
              <w:keepLines/>
              <w:snapToGrid w:val="0"/>
              <w:rPr>
                <w:color w:val="000000"/>
                <w:sz w:val="18"/>
              </w:rPr>
            </w:pPr>
            <w:r>
              <w:rPr>
                <w:color w:val="000000"/>
                <w:sz w:val="18"/>
                <w:szCs w:val="18"/>
              </w:rPr>
              <w:t>Anatomical, lesion and spatial task evaluation</w:t>
            </w:r>
          </w:p>
        </w:tc>
        <w:tc>
          <w:tcPr>
            <w:tcW w:w="3412" w:type="dxa"/>
            <w:vAlign w:val="center"/>
          </w:tcPr>
          <w:p w14:paraId="1F3141A3" w14:textId="77777777" w:rsidR="00A74C28" w:rsidRDefault="00000000">
            <w:pPr>
              <w:keepLines/>
              <w:snapToGrid w:val="0"/>
              <w:rPr>
                <w:color w:val="000000"/>
                <w:sz w:val="18"/>
              </w:rPr>
            </w:pPr>
            <w:r>
              <w:rPr>
                <w:color w:val="000000"/>
                <w:sz w:val="18"/>
                <w:szCs w:val="18"/>
              </w:rPr>
              <w:t>Direct capsule-QA benchmark; temporal claim support is not assessed.</w:t>
            </w:r>
          </w:p>
        </w:tc>
      </w:tr>
      <w:tr w:rsidR="00A74C28" w14:paraId="29919907" w14:textId="77777777">
        <w:trPr>
          <w:cantSplit/>
          <w:jc w:val="center"/>
        </w:trPr>
        <w:tc>
          <w:tcPr>
            <w:tcW w:w="1944" w:type="dxa"/>
            <w:vAlign w:val="center"/>
          </w:tcPr>
          <w:p w14:paraId="561269B1" w14:textId="77777777" w:rsidR="00A74C28" w:rsidRDefault="00000000">
            <w:pPr>
              <w:keepLines/>
              <w:snapToGrid w:val="0"/>
            </w:pPr>
            <w:r>
              <w:rPr>
                <w:color w:val="000000"/>
                <w:sz w:val="18"/>
                <w:szCs w:val="18"/>
              </w:rPr>
              <w:t>Colon-X / ColonR1</w:t>
            </w:r>
            <w:r>
              <w:rPr>
                <w:color w:val="000000"/>
                <w:sz w:val="18"/>
                <w:szCs w:val="18"/>
              </w:rPr>
              <w:br/>
              <w:t>(2025/26) [11]</w:t>
            </w:r>
          </w:p>
        </w:tc>
        <w:tc>
          <w:tcPr>
            <w:tcW w:w="1440" w:type="dxa"/>
            <w:vAlign w:val="center"/>
          </w:tcPr>
          <w:p w14:paraId="1B6D9E2B" w14:textId="77777777" w:rsidR="00A74C28" w:rsidRDefault="00000000">
            <w:pPr>
              <w:keepLines/>
              <w:snapToGrid w:val="0"/>
              <w:rPr>
                <w:color w:val="000000"/>
                <w:sz w:val="18"/>
              </w:rPr>
            </w:pPr>
            <w:r>
              <w:rPr>
                <w:color w:val="000000"/>
                <w:sz w:val="18"/>
                <w:szCs w:val="18"/>
              </w:rPr>
              <w:t>GI QA and reasoning</w:t>
            </w:r>
          </w:p>
        </w:tc>
        <w:tc>
          <w:tcPr>
            <w:tcW w:w="3024" w:type="dxa"/>
            <w:vAlign w:val="center"/>
          </w:tcPr>
          <w:p w14:paraId="57599C8E" w14:textId="77777777" w:rsidR="00A74C28" w:rsidRDefault="00000000">
            <w:pPr>
              <w:keepLines/>
              <w:snapToGrid w:val="0"/>
              <w:rPr>
                <w:color w:val="000000"/>
                <w:sz w:val="18"/>
              </w:rPr>
            </w:pPr>
            <w:r>
              <w:rPr>
                <w:color w:val="000000"/>
                <w:sz w:val="18"/>
                <w:szCs w:val="18"/>
              </w:rPr>
              <w:t>Instruction data, perturbation evaluation and reasoning-oriented training</w:t>
            </w:r>
          </w:p>
        </w:tc>
        <w:tc>
          <w:tcPr>
            <w:tcW w:w="3412" w:type="dxa"/>
            <w:vAlign w:val="center"/>
          </w:tcPr>
          <w:p w14:paraId="23D7D19F" w14:textId="77777777" w:rsidR="00A74C28" w:rsidRDefault="00000000">
            <w:pPr>
              <w:keepLines/>
              <w:snapToGrid w:val="0"/>
              <w:rPr>
                <w:color w:val="000000"/>
                <w:sz w:val="18"/>
              </w:rPr>
            </w:pPr>
            <w:r>
              <w:rPr>
                <w:color w:val="000000"/>
                <w:sz w:val="18"/>
                <w:szCs w:val="18"/>
              </w:rPr>
              <w:t>Includes capsule sources; differs from per-claim temporal verification.</w:t>
            </w:r>
          </w:p>
        </w:tc>
      </w:tr>
      <w:tr w:rsidR="00A74C28" w14:paraId="04F9B08B" w14:textId="77777777">
        <w:trPr>
          <w:cantSplit/>
          <w:jc w:val="center"/>
        </w:trPr>
        <w:tc>
          <w:tcPr>
            <w:tcW w:w="1944" w:type="dxa"/>
            <w:vAlign w:val="center"/>
          </w:tcPr>
          <w:p w14:paraId="51A87A55" w14:textId="77777777" w:rsidR="00A74C28" w:rsidRDefault="00000000">
            <w:pPr>
              <w:keepLines/>
              <w:snapToGrid w:val="0"/>
            </w:pPr>
            <w:r>
              <w:rPr>
                <w:color w:val="000000"/>
                <w:sz w:val="18"/>
                <w:szCs w:val="18"/>
              </w:rPr>
              <w:t>CE-R1 / CE-Bench</w:t>
            </w:r>
            <w:r>
              <w:rPr>
                <w:color w:val="000000"/>
                <w:sz w:val="18"/>
                <w:szCs w:val="18"/>
              </w:rPr>
              <w:br/>
              <w:t>(2026) [13], [14]</w:t>
            </w:r>
          </w:p>
        </w:tc>
        <w:tc>
          <w:tcPr>
            <w:tcW w:w="1440" w:type="dxa"/>
            <w:vAlign w:val="center"/>
          </w:tcPr>
          <w:p w14:paraId="4769F215" w14:textId="77777777" w:rsidR="00A74C28" w:rsidRDefault="00000000">
            <w:pPr>
              <w:keepLines/>
              <w:snapToGrid w:val="0"/>
              <w:rPr>
                <w:color w:val="000000"/>
                <w:sz w:val="18"/>
              </w:rPr>
            </w:pPr>
            <w:r>
              <w:rPr>
                <w:color w:val="000000"/>
                <w:sz w:val="18"/>
                <w:szCs w:val="18"/>
              </w:rPr>
              <w:t>Capsule image and multi-clip QA</w:t>
            </w:r>
          </w:p>
        </w:tc>
        <w:tc>
          <w:tcPr>
            <w:tcW w:w="3024" w:type="dxa"/>
            <w:vAlign w:val="center"/>
          </w:tcPr>
          <w:p w14:paraId="4678FC5A" w14:textId="77777777" w:rsidR="00A74C28" w:rsidRDefault="00000000">
            <w:pPr>
              <w:keepLines/>
              <w:snapToGrid w:val="0"/>
              <w:rPr>
                <w:color w:val="000000"/>
                <w:sz w:val="18"/>
              </w:rPr>
            </w:pPr>
            <w:r>
              <w:rPr>
                <w:color w:val="000000"/>
                <w:sz w:val="18"/>
                <w:szCs w:val="18"/>
              </w:rPr>
              <w:t>Lite/Deep routing and synthesized reasoning supervision</w:t>
            </w:r>
          </w:p>
        </w:tc>
        <w:tc>
          <w:tcPr>
            <w:tcW w:w="3412" w:type="dxa"/>
            <w:vAlign w:val="center"/>
          </w:tcPr>
          <w:p w14:paraId="2A75D1AD" w14:textId="77777777" w:rsidR="00A74C28" w:rsidRDefault="00000000">
            <w:pPr>
              <w:keepLines/>
              <w:snapToGrid w:val="0"/>
              <w:rPr>
                <w:color w:val="000000"/>
                <w:sz w:val="18"/>
              </w:rPr>
            </w:pPr>
            <w:r>
              <w:rPr>
                <w:color w:val="000000"/>
                <w:sz w:val="18"/>
                <w:szCs w:val="18"/>
              </w:rPr>
              <w:t>Principal comparator; inspected output lacks structured per-claim evidence links.</w:t>
            </w:r>
          </w:p>
        </w:tc>
      </w:tr>
      <w:tr w:rsidR="00A74C28" w14:paraId="379C0D26" w14:textId="77777777">
        <w:trPr>
          <w:cantSplit/>
          <w:jc w:val="center"/>
        </w:trPr>
        <w:tc>
          <w:tcPr>
            <w:tcW w:w="1944" w:type="dxa"/>
            <w:vAlign w:val="center"/>
          </w:tcPr>
          <w:p w14:paraId="79F67E0A" w14:textId="77777777" w:rsidR="00A74C28" w:rsidRDefault="00000000">
            <w:pPr>
              <w:keepLines/>
              <w:snapToGrid w:val="0"/>
            </w:pPr>
            <w:r>
              <w:rPr>
                <w:color w:val="000000"/>
                <w:sz w:val="18"/>
                <w:szCs w:val="18"/>
              </w:rPr>
              <w:t>Grounded GI VQA</w:t>
            </w:r>
            <w:r>
              <w:rPr>
                <w:color w:val="000000"/>
                <w:sz w:val="18"/>
                <w:szCs w:val="18"/>
              </w:rPr>
              <w:br/>
              <w:t>(2026) [15]</w:t>
            </w:r>
          </w:p>
        </w:tc>
        <w:tc>
          <w:tcPr>
            <w:tcW w:w="1440" w:type="dxa"/>
            <w:vAlign w:val="center"/>
          </w:tcPr>
          <w:p w14:paraId="004E32A8" w14:textId="77777777" w:rsidR="00A74C28" w:rsidRDefault="00000000">
            <w:pPr>
              <w:keepLines/>
              <w:snapToGrid w:val="0"/>
              <w:rPr>
                <w:color w:val="000000"/>
                <w:sz w:val="18"/>
              </w:rPr>
            </w:pPr>
            <w:r>
              <w:rPr>
                <w:color w:val="000000"/>
                <w:sz w:val="18"/>
                <w:szCs w:val="18"/>
              </w:rPr>
              <w:t>GI image VQA</w:t>
            </w:r>
          </w:p>
        </w:tc>
        <w:tc>
          <w:tcPr>
            <w:tcW w:w="3024" w:type="dxa"/>
            <w:vAlign w:val="center"/>
          </w:tcPr>
          <w:p w14:paraId="52FA1598" w14:textId="77777777" w:rsidR="00A74C28" w:rsidRDefault="00000000">
            <w:pPr>
              <w:keepLines/>
              <w:snapToGrid w:val="0"/>
              <w:rPr>
                <w:color w:val="000000"/>
                <w:sz w:val="18"/>
              </w:rPr>
            </w:pPr>
            <w:r>
              <w:rPr>
                <w:color w:val="000000"/>
                <w:sz w:val="18"/>
                <w:szCs w:val="18"/>
              </w:rPr>
              <w:t>Expert masks / weak Grad-CAM; auxiliary localization and description tasks</w:t>
            </w:r>
          </w:p>
        </w:tc>
        <w:tc>
          <w:tcPr>
            <w:tcW w:w="3412" w:type="dxa"/>
            <w:vAlign w:val="center"/>
          </w:tcPr>
          <w:p w14:paraId="5F1B5BC2" w14:textId="77777777" w:rsidR="00A74C28" w:rsidRDefault="00000000">
            <w:pPr>
              <w:keepLines/>
              <w:snapToGrid w:val="0"/>
              <w:rPr>
                <w:color w:val="000000"/>
                <w:sz w:val="18"/>
              </w:rPr>
            </w:pPr>
            <w:r>
              <w:rPr>
                <w:color w:val="000000"/>
                <w:sz w:val="18"/>
                <w:szCs w:val="18"/>
              </w:rPr>
              <w:t>Implicit answer-region alignment; not capsule temporal QA.</w:t>
            </w:r>
          </w:p>
        </w:tc>
      </w:tr>
      <w:tr w:rsidR="00A74C28" w14:paraId="04B9B89F" w14:textId="77777777">
        <w:trPr>
          <w:cantSplit/>
          <w:jc w:val="center"/>
        </w:trPr>
        <w:tc>
          <w:tcPr>
            <w:tcW w:w="1944" w:type="dxa"/>
            <w:vAlign w:val="center"/>
          </w:tcPr>
          <w:p w14:paraId="78B14551" w14:textId="77777777" w:rsidR="00A74C28" w:rsidRDefault="00000000">
            <w:pPr>
              <w:keepLines/>
              <w:snapToGrid w:val="0"/>
            </w:pPr>
            <w:r>
              <w:rPr>
                <w:color w:val="000000"/>
                <w:sz w:val="18"/>
                <w:szCs w:val="18"/>
              </w:rPr>
              <w:t>CE Reporter</w:t>
            </w:r>
            <w:r>
              <w:rPr>
                <w:color w:val="000000"/>
                <w:sz w:val="18"/>
                <w:szCs w:val="18"/>
              </w:rPr>
              <w:br/>
              <w:t>(2026) [16]</w:t>
            </w:r>
          </w:p>
        </w:tc>
        <w:tc>
          <w:tcPr>
            <w:tcW w:w="1440" w:type="dxa"/>
            <w:vAlign w:val="center"/>
          </w:tcPr>
          <w:p w14:paraId="43BD1E73" w14:textId="77777777" w:rsidR="00A74C28" w:rsidRDefault="00000000">
            <w:pPr>
              <w:keepLines/>
              <w:snapToGrid w:val="0"/>
              <w:rPr>
                <w:color w:val="000000"/>
                <w:sz w:val="18"/>
              </w:rPr>
            </w:pPr>
            <w:r>
              <w:rPr>
                <w:color w:val="000000"/>
                <w:sz w:val="18"/>
                <w:szCs w:val="18"/>
              </w:rPr>
              <w:t>Capsule video to report</w:t>
            </w:r>
          </w:p>
        </w:tc>
        <w:tc>
          <w:tcPr>
            <w:tcW w:w="3024" w:type="dxa"/>
            <w:vAlign w:val="center"/>
          </w:tcPr>
          <w:p w14:paraId="4945FC84" w14:textId="77777777" w:rsidR="00A74C28" w:rsidRDefault="00000000">
            <w:pPr>
              <w:keepLines/>
              <w:snapToGrid w:val="0"/>
              <w:rPr>
                <w:color w:val="000000"/>
                <w:sz w:val="18"/>
              </w:rPr>
            </w:pPr>
            <w:r>
              <w:rPr>
                <w:color w:val="000000"/>
                <w:sz w:val="18"/>
                <w:szCs w:val="18"/>
              </w:rPr>
              <w:t>Time-aware video alignment and timestamped supporting keyframes</w:t>
            </w:r>
          </w:p>
        </w:tc>
        <w:tc>
          <w:tcPr>
            <w:tcW w:w="3412" w:type="dxa"/>
            <w:vAlign w:val="center"/>
          </w:tcPr>
          <w:p w14:paraId="1CF52C85" w14:textId="77777777" w:rsidR="00A74C28" w:rsidRDefault="00000000">
            <w:pPr>
              <w:keepLines/>
              <w:snapToGrid w:val="0"/>
              <w:rPr>
                <w:color w:val="000000"/>
                <w:sz w:val="18"/>
              </w:rPr>
            </w:pPr>
            <w:r>
              <w:rPr>
                <w:color w:val="000000"/>
                <w:sz w:val="18"/>
                <w:szCs w:val="18"/>
              </w:rPr>
              <w:t>Direct temporal-evidence precedent for capsule reporting; differs from interactive QA.</w:t>
            </w:r>
          </w:p>
        </w:tc>
      </w:tr>
      <w:tr w:rsidR="00A74C28" w14:paraId="170FAE72" w14:textId="77777777">
        <w:trPr>
          <w:cantSplit/>
          <w:jc w:val="center"/>
        </w:trPr>
        <w:tc>
          <w:tcPr>
            <w:tcW w:w="1944" w:type="dxa"/>
            <w:vAlign w:val="center"/>
          </w:tcPr>
          <w:p w14:paraId="63EC581E" w14:textId="77777777" w:rsidR="00A74C28" w:rsidRDefault="00000000">
            <w:pPr>
              <w:keepLines/>
              <w:snapToGrid w:val="0"/>
            </w:pPr>
            <w:r>
              <w:rPr>
                <w:color w:val="000000"/>
                <w:sz w:val="18"/>
                <w:szCs w:val="18"/>
              </w:rPr>
              <w:t>ARISE</w:t>
            </w:r>
            <w:r>
              <w:rPr>
                <w:color w:val="000000"/>
                <w:sz w:val="18"/>
                <w:szCs w:val="18"/>
              </w:rPr>
              <w:br/>
              <w:t>(2026) [7]</w:t>
            </w:r>
          </w:p>
        </w:tc>
        <w:tc>
          <w:tcPr>
            <w:tcW w:w="1440" w:type="dxa"/>
            <w:vAlign w:val="center"/>
          </w:tcPr>
          <w:p w14:paraId="7CFD651D" w14:textId="77777777" w:rsidR="00A74C28" w:rsidRDefault="00000000">
            <w:pPr>
              <w:keepLines/>
              <w:snapToGrid w:val="0"/>
              <w:rPr>
                <w:color w:val="000000"/>
                <w:sz w:val="18"/>
              </w:rPr>
            </w:pPr>
            <w:r>
              <w:rPr>
                <w:color w:val="000000"/>
                <w:sz w:val="18"/>
                <w:szCs w:val="18"/>
              </w:rPr>
              <w:t>IBD image classification, including WCE</w:t>
            </w:r>
          </w:p>
        </w:tc>
        <w:tc>
          <w:tcPr>
            <w:tcW w:w="3024" w:type="dxa"/>
            <w:vAlign w:val="center"/>
          </w:tcPr>
          <w:p w14:paraId="201D1128" w14:textId="77777777" w:rsidR="00A74C28" w:rsidRDefault="00000000">
            <w:pPr>
              <w:keepLines/>
              <w:snapToGrid w:val="0"/>
              <w:rPr>
                <w:color w:val="000000"/>
                <w:sz w:val="18"/>
              </w:rPr>
            </w:pPr>
            <w:r>
              <w:rPr>
                <w:color w:val="000000"/>
                <w:sz w:val="18"/>
                <w:szCs w:val="18"/>
              </w:rPr>
              <w:t>Image-grounded hypotheses; first-order logic and Z3</w:t>
            </w:r>
          </w:p>
        </w:tc>
        <w:tc>
          <w:tcPr>
            <w:tcW w:w="3412" w:type="dxa"/>
            <w:vAlign w:val="center"/>
          </w:tcPr>
          <w:p w14:paraId="1627FC88" w14:textId="77777777" w:rsidR="00A74C28" w:rsidRDefault="00000000">
            <w:pPr>
              <w:keepLines/>
              <w:snapToGrid w:val="0"/>
              <w:rPr>
                <w:color w:val="000000"/>
                <w:sz w:val="18"/>
              </w:rPr>
            </w:pPr>
            <w:r>
              <w:rPr>
                <w:color w:val="000000"/>
                <w:sz w:val="18"/>
                <w:szCs w:val="18"/>
              </w:rPr>
              <w:t>WCE verification precedent; evaluated classification rather than temporal QA.</w:t>
            </w:r>
          </w:p>
        </w:tc>
      </w:tr>
      <w:tr w:rsidR="00A74C28" w14:paraId="1CE32C4D" w14:textId="77777777">
        <w:trPr>
          <w:cantSplit/>
          <w:jc w:val="center"/>
        </w:trPr>
        <w:tc>
          <w:tcPr>
            <w:tcW w:w="1944" w:type="dxa"/>
            <w:vAlign w:val="center"/>
          </w:tcPr>
          <w:p w14:paraId="4FA4185D" w14:textId="77777777" w:rsidR="00A74C28" w:rsidRDefault="00000000">
            <w:pPr>
              <w:keepLines/>
              <w:snapToGrid w:val="0"/>
            </w:pPr>
            <w:r>
              <w:rPr>
                <w:color w:val="000000"/>
                <w:sz w:val="18"/>
                <w:szCs w:val="18"/>
              </w:rPr>
              <w:t>Haider et al.</w:t>
            </w:r>
            <w:r>
              <w:rPr>
                <w:color w:val="000000"/>
                <w:sz w:val="18"/>
                <w:szCs w:val="18"/>
              </w:rPr>
              <w:br/>
              <w:t>(2026) [6]</w:t>
            </w:r>
          </w:p>
        </w:tc>
        <w:tc>
          <w:tcPr>
            <w:tcW w:w="1440" w:type="dxa"/>
            <w:vAlign w:val="center"/>
          </w:tcPr>
          <w:p w14:paraId="65479687" w14:textId="77777777" w:rsidR="00A74C28" w:rsidRDefault="00000000">
            <w:pPr>
              <w:keepLines/>
              <w:snapToGrid w:val="0"/>
              <w:rPr>
                <w:color w:val="000000"/>
                <w:sz w:val="18"/>
              </w:rPr>
            </w:pPr>
            <w:r>
              <w:rPr>
                <w:color w:val="000000"/>
                <w:sz w:val="18"/>
                <w:szCs w:val="18"/>
              </w:rPr>
              <w:t>GI image VQA</w:t>
            </w:r>
          </w:p>
        </w:tc>
        <w:tc>
          <w:tcPr>
            <w:tcW w:w="3024" w:type="dxa"/>
            <w:vAlign w:val="center"/>
          </w:tcPr>
          <w:p w14:paraId="0666A4B8" w14:textId="77777777" w:rsidR="00A74C28" w:rsidRDefault="00000000">
            <w:pPr>
              <w:keepLines/>
              <w:snapToGrid w:val="0"/>
              <w:rPr>
                <w:color w:val="000000"/>
                <w:sz w:val="18"/>
              </w:rPr>
            </w:pPr>
            <w:r>
              <w:rPr>
                <w:color w:val="000000"/>
                <w:sz w:val="18"/>
                <w:szCs w:val="18"/>
              </w:rPr>
              <w:t xml:space="preserve">Adapted Qwen2.5-VL; BM25 and </w:t>
            </w:r>
            <w:proofErr w:type="spellStart"/>
            <w:r>
              <w:rPr>
                <w:color w:val="000000"/>
                <w:sz w:val="18"/>
                <w:szCs w:val="18"/>
              </w:rPr>
              <w:t>ColQwen</w:t>
            </w:r>
            <w:proofErr w:type="spellEnd"/>
            <w:r>
              <w:rPr>
                <w:color w:val="000000"/>
                <w:sz w:val="18"/>
                <w:szCs w:val="18"/>
              </w:rPr>
              <w:t xml:space="preserve"> example retrieval</w:t>
            </w:r>
          </w:p>
        </w:tc>
        <w:tc>
          <w:tcPr>
            <w:tcW w:w="3412" w:type="dxa"/>
            <w:vAlign w:val="center"/>
          </w:tcPr>
          <w:p w14:paraId="2AC9DAFF" w14:textId="77777777" w:rsidR="00A74C28" w:rsidRDefault="00000000">
            <w:pPr>
              <w:keepLines/>
              <w:snapToGrid w:val="0"/>
              <w:rPr>
                <w:color w:val="000000"/>
                <w:sz w:val="18"/>
              </w:rPr>
            </w:pPr>
            <w:r>
              <w:rPr>
                <w:color w:val="000000"/>
                <w:sz w:val="18"/>
                <w:szCs w:val="18"/>
              </w:rPr>
              <w:t>GI retrieval baseline; retrieves dataset examples rather than clinical guidelines.</w:t>
            </w:r>
          </w:p>
        </w:tc>
      </w:tr>
    </w:tbl>
    <w:p w14:paraId="52273A46" w14:textId="77777777" w:rsidR="00A74C28" w:rsidRDefault="00000000">
      <w:pPr>
        <w:spacing w:before="100" w:after="60"/>
        <w:rPr>
          <w:color w:val="000000"/>
          <w:sz w:val="16"/>
        </w:rPr>
      </w:pPr>
      <w:r>
        <w:rPr>
          <w:color w:val="000000"/>
          <w:sz w:val="16"/>
        </w:rPr>
        <w:t>Years follow the cited versions: Kvasir-VQA (2024) and x1 (first online 2025; chapter 2026) share one row. Colon-X is cited as the revised 2026 report, first released in 2025.</w:t>
      </w:r>
    </w:p>
    <w:p w14:paraId="45F36107" w14:textId="77777777" w:rsidR="00A74C28" w:rsidRDefault="00000000">
      <w:pPr>
        <w:spacing w:after="60"/>
        <w:rPr>
          <w:color w:val="000000"/>
          <w:sz w:val="16"/>
        </w:rPr>
      </w:pPr>
      <w:r>
        <w:rPr>
          <w:color w:val="000000"/>
          <w:sz w:val="16"/>
        </w:rPr>
        <w:t>Entries distinguish models, benchmarks and frameworks. Scope statements concern the cited evaluation or inspected release. CE-R1, Colon-X and ARISE are cited as preprints or technical reports. GI = gastrointestinal; WCE = wireless capsule endoscopy.</w:t>
      </w:r>
    </w:p>
    <w:p w14:paraId="24DE1BF7" w14:textId="77777777" w:rsidR="00A74C28" w:rsidRDefault="00A74C28">
      <w:pPr>
        <w:ind w:firstLine="360"/>
        <w:jc w:val="both"/>
        <w:rPr>
          <w:lang w:eastAsia="pt-BR"/>
        </w:rPr>
      </w:pPr>
    </w:p>
    <w:p w14:paraId="77E3A513" w14:textId="77777777" w:rsidR="007761F6" w:rsidRDefault="007761F6">
      <w:pPr>
        <w:ind w:firstLine="360"/>
        <w:jc w:val="both"/>
        <w:rPr>
          <w:lang w:eastAsia="pt-BR"/>
        </w:rPr>
      </w:pPr>
    </w:p>
    <w:p w14:paraId="7340BBA4" w14:textId="77777777" w:rsidR="00C9276B" w:rsidRDefault="00C9276B">
      <w:pPr>
        <w:ind w:firstLine="360"/>
        <w:jc w:val="both"/>
        <w:rPr>
          <w:lang w:eastAsia="pt-BR"/>
        </w:rPr>
      </w:pPr>
    </w:p>
    <w:p w14:paraId="62F9F7B3" w14:textId="77777777" w:rsidR="0026654F" w:rsidRDefault="0026654F">
      <w:pPr>
        <w:ind w:firstLine="360"/>
        <w:jc w:val="both"/>
        <w:rPr>
          <w:lang w:eastAsia="pt-BR"/>
        </w:rPr>
      </w:pPr>
    </w:p>
    <w:p w14:paraId="156B7871" w14:textId="77777777" w:rsidR="00C9276B" w:rsidRDefault="00C9276B">
      <w:pPr>
        <w:ind w:firstLine="360"/>
        <w:jc w:val="both"/>
        <w:rPr>
          <w:lang w:eastAsia="pt-BR"/>
        </w:rPr>
      </w:pPr>
    </w:p>
    <w:p w14:paraId="56F85640" w14:textId="77777777" w:rsidR="00C9276B" w:rsidRDefault="00C9276B">
      <w:pPr>
        <w:ind w:firstLine="360"/>
        <w:jc w:val="both"/>
        <w:rPr>
          <w:lang w:eastAsia="pt-BR"/>
        </w:rPr>
        <w:sectPr w:rsidR="00C9276B">
          <w:type w:val="continuous"/>
          <w:pgSz w:w="12240" w:h="15840"/>
          <w:pgMar w:top="1440" w:right="1107" w:bottom="1440" w:left="1210" w:header="0" w:footer="0" w:gutter="0"/>
          <w:cols w:space="460"/>
          <w:formProt w:val="0"/>
          <w:titlePg/>
          <w:docGrid w:linePitch="360"/>
        </w:sectPr>
      </w:pPr>
    </w:p>
    <w:p w14:paraId="1011AEDE" w14:textId="77777777" w:rsidR="00A74C28" w:rsidRDefault="00F559E5" w:rsidP="00F25C4A">
      <w:pPr>
        <w:pStyle w:val="Heading1"/>
        <w:numPr>
          <w:ilvl w:val="0"/>
          <w:numId w:val="2"/>
        </w:numPr>
        <w:rPr>
          <w:highlight w:val="yellow"/>
        </w:rPr>
      </w:pPr>
      <w:r>
        <w:rPr>
          <w:highlight w:val="yellow"/>
        </w:rPr>
        <w:lastRenderedPageBreak/>
        <w:t>Capsule-Endoscopy Grounding Techniques</w:t>
      </w:r>
    </w:p>
    <w:p w14:paraId="116E376B" w14:textId="77777777" w:rsidR="00576958" w:rsidRPr="00C9276B" w:rsidRDefault="00576958" w:rsidP="00576958">
      <w:pPr>
        <w:pStyle w:val="Heading2"/>
        <w:numPr>
          <w:ilvl w:val="0"/>
          <w:numId w:val="0"/>
        </w:numPr>
        <w:rPr>
          <w:rStyle w:val="Heading1Char"/>
        </w:rPr>
      </w:pPr>
      <w:r w:rsidRPr="00C9276B">
        <w:rPr>
          <w:rStyle w:val="Heading1Char"/>
        </w:rPr>
        <w:t>A. Kvasir-Capsule Dataset</w:t>
      </w:r>
    </w:p>
    <w:p w14:paraId="4C50C343" w14:textId="77777777" w:rsidR="00C9276B" w:rsidRDefault="00C9276B" w:rsidP="00C9276B">
      <w:pPr>
        <w:ind w:firstLine="426"/>
        <w:jc w:val="both"/>
      </w:pPr>
      <w:r>
        <w:t xml:space="preserve">Kvasir-Capsule [3] is a publicly available video capsule endoscopy dataset collected at </w:t>
      </w:r>
      <w:proofErr w:type="spellStart"/>
      <w:r>
        <w:t>Bærum</w:t>
      </w:r>
      <w:proofErr w:type="spellEnd"/>
      <w:r>
        <w:t xml:space="preserve"> Hospital, Norway. The original release comprises 117 videos, including 43 source sequences with annotated excerpts and 74 unlabeled videos, corresponding to approximately 4.74 million video frames. The dataset copy used in this study contains 47,238 medically verified labelled JPEG images at a resolution of 336 × 336 pixels, representing 14 classes of anatomical landmarks, pathological findings, normal clean mucosa, and reduced mucosal view.</w:t>
      </w:r>
    </w:p>
    <w:p w14:paraId="515FAE71" w14:textId="77777777" w:rsidR="00C9276B" w:rsidRDefault="00C9276B" w:rsidP="00C9276B">
      <w:pPr>
        <w:ind w:firstLine="426"/>
        <w:jc w:val="both"/>
      </w:pPr>
      <w:r>
        <w:t xml:space="preserve">The accompanying metadata.csv file associates image filenames with source video identifiers, frame numbers, </w:t>
      </w:r>
      <w:r>
        <w:t>finding categories, and class labels, and provides bounding-box coordinates for applicable annotations. The labelled images are distributed unevenly across classes. Together, the image files, source videos, and annotation metadata provided the original visual, spatial, and temporal resources used as inputs to the Phase 2 preparation pipeline.</w:t>
      </w:r>
    </w:p>
    <w:p w14:paraId="5EB3FB5E" w14:textId="77777777" w:rsidR="00C9276B" w:rsidRDefault="00C9276B" w:rsidP="00C9276B">
      <w:pPr>
        <w:ind w:firstLine="426"/>
        <w:jc w:val="both"/>
      </w:pPr>
    </w:p>
    <w:p w14:paraId="39BF2894" w14:textId="77777777" w:rsidR="00C9276B" w:rsidRPr="00C9276B" w:rsidRDefault="00C9276B" w:rsidP="00C9276B">
      <w:pPr>
        <w:pStyle w:val="Title"/>
        <w:keepNext/>
        <w:rPr>
          <w:rStyle w:val="Heading1Char"/>
        </w:rPr>
      </w:pPr>
      <w:r w:rsidRPr="00C9276B">
        <w:rPr>
          <w:rStyle w:val="Heading1Char"/>
        </w:rPr>
        <w:t>B. Data Curation and Visual Evidence Preparation</w:t>
      </w:r>
    </w:p>
    <w:p w14:paraId="75849106" w14:textId="77777777" w:rsidR="00C9276B" w:rsidRDefault="00C9276B" w:rsidP="00C9276B">
      <w:pPr>
        <w:ind w:firstLine="426"/>
        <w:jc w:val="both"/>
        <w:sectPr w:rsidR="00C9276B">
          <w:type w:val="continuous"/>
          <w:pgSz w:w="12240" w:h="15840"/>
          <w:pgMar w:top="1440" w:right="1107" w:bottom="1440" w:left="1210" w:header="0" w:footer="0" w:gutter="0"/>
          <w:cols w:num="2" w:space="460"/>
          <w:formProt w:val="0"/>
          <w:titlePg/>
          <w:docGrid w:linePitch="360"/>
        </w:sectPr>
      </w:pPr>
      <w:r>
        <w:t>An eight-stage pipeline was implemented to transform Kvasir-Capsule [3] into a structured collection of visual evidence and reproducible MMVQA inputs (Fig. 1). Processing configurations, persistent identifiers, audit tables, and SHA-256 checksums recorded the relationships among source assets, annotations, and derived products.</w:t>
      </w:r>
    </w:p>
    <w:p w14:paraId="79BC9C85" w14:textId="77777777" w:rsidR="00AB1D76" w:rsidRDefault="007761F6" w:rsidP="00F25C4A">
      <w:pPr>
        <w:keepNext/>
        <w:keepLines/>
        <w:spacing w:before="120"/>
        <w:jc w:val="center"/>
      </w:pPr>
      <w:r>
        <w:rPr>
          <w:noProof/>
        </w:rPr>
        <w:drawing>
          <wp:inline distT="0" distB="0" distL="0" distR="0" wp14:anchorId="3736DD94" wp14:editId="1180196A">
            <wp:extent cx="6301105" cy="2786802"/>
            <wp:effectExtent l="0" t="0" r="5715" b="3175"/>
            <wp:docPr id="10829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35888" name="Picture 10829358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01105" cy="2786802"/>
                    </a:xfrm>
                    <a:prstGeom prst="rect">
                      <a:avLst/>
                    </a:prstGeom>
                  </pic:spPr>
                </pic:pic>
              </a:graphicData>
            </a:graphic>
          </wp:inline>
        </w:drawing>
      </w:r>
    </w:p>
    <w:p w14:paraId="53CD9892" w14:textId="77777777" w:rsidR="00FD2203" w:rsidRDefault="00000000">
      <w:pPr>
        <w:pStyle w:val="Caption"/>
        <w:keepLines/>
        <w:spacing w:before="100" w:line="210" w:lineRule="atLeast"/>
        <w:jc w:val="both"/>
        <w:sectPr w:rsidR="00FD2203">
          <w:type w:val="continuous"/>
          <w:pgSz w:w="12240" w:h="15840"/>
          <w:pgMar w:top="1440" w:right="1107" w:bottom="1440" w:left="1210" w:header="0" w:footer="0" w:gutter="0"/>
          <w:cols w:space="460"/>
          <w:formProt w:val="0"/>
          <w:titlePg/>
          <w:docGrid w:linePitch="360"/>
        </w:sectPr>
      </w:pPr>
      <w:r>
        <w:rPr>
          <w:bCs w:val="0"/>
          <w:smallCaps w:val="0"/>
          <w:sz w:val="18"/>
          <w:szCs w:val="18"/>
        </w:rPr>
        <w:t>Fig. 1. Overview of the capsule-endoscopy evidence preparation workflow. The eight components are organized into source curation, evidence organization, and visual input preparation. Aligned annotations support frame assignments, observed finding segments, and temporal context. Technical quality metrics accompany the construction of complementary visual inputs and ordered input specifications. Domain-adaptation references form a separate registry, while source provenance is retained across the workflow.</w:t>
      </w:r>
    </w:p>
    <w:p w14:paraId="1162F56E" w14:textId="77777777" w:rsidR="00C9276B" w:rsidRDefault="00C9276B" w:rsidP="00C9276B">
      <w:pPr>
        <w:jc w:val="both"/>
        <w:rPr>
          <w:i/>
        </w:rPr>
      </w:pPr>
    </w:p>
    <w:p w14:paraId="1C6E2F04" w14:textId="77777777" w:rsidR="00C9276B" w:rsidRDefault="00C9276B" w:rsidP="00C9276B">
      <w:pPr>
        <w:jc w:val="both"/>
      </w:pPr>
      <w:r>
        <w:rPr>
          <w:i/>
        </w:rPr>
        <w:t xml:space="preserve">1) Dataset ingestion and audit: </w:t>
      </w:r>
      <w:r>
        <w:t>Configuration-driven ingestion organized raw, intermediate, and curated assets, with class-completeness checks and archive-recovery procedures. Metadata fields and finding labels were normalized, and deterministic identifiers linked images to their source videos and frame indices. Removing nine exact duplicate rows yielded 47,239 annotations associated with 47,238 labelled image files and 47,229 distinct frames across 14 classes. The inventory preserved multiple annotations and class memberships associated with the same frame and satisfied all 22 consistency checks.</w:t>
      </w:r>
    </w:p>
    <w:p w14:paraId="4A0E6CD1" w14:textId="77777777" w:rsidR="00C9276B" w:rsidRDefault="00C9276B" w:rsidP="00C9276B">
      <w:pPr>
        <w:jc w:val="both"/>
        <w:rPr>
          <w:i/>
        </w:rPr>
      </w:pPr>
    </w:p>
    <w:p w14:paraId="267168E4" w14:textId="77777777" w:rsidR="00C9276B" w:rsidRDefault="00C9276B" w:rsidP="00C9276B">
      <w:pPr>
        <w:jc w:val="both"/>
      </w:pPr>
      <w:r>
        <w:rPr>
          <w:i/>
        </w:rPr>
        <w:t xml:space="preserve">2) Video validation and frame alignment: </w:t>
      </w:r>
      <w:r>
        <w:t xml:space="preserve">Complete decoding of 117 videos recorded 4,765,114 decoded </w:t>
      </w:r>
      <w:r>
        <w:t>frames. Image-to-video correspondence was evaluated using structural similarity (SSIM) over candidate offsets from −2 to +2 frames. Acceptance required SSIM ≥ 0.92, a score margin of at least 0.005 between the best and second-best matches, and consistent accepted offsets within each video. All 47,238 image mappings were accepted at zero offset. The aligned metadata retained zero-based frame indices, similarity scores, acceptance margins, and source provenance.</w:t>
      </w:r>
    </w:p>
    <w:p w14:paraId="67D1B9EF" w14:textId="77777777" w:rsidR="00C9276B" w:rsidRDefault="00C9276B" w:rsidP="00C9276B">
      <w:pPr>
        <w:jc w:val="both"/>
        <w:rPr>
          <w:i/>
        </w:rPr>
      </w:pPr>
    </w:p>
    <w:p w14:paraId="73D6EE1F" w14:textId="77777777" w:rsidR="00C9276B" w:rsidRDefault="00C9276B" w:rsidP="00C9276B">
      <w:pPr>
        <w:jc w:val="both"/>
      </w:pPr>
      <w:r>
        <w:rPr>
          <w:i/>
        </w:rPr>
        <w:t xml:space="preserve">3) Clinical taxonomy and spatial evidence: </w:t>
      </w:r>
      <w:r>
        <w:t xml:space="preserve">Labelled-frame and video manifests integrated accepted alignment records with a taxonomy mapping 14 finding classes to nine clinical groups. Class-coverage reports quantified annotation and video support. Bounding-box validation assessed </w:t>
      </w:r>
      <w:r>
        <w:lastRenderedPageBreak/>
        <w:t>coordinate completeness, geometry, and image bounds, identifying 4,127 spatially usable annotations, 43,004 records with missing boxes, and 108 with out-of-bounds boxes. These categories were preserved through explicit flags indicating spatial usability.</w:t>
      </w:r>
    </w:p>
    <w:p w14:paraId="177A1579" w14:textId="77777777" w:rsidR="00C9276B" w:rsidRDefault="00C9276B" w:rsidP="00C9276B">
      <w:pPr>
        <w:jc w:val="both"/>
        <w:rPr>
          <w:i/>
        </w:rPr>
      </w:pPr>
    </w:p>
    <w:p w14:paraId="41968053" w14:textId="77777777" w:rsidR="00C9276B" w:rsidRDefault="00C9276B" w:rsidP="00C9276B">
      <w:pPr>
        <w:jc w:val="both"/>
      </w:pPr>
      <w:r>
        <w:rPr>
          <w:i/>
        </w:rPr>
        <w:t xml:space="preserve">4) Frame partitioning and adaptation references: </w:t>
      </w:r>
      <w:r>
        <w:t xml:space="preserve">Constrained allocation with random seed 42 assigned distinct frames to training, validation, and test partitions containing 33,060, 7,084, and 7,085 frames, respectively, approximating a 70:15:15 ratio. All annotations of a frame shared one assignment, and every partition represented all 14 classes. Each of the 43 labelled videos contributed frames to all three partitions. A separate domain-adaptation manifest registered 185,755 </w:t>
      </w:r>
      <w:proofErr w:type="spellStart"/>
      <w:r>
        <w:t>unlabelled</w:t>
      </w:r>
      <w:proofErr w:type="spellEnd"/>
      <w:r>
        <w:t xml:space="preserve"> frame references sampled at nominal 0.5-s intervals from 74 fully </w:t>
      </w:r>
      <w:proofErr w:type="spellStart"/>
      <w:r>
        <w:t>unlabelled</w:t>
      </w:r>
      <w:proofErr w:type="spellEnd"/>
      <w:r>
        <w:t xml:space="preserve"> videos.</w:t>
      </w:r>
    </w:p>
    <w:p w14:paraId="45C5C0ED" w14:textId="77777777" w:rsidR="00C9276B" w:rsidRDefault="00C9276B" w:rsidP="00C9276B">
      <w:pPr>
        <w:keepLines/>
        <w:jc w:val="both"/>
        <w:rPr>
          <w:i/>
        </w:rPr>
      </w:pPr>
    </w:p>
    <w:p w14:paraId="4E871698" w14:textId="77777777" w:rsidR="00C9276B" w:rsidRDefault="00C9276B" w:rsidP="00C9276B">
      <w:pPr>
        <w:keepLines/>
        <w:jc w:val="both"/>
      </w:pPr>
      <w:r>
        <w:rPr>
          <w:i/>
        </w:rPr>
        <w:t xml:space="preserve">5) Finding segments and temporal supervision: </w:t>
      </w:r>
      <w:r>
        <w:t>Adjacent anchors sharing a finding class, source video, and inherited partition were grouped using a maximum one-frame gap. This produced 22,220 finding segments: 13,378 single-anchor segments and 8,842 multi-anchor candidates for weak temporal supervision. Each segment retained its constituent annotations, a reproducible identifier, the first and last observed anchor positions, and a representative middle anchor.</w:t>
      </w:r>
    </w:p>
    <w:p w14:paraId="2F7A9E89" w14:textId="77777777" w:rsidR="00C9276B" w:rsidRDefault="00C9276B" w:rsidP="00C9276B">
      <w:pPr>
        <w:jc w:val="both"/>
        <w:rPr>
          <w:i/>
        </w:rPr>
      </w:pPr>
    </w:p>
    <w:p w14:paraId="0E20B508" w14:textId="77777777" w:rsidR="00C9276B" w:rsidRDefault="00C9276B" w:rsidP="00C9276B">
      <w:pPr>
        <w:jc w:val="both"/>
      </w:pPr>
      <w:r>
        <w:rPr>
          <w:i/>
        </w:rPr>
        <w:t xml:space="preserve">6) Temporal context and image provenance: </w:t>
      </w:r>
      <w:r>
        <w:t>Context windows were constructed around segment representatives at nominal offsets of −2, −1, 0, +1, and +2 s, calculated from container frame rates. Official images were reused, and extraction requests were deduplicated by video and frame identity. NVIDIA hardware decoding (NVDEC) produced 18,889 additional images, supporting a temporal manifest of 110,666 references. Image audits, source hashes, temporal offsets, and annotation status accompanied the resulting evidence records.</w:t>
      </w:r>
    </w:p>
    <w:p w14:paraId="17CD9D6B" w14:textId="77777777" w:rsidR="00C9276B" w:rsidRDefault="00C9276B" w:rsidP="00C9276B">
      <w:pPr>
        <w:jc w:val="both"/>
        <w:rPr>
          <w:i/>
        </w:rPr>
      </w:pPr>
    </w:p>
    <w:p w14:paraId="461CDD79" w14:textId="77777777" w:rsidR="00C9276B" w:rsidRDefault="00C9276B" w:rsidP="00C9276B">
      <w:pPr>
        <w:jc w:val="both"/>
      </w:pPr>
      <w:r>
        <w:rPr>
          <w:i/>
        </w:rPr>
        <w:t xml:space="preserve">7) Technical image quality assessment: </w:t>
      </w:r>
      <w:r>
        <w:t>The combined labelled and temporal collection comprised 66,127 readable image files. Source hashes were verified, and GPU-based analysis measured dimensions, brightness, contrast, blur, exposure, and specular-reflection characteristics. Each file was assessed once, and its quality descriptors were joined to 47,239 annotation records and 110,666 temporal references. Local SSD staging and resumable checkpoints supported reproducible processing.</w:t>
      </w:r>
    </w:p>
    <w:p w14:paraId="5C694F5C" w14:textId="77777777" w:rsidR="00C9276B" w:rsidRDefault="00C9276B" w:rsidP="00C9276B">
      <w:pPr>
        <w:jc w:val="both"/>
      </w:pPr>
      <w:r>
        <w:rPr>
          <w:i/>
        </w:rPr>
        <w:t xml:space="preserve">8) Visual input construction and verified delivery: </w:t>
      </w:r>
      <w:r>
        <w:t xml:space="preserve">Visual preparation produced 118,201 derived JPEGs comprising region crops, bounding-box overlays, paired full-frame/crop panels, temporal collages, observed-anchor sequence panels, quality panels, normal-reference comparisons, and combined panels. Together with 66,127 original-image references, these formed 184,328 visual records linked through 478,701 provenance entries. The </w:t>
      </w:r>
      <w:r>
        <w:t>input manifests contained 216,808 ordered input specifications across 11 representation variants. Annotation-assisted variants were identified explicitly, source annotation fields were stored separately from model-facing manifests, and 237 shared-source groups recorded relationships among related inputs. Eight TAR archives and 22 metadata objects were delivered with size and SHA-256 verification; selected metadata was read back and verified before repository publication.</w:t>
      </w:r>
    </w:p>
    <w:p w14:paraId="4F16658C" w14:textId="77777777" w:rsidR="00576958" w:rsidRDefault="00C9276B" w:rsidP="00F25C4A">
      <w:pPr>
        <w:jc w:val="both"/>
      </w:pPr>
      <w:r>
        <w:t>The resulting collection connects original frames and derived visual inputs to source videos, spatial annotations, temporal context, quality measurements, and construction parameters through reproducible manifests.</w:t>
      </w:r>
    </w:p>
    <w:p w14:paraId="29427FA2" w14:textId="77777777" w:rsidR="00AB1D76" w:rsidRDefault="00AB1D76" w:rsidP="00F25C4A">
      <w:pPr>
        <w:jc w:val="both"/>
      </w:pPr>
    </w:p>
    <w:p w14:paraId="7727202C" w14:textId="77777777" w:rsidR="00A74C28" w:rsidRPr="008E604E" w:rsidRDefault="008E604E">
      <w:pPr>
        <w:pStyle w:val="Heading2"/>
        <w:rPr>
          <w:rStyle w:val="Heading1Char"/>
        </w:rPr>
      </w:pPr>
      <w:r w:rsidRPr="008E604E">
        <w:rPr>
          <w:rStyle w:val="Heading1Char"/>
        </w:rPr>
        <w:t>C. Medical MMVQA Benchmark Construction</w:t>
      </w:r>
    </w:p>
    <w:p w14:paraId="330A2C46" w14:textId="77777777" w:rsidR="00A74C28" w:rsidRDefault="00A74C28">
      <w:pPr>
        <w:rPr>
          <w:lang w:eastAsia="pt-BR"/>
        </w:rPr>
      </w:pPr>
    </w:p>
    <w:p w14:paraId="28514FAD" w14:textId="77777777" w:rsidR="00A74C28" w:rsidRDefault="00000000" w:rsidP="00F25C4A">
      <w:pPr>
        <w:pStyle w:val="Heading1"/>
        <w:numPr>
          <w:ilvl w:val="0"/>
          <w:numId w:val="2"/>
        </w:numPr>
      </w:pPr>
      <w:r>
        <w:t>Proposed Framework</w:t>
      </w:r>
    </w:p>
    <w:p w14:paraId="526A55F2" w14:textId="77777777" w:rsidR="00A74C28" w:rsidRDefault="00A74C28" w:rsidP="00F25C4A">
      <w:pPr>
        <w:jc w:val="center"/>
        <w:rPr>
          <w:lang w:eastAsia="pt-BR"/>
        </w:rPr>
      </w:pPr>
    </w:p>
    <w:p w14:paraId="5470044C" w14:textId="77777777" w:rsidR="00A74C28" w:rsidRDefault="00000000" w:rsidP="00F25C4A">
      <w:pPr>
        <w:pStyle w:val="Heading1"/>
        <w:numPr>
          <w:ilvl w:val="0"/>
          <w:numId w:val="2"/>
        </w:numPr>
      </w:pPr>
      <w:r>
        <w:t>Experimental Setup</w:t>
      </w:r>
    </w:p>
    <w:p w14:paraId="6861BA36" w14:textId="77777777" w:rsidR="00A74C28" w:rsidRPr="008E604E" w:rsidRDefault="008E604E" w:rsidP="008E604E">
      <w:pPr>
        <w:pStyle w:val="Heading2"/>
        <w:numPr>
          <w:ilvl w:val="0"/>
          <w:numId w:val="0"/>
        </w:numPr>
        <w:rPr>
          <w:rStyle w:val="Heading1Char"/>
        </w:rPr>
      </w:pPr>
      <w:r>
        <w:rPr>
          <w:rStyle w:val="Heading1Char"/>
        </w:rPr>
        <w:t xml:space="preserve">VI.1 </w:t>
      </w:r>
      <w:r w:rsidRPr="008E604E">
        <w:rPr>
          <w:rStyle w:val="Heading1Char"/>
        </w:rPr>
        <w:t xml:space="preserve">Preliminary Model Screening on </w:t>
      </w:r>
      <w:proofErr w:type="spellStart"/>
      <w:r w:rsidRPr="008E604E">
        <w:rPr>
          <w:rStyle w:val="Heading1Char"/>
        </w:rPr>
        <w:t>ChartQA</w:t>
      </w:r>
      <w:proofErr w:type="spellEnd"/>
    </w:p>
    <w:p w14:paraId="0831AB52" w14:textId="77777777" w:rsidR="00A74C28" w:rsidRDefault="00A74C28">
      <w:pPr>
        <w:rPr>
          <w:lang w:eastAsia="pt-BR"/>
        </w:rPr>
      </w:pPr>
    </w:p>
    <w:p w14:paraId="74862C5F" w14:textId="77777777" w:rsidR="00A74C28" w:rsidRDefault="00000000">
      <w:pPr>
        <w:ind w:firstLine="360"/>
        <w:jc w:val="both"/>
        <w:rPr>
          <w:lang w:eastAsia="pt-BR"/>
        </w:rPr>
      </w:pPr>
      <w:r>
        <w:rPr>
          <w:color w:val="000000"/>
        </w:rPr>
        <w:t xml:space="preserve">Before conducting the medical-domain experiments, six vision-language models were evaluated on the same 200-question subset of the </w:t>
      </w:r>
      <w:proofErr w:type="spellStart"/>
      <w:r>
        <w:rPr>
          <w:color w:val="000000"/>
        </w:rPr>
        <w:t>ChartQA</w:t>
      </w:r>
      <w:proofErr w:type="spellEnd"/>
      <w:r>
        <w:rPr>
          <w:color w:val="000000"/>
        </w:rPr>
        <w:t xml:space="preserve"> validation split. The subset was selected using a fixed random seed of 42, and each model was limited to 64 generated tokens. This preliminary out-of-domain experiment was designed to validate the inference and evaluation pipeline, compare general visual question-answering capabilities, and identify suitable models for subsequent capsule-endoscopy evaluation. All models successfully processed the complete subset without inference errors. The corresponding results are presented in Section VI.</w:t>
      </w:r>
    </w:p>
    <w:p w14:paraId="5A613292" w14:textId="77777777" w:rsidR="00A74C28" w:rsidRDefault="00000000">
      <w:pPr>
        <w:pStyle w:val="BodyTextIndent"/>
      </w:pPr>
      <w:r>
        <w:rPr>
          <w:color w:val="000000"/>
        </w:rPr>
        <w:t>Two complementary metrics were used to evaluate model responses.</w:t>
      </w:r>
      <w:r>
        <w:rPr>
          <w:rStyle w:val="apple-converted-space"/>
          <w:color w:val="000000"/>
        </w:rPr>
        <w:t xml:space="preserve">  </w:t>
      </w:r>
      <w:r>
        <w:rPr>
          <w:rStyle w:val="Strong"/>
          <w:color w:val="000000"/>
        </w:rPr>
        <w:t>Relaxed Match Accuracy</w:t>
      </w:r>
      <w:r>
        <w:rPr>
          <w:rStyle w:val="apple-converted-space"/>
          <w:color w:val="000000"/>
        </w:rPr>
        <w:t> </w:t>
      </w:r>
      <w:r>
        <w:rPr>
          <w:color w:val="000000"/>
        </w:rPr>
        <w:t>considered a prediction correct when the normalized reference answer was contained in the normalized generated response. For numerical answers, predictions were also accepted when the extracted value was within a 5% relative tolerance of the reference value, allowing equivalent formats such as decimals, percentages, or additional explanatory text.</w:t>
      </w:r>
      <w:r>
        <w:rPr>
          <w:rStyle w:val="apple-converted-space"/>
          <w:color w:val="000000"/>
        </w:rPr>
        <w:t> </w:t>
      </w:r>
      <w:r>
        <w:rPr>
          <w:rStyle w:val="Strong"/>
          <w:color w:val="000000"/>
        </w:rPr>
        <w:t>Numeric Match Accuracy</w:t>
      </w:r>
      <w:r>
        <w:rPr>
          <w:rStyle w:val="apple-converted-space"/>
          <w:color w:val="000000"/>
        </w:rPr>
        <w:t> </w:t>
      </w:r>
      <w:r>
        <w:rPr>
          <w:color w:val="000000"/>
        </w:rPr>
        <w:t>evaluated whether a numerical value extracted from the model response matched the reference numerical value within the same tolerance. Accuracy was calculated as the number of correctly matched predictions divided by the total number of evaluated examples. Relaxed Exact Match measures overall answer correctness, whereas Numeric Match focuses specifically on the correctness of extracted numerical values.</w:t>
      </w:r>
    </w:p>
    <w:p w14:paraId="5DDDE0D5" w14:textId="77777777" w:rsidR="00A74C28" w:rsidRDefault="00A74C28">
      <w:pPr>
        <w:pStyle w:val="BodyTextIndent"/>
        <w:rPr>
          <w:color w:val="000000"/>
        </w:rPr>
      </w:pPr>
    </w:p>
    <w:p w14:paraId="24072465" w14:textId="77777777" w:rsidR="00A74C28" w:rsidRDefault="00000000" w:rsidP="00F25C4A">
      <w:pPr>
        <w:pStyle w:val="Heading1"/>
        <w:numPr>
          <w:ilvl w:val="0"/>
          <w:numId w:val="2"/>
        </w:numPr>
      </w:pPr>
      <w:r>
        <w:lastRenderedPageBreak/>
        <w:t>Results</w:t>
      </w:r>
    </w:p>
    <w:p w14:paraId="410C0870" w14:textId="77777777" w:rsidR="00A74C28" w:rsidRDefault="00000000">
      <w:pPr>
        <w:ind w:firstLine="245"/>
        <w:jc w:val="both"/>
      </w:pPr>
      <w:r>
        <w:t xml:space="preserve">Using the evaluation metrics defined in Section V, InternVL2.5-8B achieved the highest Relaxed Exact Match accuracy of 89.5%. </w:t>
      </w:r>
      <w:r>
        <w:rPr>
          <w:color w:val="000000"/>
        </w:rPr>
        <w:t xml:space="preserve">These findings suggest that the recent general-purpose vision-language models provided stronger combined visual interpretation, instruction following, and answer generation on the selected </w:t>
      </w:r>
      <w:proofErr w:type="spellStart"/>
      <w:r>
        <w:rPr>
          <w:color w:val="000000"/>
        </w:rPr>
        <w:t>ChartQA</w:t>
      </w:r>
      <w:proofErr w:type="spellEnd"/>
      <w:r>
        <w:rPr>
          <w:color w:val="000000"/>
        </w:rPr>
        <w:t xml:space="preserve"> sample than the evaluated chart-specialized architectures. The small difference between InternVL2.5-8B and Qwen2.5-VL-7B also indicates that both models are competitive candidates for downstream evaluation. However, these results should be interpreted only as preliminary pipeline validation and model screening. Strong performance on chart-based question answering does not demonstrate equivalent performance on capsule-endoscopy images, where the visual content, clinical terminology, evidence requirements, and reasoning tasks are substantially different.</w:t>
      </w:r>
      <w:r>
        <w:rPr>
          <w:rFonts w:ascii="-webkit-standard;Cambria" w:hAnsi="-webkit-standard;Cambria" w:cs="-webkit-standard;Cambria"/>
          <w:color w:val="000000"/>
          <w:sz w:val="27"/>
          <w:szCs w:val="27"/>
        </w:rPr>
        <w:t xml:space="preserve"> </w:t>
      </w:r>
    </w:p>
    <w:p w14:paraId="05AC910D" w14:textId="77777777" w:rsidR="00A74C28" w:rsidRDefault="00000000">
      <w:pPr>
        <w:pStyle w:val="BodyTextIndent"/>
        <w:rPr>
          <w:color w:val="000000"/>
        </w:rPr>
      </w:pPr>
      <w:r>
        <w:rPr>
          <w:color w:val="000000"/>
        </w:rPr>
        <w:t>Inference times are reported only for models for which timing was recorded and should not be interpreted as a controlled efficiency comparison.</w:t>
      </w:r>
    </w:p>
    <w:p w14:paraId="48454377" w14:textId="77777777" w:rsidR="00A74C28" w:rsidRPr="00576958" w:rsidRDefault="00000000">
      <w:pPr>
        <w:pStyle w:val="Caption"/>
        <w:keepNext/>
        <w:spacing w:before="0" w:after="60"/>
        <w:jc w:val="center"/>
        <w:rPr>
          <w:color w:val="000000"/>
          <w:sz w:val="16"/>
          <w:szCs w:val="16"/>
        </w:rPr>
      </w:pPr>
      <w:r w:rsidRPr="00576958">
        <w:rPr>
          <w:sz w:val="16"/>
          <w:szCs w:val="16"/>
        </w:rPr>
        <w:t xml:space="preserve">TABLE II. </w:t>
      </w:r>
      <w:r w:rsidRPr="00576958">
        <w:rPr>
          <w:color w:val="000000"/>
          <w:sz w:val="16"/>
          <w:szCs w:val="16"/>
        </w:rPr>
        <w:t xml:space="preserve">Preliminary performance of the evaluated models on the </w:t>
      </w:r>
      <w:proofErr w:type="spellStart"/>
      <w:r w:rsidRPr="00576958">
        <w:rPr>
          <w:color w:val="000000"/>
          <w:sz w:val="16"/>
          <w:szCs w:val="16"/>
        </w:rPr>
        <w:t>ChartQA</w:t>
      </w:r>
      <w:proofErr w:type="spellEnd"/>
      <w:r w:rsidRPr="00576958">
        <w:rPr>
          <w:color w:val="000000"/>
          <w:sz w:val="16"/>
          <w:szCs w:val="16"/>
        </w:rPr>
        <w:t xml:space="preserve"> validation split.</w:t>
      </w:r>
    </w:p>
    <w:tbl>
      <w:tblPr>
        <w:tblW w:w="46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65" w:type="dxa"/>
          <w:bottom w:w="60" w:type="dxa"/>
          <w:right w:w="65" w:type="dxa"/>
        </w:tblCellMar>
        <w:tblLook w:val="04A0" w:firstRow="1" w:lastRow="0" w:firstColumn="1" w:lastColumn="0" w:noHBand="0" w:noVBand="1"/>
      </w:tblPr>
      <w:tblGrid>
        <w:gridCol w:w="1613"/>
        <w:gridCol w:w="864"/>
        <w:gridCol w:w="864"/>
        <w:gridCol w:w="1339"/>
      </w:tblGrid>
      <w:tr w:rsidR="00A74C28" w14:paraId="2AF6E904" w14:textId="77777777">
        <w:trPr>
          <w:cantSplit/>
          <w:tblHeader/>
          <w:jc w:val="center"/>
        </w:trPr>
        <w:tc>
          <w:tcPr>
            <w:tcW w:w="1613" w:type="dxa"/>
            <w:shd w:val="clear" w:color="auto" w:fill="F2F2F2"/>
            <w:vAlign w:val="center"/>
          </w:tcPr>
          <w:p w14:paraId="2439F85C" w14:textId="77777777" w:rsidR="00A74C28" w:rsidRDefault="00000000">
            <w:pPr>
              <w:keepLines/>
              <w:snapToGrid w:val="0"/>
              <w:rPr>
                <w:lang w:eastAsia="en-US"/>
              </w:rPr>
            </w:pPr>
            <w:r>
              <w:rPr>
                <w:b/>
                <w:color w:val="000000"/>
                <w:sz w:val="18"/>
                <w:szCs w:val="18"/>
                <w:lang w:eastAsia="en-US"/>
              </w:rPr>
              <w:t>Model</w:t>
            </w:r>
          </w:p>
        </w:tc>
        <w:tc>
          <w:tcPr>
            <w:tcW w:w="3067" w:type="dxa"/>
            <w:gridSpan w:val="3"/>
            <w:shd w:val="clear" w:color="auto" w:fill="F2F2F2"/>
            <w:vAlign w:val="center"/>
          </w:tcPr>
          <w:p w14:paraId="5EF9A9E0" w14:textId="77777777" w:rsidR="00A74C28" w:rsidRDefault="00000000">
            <w:pPr>
              <w:keepLines/>
              <w:snapToGrid w:val="0"/>
              <w:jc w:val="center"/>
              <w:rPr>
                <w:lang w:eastAsia="en-US"/>
              </w:rPr>
            </w:pPr>
            <w:r>
              <w:rPr>
                <w:b/>
                <w:color w:val="000000"/>
                <w:sz w:val="18"/>
                <w:szCs w:val="18"/>
                <w:lang w:eastAsia="en-US"/>
              </w:rPr>
              <w:t>Metrics</w:t>
            </w:r>
          </w:p>
        </w:tc>
      </w:tr>
      <w:tr w:rsidR="00A74C28" w14:paraId="7D5D9DF3" w14:textId="77777777">
        <w:trPr>
          <w:cantSplit/>
          <w:tblHeader/>
          <w:jc w:val="center"/>
        </w:trPr>
        <w:tc>
          <w:tcPr>
            <w:tcW w:w="1613" w:type="dxa"/>
            <w:shd w:val="clear" w:color="auto" w:fill="F2F2F2"/>
            <w:vAlign w:val="center"/>
          </w:tcPr>
          <w:p w14:paraId="5D5614D8" w14:textId="77777777" w:rsidR="00A74C28" w:rsidRDefault="00A74C28">
            <w:pPr>
              <w:keepLines/>
              <w:snapToGrid w:val="0"/>
              <w:rPr>
                <w:lang w:eastAsia="en-US"/>
              </w:rPr>
            </w:pPr>
          </w:p>
        </w:tc>
        <w:tc>
          <w:tcPr>
            <w:tcW w:w="864" w:type="dxa"/>
            <w:shd w:val="clear" w:color="auto" w:fill="F2F2F2"/>
            <w:vAlign w:val="center"/>
          </w:tcPr>
          <w:p w14:paraId="4A6A8CDE" w14:textId="77777777" w:rsidR="00A74C28" w:rsidRDefault="00000000">
            <w:pPr>
              <w:keepLines/>
              <w:snapToGrid w:val="0"/>
              <w:jc w:val="center"/>
              <w:rPr>
                <w:sz w:val="18"/>
                <w:szCs w:val="18"/>
                <w:lang w:eastAsia="en-US"/>
              </w:rPr>
            </w:pPr>
            <w:r>
              <w:rPr>
                <w:b/>
                <w:color w:val="000000"/>
                <w:sz w:val="18"/>
                <w:szCs w:val="18"/>
                <w:lang w:eastAsia="en-US"/>
              </w:rPr>
              <w:t>Relaxed Match</w:t>
            </w:r>
          </w:p>
        </w:tc>
        <w:tc>
          <w:tcPr>
            <w:tcW w:w="864" w:type="dxa"/>
            <w:shd w:val="clear" w:color="auto" w:fill="F2F2F2"/>
            <w:vAlign w:val="center"/>
          </w:tcPr>
          <w:p w14:paraId="74AAF7CA" w14:textId="77777777" w:rsidR="00A74C28" w:rsidRDefault="00000000">
            <w:pPr>
              <w:keepLines/>
              <w:snapToGrid w:val="0"/>
              <w:jc w:val="center"/>
              <w:rPr>
                <w:sz w:val="18"/>
                <w:szCs w:val="18"/>
                <w:lang w:eastAsia="en-US"/>
              </w:rPr>
            </w:pPr>
            <w:r>
              <w:rPr>
                <w:b/>
                <w:color w:val="000000"/>
                <w:sz w:val="18"/>
                <w:szCs w:val="18"/>
                <w:lang w:eastAsia="en-US"/>
              </w:rPr>
              <w:t>Numeric Match</w:t>
            </w:r>
          </w:p>
        </w:tc>
        <w:tc>
          <w:tcPr>
            <w:tcW w:w="1339" w:type="dxa"/>
            <w:shd w:val="clear" w:color="auto" w:fill="F2F2F2"/>
            <w:vAlign w:val="center"/>
          </w:tcPr>
          <w:p w14:paraId="5DF0E3BC" w14:textId="77777777" w:rsidR="00A74C28" w:rsidRDefault="00000000">
            <w:pPr>
              <w:keepLines/>
              <w:snapToGrid w:val="0"/>
              <w:jc w:val="center"/>
              <w:rPr>
                <w:sz w:val="18"/>
                <w:szCs w:val="18"/>
                <w:lang w:eastAsia="en-US"/>
              </w:rPr>
            </w:pPr>
            <w:r>
              <w:rPr>
                <w:b/>
                <w:color w:val="000000"/>
                <w:sz w:val="18"/>
                <w:szCs w:val="18"/>
                <w:lang w:eastAsia="en-US"/>
              </w:rPr>
              <w:t>Mean Inference Time</w:t>
            </w:r>
          </w:p>
        </w:tc>
      </w:tr>
      <w:tr w:rsidR="00A74C28" w14:paraId="648F126E" w14:textId="77777777">
        <w:trPr>
          <w:cantSplit/>
          <w:jc w:val="center"/>
        </w:trPr>
        <w:tc>
          <w:tcPr>
            <w:tcW w:w="1613" w:type="dxa"/>
            <w:vAlign w:val="center"/>
          </w:tcPr>
          <w:p w14:paraId="0B8180BF" w14:textId="77777777" w:rsidR="00A74C28" w:rsidRDefault="00000000">
            <w:pPr>
              <w:keepLines/>
              <w:snapToGrid w:val="0"/>
              <w:rPr>
                <w:bCs/>
                <w:sz w:val="18"/>
                <w:szCs w:val="18"/>
                <w:lang w:eastAsia="en-US"/>
              </w:rPr>
            </w:pPr>
            <w:proofErr w:type="spellStart"/>
            <w:r>
              <w:rPr>
                <w:color w:val="000000"/>
                <w:sz w:val="18"/>
                <w:szCs w:val="18"/>
                <w:lang w:eastAsia="en-US"/>
              </w:rPr>
              <w:t>DePlot</w:t>
            </w:r>
            <w:proofErr w:type="spellEnd"/>
          </w:p>
        </w:tc>
        <w:tc>
          <w:tcPr>
            <w:tcW w:w="864" w:type="dxa"/>
            <w:vAlign w:val="center"/>
          </w:tcPr>
          <w:p w14:paraId="0234D078" w14:textId="77777777" w:rsidR="00A74C28" w:rsidRDefault="00000000">
            <w:pPr>
              <w:keepLines/>
              <w:snapToGrid w:val="0"/>
              <w:jc w:val="center"/>
              <w:rPr>
                <w:bCs/>
                <w:sz w:val="18"/>
                <w:szCs w:val="18"/>
                <w:lang w:eastAsia="en-US"/>
              </w:rPr>
            </w:pPr>
            <w:r>
              <w:rPr>
                <w:color w:val="000000"/>
                <w:sz w:val="18"/>
                <w:szCs w:val="18"/>
                <w:lang w:eastAsia="en-US"/>
              </w:rPr>
              <w:t>26.5%</w:t>
            </w:r>
          </w:p>
        </w:tc>
        <w:tc>
          <w:tcPr>
            <w:tcW w:w="864" w:type="dxa"/>
            <w:vAlign w:val="center"/>
          </w:tcPr>
          <w:p w14:paraId="3F2E3E19" w14:textId="77777777" w:rsidR="00A74C28" w:rsidRDefault="00000000">
            <w:pPr>
              <w:keepLines/>
              <w:snapToGrid w:val="0"/>
              <w:jc w:val="center"/>
              <w:rPr>
                <w:bCs/>
                <w:sz w:val="18"/>
                <w:szCs w:val="18"/>
                <w:lang w:eastAsia="en-US"/>
              </w:rPr>
            </w:pPr>
            <w:r>
              <w:rPr>
                <w:color w:val="000000"/>
                <w:sz w:val="18"/>
                <w:szCs w:val="18"/>
                <w:lang w:eastAsia="en-US"/>
              </w:rPr>
              <w:t>29%</w:t>
            </w:r>
          </w:p>
        </w:tc>
        <w:tc>
          <w:tcPr>
            <w:tcW w:w="1339" w:type="dxa"/>
            <w:vAlign w:val="center"/>
          </w:tcPr>
          <w:p w14:paraId="6C1108E4" w14:textId="77777777" w:rsidR="00A74C28" w:rsidRDefault="00000000">
            <w:pPr>
              <w:keepLines/>
              <w:snapToGrid w:val="0"/>
              <w:jc w:val="center"/>
              <w:rPr>
                <w:bCs/>
                <w:sz w:val="18"/>
                <w:szCs w:val="18"/>
                <w:lang w:eastAsia="en-US"/>
              </w:rPr>
            </w:pPr>
            <w:r>
              <w:rPr>
                <w:color w:val="000000"/>
                <w:sz w:val="18"/>
                <w:szCs w:val="18"/>
                <w:lang w:eastAsia="en-US"/>
              </w:rPr>
              <w:t>--</w:t>
            </w:r>
          </w:p>
        </w:tc>
      </w:tr>
      <w:tr w:rsidR="00A74C28" w14:paraId="42A93387" w14:textId="77777777">
        <w:trPr>
          <w:cantSplit/>
          <w:jc w:val="center"/>
        </w:trPr>
        <w:tc>
          <w:tcPr>
            <w:tcW w:w="1613" w:type="dxa"/>
            <w:vAlign w:val="center"/>
          </w:tcPr>
          <w:p w14:paraId="5FC2ECB0" w14:textId="77777777" w:rsidR="00A74C28" w:rsidRDefault="00000000">
            <w:pPr>
              <w:keepLines/>
              <w:snapToGrid w:val="0"/>
              <w:rPr>
                <w:bCs/>
                <w:color w:val="000000"/>
                <w:sz w:val="18"/>
                <w:szCs w:val="18"/>
                <w:lang w:eastAsia="en-US"/>
              </w:rPr>
            </w:pPr>
            <w:r>
              <w:rPr>
                <w:color w:val="000000"/>
                <w:sz w:val="18"/>
                <w:szCs w:val="18"/>
                <w:lang w:eastAsia="en-US"/>
              </w:rPr>
              <w:t>Pix2Struct-ChartQA</w:t>
            </w:r>
          </w:p>
        </w:tc>
        <w:tc>
          <w:tcPr>
            <w:tcW w:w="864" w:type="dxa"/>
            <w:vAlign w:val="center"/>
          </w:tcPr>
          <w:p w14:paraId="53FEF6E6" w14:textId="77777777" w:rsidR="00A74C28" w:rsidRDefault="00000000">
            <w:pPr>
              <w:keepLines/>
              <w:snapToGrid w:val="0"/>
              <w:jc w:val="center"/>
              <w:rPr>
                <w:bCs/>
                <w:sz w:val="18"/>
                <w:szCs w:val="18"/>
                <w:lang w:eastAsia="en-US"/>
              </w:rPr>
            </w:pPr>
            <w:r>
              <w:rPr>
                <w:color w:val="000000"/>
                <w:sz w:val="18"/>
                <w:szCs w:val="18"/>
                <w:lang w:eastAsia="en-US"/>
              </w:rPr>
              <w:t>45.5%</w:t>
            </w:r>
          </w:p>
        </w:tc>
        <w:tc>
          <w:tcPr>
            <w:tcW w:w="864" w:type="dxa"/>
            <w:vAlign w:val="center"/>
          </w:tcPr>
          <w:p w14:paraId="7752C306" w14:textId="77777777" w:rsidR="00A74C28" w:rsidRDefault="00000000">
            <w:pPr>
              <w:keepLines/>
              <w:snapToGrid w:val="0"/>
              <w:jc w:val="center"/>
              <w:rPr>
                <w:bCs/>
                <w:sz w:val="18"/>
                <w:szCs w:val="18"/>
                <w:lang w:eastAsia="en-US"/>
              </w:rPr>
            </w:pPr>
            <w:r>
              <w:rPr>
                <w:color w:val="000000"/>
                <w:sz w:val="18"/>
                <w:szCs w:val="18"/>
                <w:lang w:eastAsia="en-US"/>
              </w:rPr>
              <w:t>35.5%</w:t>
            </w:r>
          </w:p>
        </w:tc>
        <w:tc>
          <w:tcPr>
            <w:tcW w:w="1339" w:type="dxa"/>
            <w:vAlign w:val="center"/>
          </w:tcPr>
          <w:p w14:paraId="3D10A57B" w14:textId="77777777" w:rsidR="00A74C28" w:rsidRDefault="00000000">
            <w:pPr>
              <w:keepLines/>
              <w:snapToGrid w:val="0"/>
              <w:jc w:val="center"/>
              <w:rPr>
                <w:bCs/>
                <w:sz w:val="18"/>
                <w:szCs w:val="18"/>
                <w:lang w:eastAsia="en-US"/>
              </w:rPr>
            </w:pPr>
            <w:r>
              <w:rPr>
                <w:color w:val="000000"/>
                <w:sz w:val="18"/>
                <w:szCs w:val="18"/>
                <w:lang w:eastAsia="en-US"/>
              </w:rPr>
              <w:t>--</w:t>
            </w:r>
          </w:p>
        </w:tc>
      </w:tr>
      <w:tr w:rsidR="00A74C28" w14:paraId="47AA1F70" w14:textId="77777777">
        <w:trPr>
          <w:cantSplit/>
          <w:jc w:val="center"/>
        </w:trPr>
        <w:tc>
          <w:tcPr>
            <w:tcW w:w="1613" w:type="dxa"/>
            <w:vAlign w:val="center"/>
          </w:tcPr>
          <w:p w14:paraId="702AA5B2" w14:textId="77777777" w:rsidR="00A74C28" w:rsidRDefault="00000000">
            <w:pPr>
              <w:keepLines/>
              <w:snapToGrid w:val="0"/>
              <w:rPr>
                <w:bCs/>
                <w:color w:val="000000"/>
                <w:sz w:val="18"/>
                <w:szCs w:val="18"/>
                <w:lang w:eastAsia="en-US"/>
              </w:rPr>
            </w:pPr>
            <w:r>
              <w:rPr>
                <w:color w:val="000000"/>
                <w:sz w:val="18"/>
                <w:szCs w:val="18"/>
                <w:lang w:eastAsia="en-US"/>
              </w:rPr>
              <w:t>Matcha-</w:t>
            </w:r>
            <w:proofErr w:type="spellStart"/>
            <w:r>
              <w:rPr>
                <w:color w:val="000000"/>
                <w:sz w:val="18"/>
                <w:szCs w:val="18"/>
                <w:lang w:eastAsia="en-US"/>
              </w:rPr>
              <w:t>ChartQA</w:t>
            </w:r>
            <w:proofErr w:type="spellEnd"/>
          </w:p>
        </w:tc>
        <w:tc>
          <w:tcPr>
            <w:tcW w:w="864" w:type="dxa"/>
            <w:vAlign w:val="center"/>
          </w:tcPr>
          <w:p w14:paraId="2F238DD5" w14:textId="77777777" w:rsidR="00A74C28" w:rsidRDefault="00000000">
            <w:pPr>
              <w:keepLines/>
              <w:snapToGrid w:val="0"/>
              <w:jc w:val="center"/>
              <w:rPr>
                <w:bCs/>
                <w:sz w:val="18"/>
                <w:szCs w:val="18"/>
                <w:lang w:eastAsia="en-US"/>
              </w:rPr>
            </w:pPr>
            <w:r>
              <w:rPr>
                <w:color w:val="000000"/>
                <w:sz w:val="18"/>
                <w:szCs w:val="18"/>
                <w:lang w:eastAsia="en-US"/>
              </w:rPr>
              <w:t>50.5%</w:t>
            </w:r>
          </w:p>
        </w:tc>
        <w:tc>
          <w:tcPr>
            <w:tcW w:w="864" w:type="dxa"/>
            <w:vAlign w:val="center"/>
          </w:tcPr>
          <w:p w14:paraId="0204FB13" w14:textId="77777777" w:rsidR="00A74C28" w:rsidRDefault="00000000">
            <w:pPr>
              <w:keepLines/>
              <w:snapToGrid w:val="0"/>
              <w:jc w:val="center"/>
              <w:rPr>
                <w:bCs/>
                <w:sz w:val="18"/>
                <w:szCs w:val="18"/>
                <w:lang w:eastAsia="en-US"/>
              </w:rPr>
            </w:pPr>
            <w:r>
              <w:rPr>
                <w:color w:val="000000"/>
                <w:sz w:val="18"/>
                <w:szCs w:val="18"/>
                <w:lang w:eastAsia="en-US"/>
              </w:rPr>
              <w:t>37.5%</w:t>
            </w:r>
          </w:p>
        </w:tc>
        <w:tc>
          <w:tcPr>
            <w:tcW w:w="1339" w:type="dxa"/>
            <w:vAlign w:val="center"/>
          </w:tcPr>
          <w:p w14:paraId="1420C173" w14:textId="77777777" w:rsidR="00A74C28" w:rsidRDefault="00000000">
            <w:pPr>
              <w:keepLines/>
              <w:snapToGrid w:val="0"/>
              <w:jc w:val="center"/>
              <w:rPr>
                <w:bCs/>
                <w:sz w:val="18"/>
                <w:szCs w:val="18"/>
                <w:lang w:eastAsia="en-US"/>
              </w:rPr>
            </w:pPr>
            <w:r>
              <w:rPr>
                <w:color w:val="000000"/>
                <w:sz w:val="18"/>
                <w:szCs w:val="18"/>
                <w:lang w:eastAsia="en-US"/>
              </w:rPr>
              <w:t>--</w:t>
            </w:r>
          </w:p>
        </w:tc>
      </w:tr>
      <w:tr w:rsidR="00A74C28" w14:paraId="451C3783" w14:textId="77777777">
        <w:trPr>
          <w:cantSplit/>
          <w:jc w:val="center"/>
        </w:trPr>
        <w:tc>
          <w:tcPr>
            <w:tcW w:w="1613" w:type="dxa"/>
            <w:vAlign w:val="center"/>
          </w:tcPr>
          <w:p w14:paraId="6484E12E" w14:textId="77777777" w:rsidR="00A74C28" w:rsidRDefault="00000000">
            <w:pPr>
              <w:keepLines/>
              <w:snapToGrid w:val="0"/>
              <w:rPr>
                <w:bCs/>
                <w:color w:val="000000"/>
                <w:sz w:val="18"/>
                <w:szCs w:val="18"/>
                <w:lang w:eastAsia="en-US"/>
              </w:rPr>
            </w:pPr>
            <w:r>
              <w:rPr>
                <w:color w:val="000000"/>
                <w:sz w:val="18"/>
                <w:szCs w:val="18"/>
                <w:lang w:eastAsia="en-US"/>
              </w:rPr>
              <w:t>Qwen2.5-VL-3B</w:t>
            </w:r>
          </w:p>
        </w:tc>
        <w:tc>
          <w:tcPr>
            <w:tcW w:w="864" w:type="dxa"/>
            <w:vAlign w:val="center"/>
          </w:tcPr>
          <w:p w14:paraId="58BF8537" w14:textId="77777777" w:rsidR="00A74C28" w:rsidRDefault="00000000">
            <w:pPr>
              <w:keepLines/>
              <w:snapToGrid w:val="0"/>
              <w:jc w:val="center"/>
              <w:rPr>
                <w:bCs/>
                <w:sz w:val="18"/>
                <w:szCs w:val="18"/>
                <w:lang w:eastAsia="en-US"/>
              </w:rPr>
            </w:pPr>
            <w:r>
              <w:rPr>
                <w:color w:val="000000"/>
                <w:sz w:val="18"/>
                <w:szCs w:val="18"/>
                <w:lang w:eastAsia="en-US"/>
              </w:rPr>
              <w:t>84.5%</w:t>
            </w:r>
          </w:p>
        </w:tc>
        <w:tc>
          <w:tcPr>
            <w:tcW w:w="864" w:type="dxa"/>
            <w:vAlign w:val="center"/>
          </w:tcPr>
          <w:p w14:paraId="46667136" w14:textId="77777777" w:rsidR="00A74C28" w:rsidRDefault="00000000">
            <w:pPr>
              <w:keepLines/>
              <w:snapToGrid w:val="0"/>
              <w:jc w:val="center"/>
              <w:rPr>
                <w:bCs/>
                <w:sz w:val="18"/>
                <w:szCs w:val="18"/>
                <w:lang w:eastAsia="en-US"/>
              </w:rPr>
            </w:pPr>
            <w:r>
              <w:rPr>
                <w:color w:val="000000"/>
                <w:sz w:val="18"/>
                <w:szCs w:val="18"/>
                <w:lang w:eastAsia="en-US"/>
              </w:rPr>
              <w:t>67%</w:t>
            </w:r>
          </w:p>
        </w:tc>
        <w:tc>
          <w:tcPr>
            <w:tcW w:w="1339" w:type="dxa"/>
            <w:vAlign w:val="center"/>
          </w:tcPr>
          <w:p w14:paraId="63120379" w14:textId="77777777" w:rsidR="00A74C28" w:rsidRDefault="00000000">
            <w:pPr>
              <w:keepLines/>
              <w:snapToGrid w:val="0"/>
              <w:jc w:val="center"/>
              <w:rPr>
                <w:bCs/>
                <w:sz w:val="18"/>
                <w:szCs w:val="18"/>
                <w:lang w:eastAsia="en-US"/>
              </w:rPr>
            </w:pPr>
            <w:r>
              <w:rPr>
                <w:color w:val="000000"/>
                <w:sz w:val="18"/>
                <w:szCs w:val="18"/>
                <w:lang w:eastAsia="en-US"/>
              </w:rPr>
              <w:t>4.187s</w:t>
            </w:r>
          </w:p>
        </w:tc>
      </w:tr>
      <w:tr w:rsidR="00A74C28" w14:paraId="1C8B3C19" w14:textId="77777777">
        <w:trPr>
          <w:cantSplit/>
          <w:jc w:val="center"/>
        </w:trPr>
        <w:tc>
          <w:tcPr>
            <w:tcW w:w="1613" w:type="dxa"/>
            <w:vAlign w:val="center"/>
          </w:tcPr>
          <w:p w14:paraId="668A6E69" w14:textId="77777777" w:rsidR="00A74C28" w:rsidRDefault="00000000">
            <w:pPr>
              <w:keepLines/>
              <w:snapToGrid w:val="0"/>
              <w:rPr>
                <w:bCs/>
                <w:color w:val="000000"/>
                <w:sz w:val="18"/>
                <w:szCs w:val="18"/>
                <w:lang w:eastAsia="en-US"/>
              </w:rPr>
            </w:pPr>
            <w:r>
              <w:rPr>
                <w:color w:val="000000"/>
                <w:sz w:val="18"/>
                <w:szCs w:val="18"/>
                <w:lang w:eastAsia="en-US"/>
              </w:rPr>
              <w:t>Qwen2.5-VL-7B</w:t>
            </w:r>
          </w:p>
        </w:tc>
        <w:tc>
          <w:tcPr>
            <w:tcW w:w="864" w:type="dxa"/>
            <w:vAlign w:val="center"/>
          </w:tcPr>
          <w:p w14:paraId="67BA9978" w14:textId="77777777" w:rsidR="00A74C28" w:rsidRDefault="00000000">
            <w:pPr>
              <w:keepLines/>
              <w:snapToGrid w:val="0"/>
              <w:jc w:val="center"/>
              <w:rPr>
                <w:bCs/>
                <w:sz w:val="18"/>
                <w:szCs w:val="18"/>
                <w:lang w:eastAsia="en-US"/>
              </w:rPr>
            </w:pPr>
            <w:r>
              <w:rPr>
                <w:color w:val="000000"/>
                <w:sz w:val="18"/>
                <w:szCs w:val="18"/>
                <w:lang w:eastAsia="en-US"/>
              </w:rPr>
              <w:t>88.5%</w:t>
            </w:r>
          </w:p>
        </w:tc>
        <w:tc>
          <w:tcPr>
            <w:tcW w:w="864" w:type="dxa"/>
            <w:vAlign w:val="center"/>
          </w:tcPr>
          <w:p w14:paraId="7C9E7CF0" w14:textId="77777777" w:rsidR="00A74C28" w:rsidRDefault="00000000">
            <w:pPr>
              <w:keepLines/>
              <w:snapToGrid w:val="0"/>
              <w:jc w:val="center"/>
              <w:rPr>
                <w:bCs/>
                <w:sz w:val="18"/>
                <w:szCs w:val="18"/>
                <w:lang w:eastAsia="en-US"/>
              </w:rPr>
            </w:pPr>
            <w:r>
              <w:rPr>
                <w:color w:val="000000"/>
                <w:sz w:val="18"/>
                <w:szCs w:val="18"/>
                <w:lang w:eastAsia="en-US"/>
              </w:rPr>
              <w:t>70.5%</w:t>
            </w:r>
          </w:p>
        </w:tc>
        <w:tc>
          <w:tcPr>
            <w:tcW w:w="1339" w:type="dxa"/>
            <w:vAlign w:val="center"/>
          </w:tcPr>
          <w:p w14:paraId="672BF60D" w14:textId="77777777" w:rsidR="00A74C28" w:rsidRDefault="00000000">
            <w:pPr>
              <w:keepLines/>
              <w:snapToGrid w:val="0"/>
              <w:jc w:val="center"/>
              <w:rPr>
                <w:bCs/>
                <w:sz w:val="18"/>
                <w:szCs w:val="18"/>
                <w:lang w:eastAsia="en-US"/>
              </w:rPr>
            </w:pPr>
            <w:r>
              <w:rPr>
                <w:color w:val="000000"/>
                <w:sz w:val="18"/>
                <w:szCs w:val="18"/>
                <w:lang w:eastAsia="en-US"/>
              </w:rPr>
              <w:t xml:space="preserve">0.325s </w:t>
            </w:r>
          </w:p>
        </w:tc>
      </w:tr>
      <w:tr w:rsidR="00A74C28" w14:paraId="28CD4480" w14:textId="77777777">
        <w:trPr>
          <w:cantSplit/>
          <w:jc w:val="center"/>
        </w:trPr>
        <w:tc>
          <w:tcPr>
            <w:tcW w:w="1613" w:type="dxa"/>
            <w:vAlign w:val="center"/>
          </w:tcPr>
          <w:p w14:paraId="248D49B9" w14:textId="77777777" w:rsidR="00A74C28" w:rsidRDefault="00000000">
            <w:pPr>
              <w:keepLines/>
              <w:snapToGrid w:val="0"/>
              <w:rPr>
                <w:bCs/>
                <w:color w:val="000000"/>
                <w:sz w:val="18"/>
                <w:szCs w:val="18"/>
                <w:lang w:eastAsia="en-US"/>
              </w:rPr>
            </w:pPr>
            <w:r>
              <w:rPr>
                <w:color w:val="000000"/>
                <w:sz w:val="18"/>
                <w:szCs w:val="18"/>
                <w:lang w:eastAsia="en-US"/>
              </w:rPr>
              <w:t>InternVL2.5-8B</w:t>
            </w:r>
          </w:p>
        </w:tc>
        <w:tc>
          <w:tcPr>
            <w:tcW w:w="864" w:type="dxa"/>
            <w:vAlign w:val="center"/>
          </w:tcPr>
          <w:p w14:paraId="5B52125A" w14:textId="77777777" w:rsidR="00A74C28" w:rsidRDefault="00000000">
            <w:pPr>
              <w:keepLines/>
              <w:snapToGrid w:val="0"/>
              <w:jc w:val="center"/>
              <w:rPr>
                <w:bCs/>
                <w:sz w:val="18"/>
                <w:szCs w:val="18"/>
                <w:lang w:eastAsia="en-US"/>
              </w:rPr>
            </w:pPr>
            <w:r>
              <w:rPr>
                <w:color w:val="000000"/>
                <w:sz w:val="18"/>
                <w:szCs w:val="18"/>
                <w:lang w:eastAsia="en-US"/>
              </w:rPr>
              <w:t>89.5%</w:t>
            </w:r>
          </w:p>
        </w:tc>
        <w:tc>
          <w:tcPr>
            <w:tcW w:w="864" w:type="dxa"/>
            <w:vAlign w:val="center"/>
          </w:tcPr>
          <w:p w14:paraId="7696DFDB" w14:textId="77777777" w:rsidR="00A74C28" w:rsidRDefault="00000000">
            <w:pPr>
              <w:keepLines/>
              <w:snapToGrid w:val="0"/>
              <w:jc w:val="center"/>
              <w:rPr>
                <w:bCs/>
                <w:sz w:val="18"/>
                <w:szCs w:val="18"/>
                <w:lang w:eastAsia="en-US"/>
              </w:rPr>
            </w:pPr>
            <w:r>
              <w:rPr>
                <w:color w:val="000000"/>
                <w:sz w:val="18"/>
                <w:szCs w:val="18"/>
                <w:lang w:eastAsia="en-US"/>
              </w:rPr>
              <w:t>70.5%</w:t>
            </w:r>
          </w:p>
        </w:tc>
        <w:tc>
          <w:tcPr>
            <w:tcW w:w="1339" w:type="dxa"/>
            <w:vAlign w:val="center"/>
          </w:tcPr>
          <w:p w14:paraId="1516DA9C" w14:textId="77777777" w:rsidR="00A74C28" w:rsidRDefault="00000000">
            <w:pPr>
              <w:keepLines/>
              <w:snapToGrid w:val="0"/>
              <w:jc w:val="center"/>
              <w:rPr>
                <w:bCs/>
                <w:sz w:val="18"/>
                <w:szCs w:val="18"/>
                <w:lang w:eastAsia="en-US"/>
              </w:rPr>
            </w:pPr>
            <w:r>
              <w:rPr>
                <w:color w:val="000000"/>
                <w:sz w:val="18"/>
                <w:szCs w:val="18"/>
                <w:lang w:eastAsia="en-US"/>
              </w:rPr>
              <w:t xml:space="preserve">0.520s </w:t>
            </w:r>
          </w:p>
        </w:tc>
      </w:tr>
    </w:tbl>
    <w:p w14:paraId="65C9B452" w14:textId="77777777" w:rsidR="00A74C28" w:rsidRDefault="00A74C28">
      <w:pPr>
        <w:pStyle w:val="BodyTextIndent"/>
        <w:rPr>
          <w:color w:val="000000"/>
        </w:rPr>
      </w:pPr>
    </w:p>
    <w:p w14:paraId="0617951E" w14:textId="77777777" w:rsidR="00A74C28" w:rsidRDefault="00000000">
      <w:pPr>
        <w:pStyle w:val="Heading1"/>
      </w:pPr>
      <w:r>
        <w:t>References</w:t>
      </w:r>
      <w:bookmarkStart w:id="3" w:name="_About_the_Authors"/>
      <w:bookmarkEnd w:id="3"/>
    </w:p>
    <w:p w14:paraId="51C065E1" w14:textId="77777777" w:rsidR="00A74C28" w:rsidRDefault="00000000">
      <w:pPr>
        <w:keepLines/>
        <w:spacing w:after="60"/>
        <w:ind w:left="245" w:hanging="245"/>
      </w:pPr>
      <w:r>
        <w:rPr>
          <w:color w:val="000000"/>
          <w:sz w:val="18"/>
        </w:rPr>
        <w:t xml:space="preserve">[1] Z. Ding et al., "Gastroenterologist-level identification of small-bowel diseases and normal variants by capsule endoscopy using a deep-learning model," </w:t>
      </w:r>
      <w:r>
        <w:rPr>
          <w:i/>
          <w:color w:val="000000"/>
          <w:sz w:val="18"/>
        </w:rPr>
        <w:t>Gastroenterology</w:t>
      </w:r>
      <w:r>
        <w:rPr>
          <w:color w:val="000000"/>
          <w:sz w:val="18"/>
        </w:rPr>
        <w:t xml:space="preserve">, vol. 157, no. 4, pp. 1044-1054.e5, 2019, </w:t>
      </w:r>
      <w:proofErr w:type="spellStart"/>
      <w:r>
        <w:rPr>
          <w:color w:val="000000"/>
          <w:sz w:val="18"/>
        </w:rPr>
        <w:t>doi</w:t>
      </w:r>
      <w:proofErr w:type="spellEnd"/>
      <w:r>
        <w:rPr>
          <w:color w:val="000000"/>
          <w:sz w:val="18"/>
        </w:rPr>
        <w:t>: 10.1053/j.gastro.2019.06.025.</w:t>
      </w:r>
    </w:p>
    <w:p w14:paraId="5D115B9A" w14:textId="77777777" w:rsidR="00A74C28" w:rsidRDefault="00000000">
      <w:pPr>
        <w:keepLines/>
        <w:spacing w:after="60"/>
        <w:ind w:left="245" w:hanging="245"/>
      </w:pPr>
      <w:r>
        <w:rPr>
          <w:color w:val="000000"/>
          <w:sz w:val="18"/>
        </w:rPr>
        <w:t xml:space="preserve">[2] L. Li et al., "Automated detection of small bowel lesions based on capsule endoscopy using deep learning algorithm," </w:t>
      </w:r>
      <w:r>
        <w:rPr>
          <w:i/>
          <w:color w:val="000000"/>
          <w:sz w:val="18"/>
        </w:rPr>
        <w:t>Clin. Res. Hepatol. Gastroenterol.</w:t>
      </w:r>
      <w:r>
        <w:rPr>
          <w:color w:val="000000"/>
          <w:sz w:val="18"/>
        </w:rPr>
        <w:t xml:space="preserve">, vol. 48, no. 5, Art. no. 102334, 2024, </w:t>
      </w:r>
      <w:proofErr w:type="spellStart"/>
      <w:r>
        <w:rPr>
          <w:color w:val="000000"/>
          <w:sz w:val="18"/>
        </w:rPr>
        <w:t>doi</w:t>
      </w:r>
      <w:proofErr w:type="spellEnd"/>
      <w:r>
        <w:rPr>
          <w:color w:val="000000"/>
          <w:sz w:val="18"/>
        </w:rPr>
        <w:t>: 10.1016/j.clinre.2024.102334.</w:t>
      </w:r>
    </w:p>
    <w:p w14:paraId="7DF40E3D" w14:textId="77777777" w:rsidR="00A74C28" w:rsidRDefault="00000000">
      <w:pPr>
        <w:keepLines/>
        <w:spacing w:after="60"/>
        <w:ind w:left="245" w:hanging="245"/>
      </w:pPr>
      <w:r>
        <w:rPr>
          <w:color w:val="000000"/>
          <w:sz w:val="18"/>
        </w:rPr>
        <w:t xml:space="preserve">[3] P. H. Smedsrud et al., "Kvasir-Capsule, a video capsule endoscopy dataset," </w:t>
      </w:r>
      <w:r>
        <w:rPr>
          <w:i/>
          <w:color w:val="000000"/>
          <w:sz w:val="18"/>
        </w:rPr>
        <w:t>Sci. Data</w:t>
      </w:r>
      <w:r>
        <w:rPr>
          <w:color w:val="000000"/>
          <w:sz w:val="18"/>
        </w:rPr>
        <w:t xml:space="preserve">, vol. 8, Art. no. 142, 2021, </w:t>
      </w:r>
      <w:proofErr w:type="spellStart"/>
      <w:r>
        <w:rPr>
          <w:color w:val="000000"/>
          <w:sz w:val="18"/>
        </w:rPr>
        <w:t>doi</w:t>
      </w:r>
      <w:proofErr w:type="spellEnd"/>
      <w:r>
        <w:rPr>
          <w:color w:val="000000"/>
          <w:sz w:val="18"/>
        </w:rPr>
        <w:t>: 10.1038/s41597-021-00920-z.</w:t>
      </w:r>
    </w:p>
    <w:p w14:paraId="16D33E90" w14:textId="77777777" w:rsidR="00A74C28" w:rsidRDefault="00000000">
      <w:pPr>
        <w:keepLines/>
        <w:spacing w:after="60"/>
        <w:ind w:left="245" w:hanging="245"/>
      </w:pPr>
      <w:r>
        <w:rPr>
          <w:color w:val="000000"/>
          <w:sz w:val="18"/>
        </w:rPr>
        <w:t>[4] A. Gupta, A. Roy, R. Chellappa, N. D. Bastian, A. Velasquez, and S. Jha, "TOGA: Temporally grounded open-ended video QA with weak supervision," in Proc. IEEE/CVF Int. Conf. Computer Vision (ICCV), 2025, pp. 23593-23603.</w:t>
      </w:r>
    </w:p>
    <w:p w14:paraId="4113CC4A" w14:textId="77777777" w:rsidR="00A74C28" w:rsidRDefault="00000000">
      <w:pPr>
        <w:keepLines/>
        <w:spacing w:after="60"/>
        <w:ind w:left="245" w:hanging="245"/>
      </w:pPr>
      <w:r>
        <w:rPr>
          <w:color w:val="000000"/>
          <w:sz w:val="18"/>
        </w:rPr>
        <w:t xml:space="preserve">[5] M. Alansari, N. </w:t>
      </w:r>
      <w:proofErr w:type="spellStart"/>
      <w:r>
        <w:rPr>
          <w:color w:val="000000"/>
          <w:sz w:val="18"/>
        </w:rPr>
        <w:t>Suryanto</w:t>
      </w:r>
      <w:proofErr w:type="spellEnd"/>
      <w:r>
        <w:rPr>
          <w:color w:val="000000"/>
          <w:sz w:val="18"/>
        </w:rPr>
        <w:t xml:space="preserve">, D. Velayudhan, S. Javed, N. </w:t>
      </w:r>
      <w:proofErr w:type="spellStart"/>
      <w:r>
        <w:rPr>
          <w:color w:val="000000"/>
          <w:sz w:val="18"/>
        </w:rPr>
        <w:t>Werghi</w:t>
      </w:r>
      <w:proofErr w:type="spellEnd"/>
      <w:r>
        <w:rPr>
          <w:color w:val="000000"/>
          <w:sz w:val="18"/>
        </w:rPr>
        <w:t>, and M. Naseer, "SPARROW: Learning spatial precision and temporal referential consistency in pixel-grounded video MLLMs," in Proc. IEEE/CVF Conf. Computer Vision and Pattern Recognition (CVPR), 2026, pp. 17545-17556.</w:t>
      </w:r>
    </w:p>
    <w:p w14:paraId="2F9112A4" w14:textId="77777777" w:rsidR="00A74C28" w:rsidRDefault="00000000">
      <w:pPr>
        <w:keepLines/>
        <w:spacing w:after="60"/>
        <w:ind w:left="245" w:hanging="245"/>
      </w:pPr>
      <w:r>
        <w:rPr>
          <w:color w:val="000000"/>
          <w:sz w:val="18"/>
        </w:rPr>
        <w:t xml:space="preserve">[6] T. A. Haider, P. </w:t>
      </w:r>
      <w:proofErr w:type="spellStart"/>
      <w:r>
        <w:rPr>
          <w:color w:val="000000"/>
          <w:sz w:val="18"/>
        </w:rPr>
        <w:t>Netsiri</w:t>
      </w:r>
      <w:proofErr w:type="spellEnd"/>
      <w:r>
        <w:rPr>
          <w:color w:val="000000"/>
          <w:sz w:val="18"/>
        </w:rPr>
        <w:t xml:space="preserve">, T. Selenge, F. Kapfer, and E. </w:t>
      </w:r>
      <w:proofErr w:type="spellStart"/>
      <w:r>
        <w:rPr>
          <w:color w:val="000000"/>
          <w:sz w:val="18"/>
        </w:rPr>
        <w:t>Messeritsch</w:t>
      </w:r>
      <w:proofErr w:type="spellEnd"/>
      <w:r>
        <w:rPr>
          <w:color w:val="000000"/>
          <w:sz w:val="18"/>
        </w:rPr>
        <w:t>, "Evaluating domain-agnostic retrieval-augmented generation for gastrointestinal medical VQA," in CLEF 2026 Working Notes, CEUR Workshop Proceedings, vol. 4283, 2026, pp. 3537-3541. [Online]. Available: https://ceur-ws.org/Vol-4283/paper257.pdf</w:t>
      </w:r>
    </w:p>
    <w:p w14:paraId="6B84FCA9" w14:textId="77777777" w:rsidR="00A74C28" w:rsidRDefault="00000000">
      <w:pPr>
        <w:keepLines/>
        <w:spacing w:after="60"/>
        <w:ind w:left="245" w:hanging="245"/>
      </w:pPr>
      <w:r>
        <w:rPr>
          <w:color w:val="000000"/>
          <w:sz w:val="18"/>
        </w:rPr>
        <w:t xml:space="preserve">[7] P. Banerjee et al., "ARISE: Adaptive agentic reasoning with image-grounded self-evaluation for interpretable IBD assessment," arXiv:2610.04777, Oct. 2026, </w:t>
      </w:r>
      <w:proofErr w:type="spellStart"/>
      <w:r>
        <w:rPr>
          <w:color w:val="000000"/>
          <w:sz w:val="18"/>
        </w:rPr>
        <w:t>doi</w:t>
      </w:r>
      <w:proofErr w:type="spellEnd"/>
      <w:r>
        <w:rPr>
          <w:color w:val="000000"/>
          <w:sz w:val="18"/>
        </w:rPr>
        <w:t>: 10.48550/arXiv.2610.04777.</w:t>
      </w:r>
    </w:p>
    <w:p w14:paraId="67DDCC7D" w14:textId="77777777" w:rsidR="00A74C28" w:rsidRDefault="00000000">
      <w:pPr>
        <w:keepLines/>
        <w:spacing w:after="60"/>
        <w:ind w:left="245" w:hanging="245"/>
      </w:pPr>
      <w:r>
        <w:rPr>
          <w:color w:val="000000"/>
          <w:sz w:val="18"/>
        </w:rPr>
        <w:t xml:space="preserve">[8] S. Whitehead et al., "Reliable visual question answering: Abstain rather than answer incorrectly," in </w:t>
      </w:r>
      <w:r>
        <w:rPr>
          <w:i/>
          <w:color w:val="000000"/>
          <w:sz w:val="18"/>
        </w:rPr>
        <w:t>Computer Vision - ECCV 2022</w:t>
      </w:r>
      <w:r>
        <w:rPr>
          <w:color w:val="000000"/>
          <w:sz w:val="18"/>
        </w:rPr>
        <w:t xml:space="preserve">, LNCS, vol. 13696, 2022, pp. 148-166, </w:t>
      </w:r>
      <w:proofErr w:type="spellStart"/>
      <w:r>
        <w:rPr>
          <w:color w:val="000000"/>
          <w:sz w:val="18"/>
        </w:rPr>
        <w:t>doi</w:t>
      </w:r>
      <w:proofErr w:type="spellEnd"/>
      <w:r>
        <w:rPr>
          <w:color w:val="000000"/>
          <w:sz w:val="18"/>
        </w:rPr>
        <w:t>: 10.1007/978-3-031-20059-5_9.</w:t>
      </w:r>
    </w:p>
    <w:p w14:paraId="42FAC33B" w14:textId="77777777" w:rsidR="00A74C28" w:rsidRDefault="00000000">
      <w:pPr>
        <w:keepLines/>
        <w:spacing w:after="60"/>
        <w:ind w:left="245" w:hanging="245"/>
      </w:pPr>
      <w:r>
        <w:rPr>
          <w:color w:val="000000"/>
          <w:sz w:val="18"/>
        </w:rPr>
        <w:t xml:space="preserve">[9] S. Gautam et al., "Kvasir-VQA: A text-image pair GI tract dataset," in Proc. First Int. Workshop Vision-Language Models for Biomedical Applications (VLM4Bio), 2024, pp. 3-12, </w:t>
      </w:r>
      <w:proofErr w:type="spellStart"/>
      <w:r>
        <w:rPr>
          <w:color w:val="000000"/>
          <w:sz w:val="18"/>
        </w:rPr>
        <w:t>doi</w:t>
      </w:r>
      <w:proofErr w:type="spellEnd"/>
      <w:r>
        <w:rPr>
          <w:color w:val="000000"/>
          <w:sz w:val="18"/>
        </w:rPr>
        <w:t>: 10.1145/3689096.3689458.</w:t>
      </w:r>
    </w:p>
    <w:p w14:paraId="292096E3" w14:textId="77777777" w:rsidR="00A74C28" w:rsidRDefault="00000000">
      <w:pPr>
        <w:keepLines/>
        <w:spacing w:after="60"/>
        <w:ind w:left="245" w:hanging="245"/>
      </w:pPr>
      <w:r>
        <w:rPr>
          <w:color w:val="000000"/>
          <w:sz w:val="18"/>
        </w:rPr>
        <w:t xml:space="preserve">[10] S. Gautam, M. Riegler, and P. Halvorsen, "Kvasir-VQA-x1: A multimodal dataset for medical reasoning and robust </w:t>
      </w:r>
      <w:proofErr w:type="spellStart"/>
      <w:r>
        <w:rPr>
          <w:color w:val="000000"/>
          <w:sz w:val="18"/>
        </w:rPr>
        <w:t>MedVQA</w:t>
      </w:r>
      <w:proofErr w:type="spellEnd"/>
      <w:r>
        <w:rPr>
          <w:color w:val="000000"/>
          <w:sz w:val="18"/>
        </w:rPr>
        <w:t xml:space="preserve"> in gastrointestinal endoscopy," in </w:t>
      </w:r>
      <w:r>
        <w:rPr>
          <w:i/>
          <w:color w:val="000000"/>
          <w:sz w:val="18"/>
        </w:rPr>
        <w:t>Data Engineering in Medical Imaging</w:t>
      </w:r>
      <w:r>
        <w:rPr>
          <w:color w:val="000000"/>
          <w:sz w:val="18"/>
        </w:rPr>
        <w:t xml:space="preserve">, DEMI 2025, LNCS, vol. 16191, 2026, pp. 53-63, </w:t>
      </w:r>
      <w:proofErr w:type="spellStart"/>
      <w:r>
        <w:rPr>
          <w:color w:val="000000"/>
          <w:sz w:val="18"/>
        </w:rPr>
        <w:t>doi</w:t>
      </w:r>
      <w:proofErr w:type="spellEnd"/>
      <w:r>
        <w:rPr>
          <w:color w:val="000000"/>
          <w:sz w:val="18"/>
        </w:rPr>
        <w:t>: 10.1007/978-3-032-08009-7_6.</w:t>
      </w:r>
    </w:p>
    <w:p w14:paraId="62493DE2" w14:textId="77777777" w:rsidR="00A74C28" w:rsidRDefault="00000000">
      <w:pPr>
        <w:keepLines/>
        <w:spacing w:after="60"/>
        <w:ind w:left="245" w:hanging="245"/>
      </w:pPr>
      <w:r>
        <w:rPr>
          <w:color w:val="000000"/>
          <w:sz w:val="18"/>
        </w:rPr>
        <w:t xml:space="preserve">[11] G.-P. Ji, J. Liu, D.-P. Fan, H. Fu, and N. Barnes, "Colon-X: Advancing intelligent colonoscopy toward clinical reasoning," arXiv:2512.03667, ver. 2, Mar. 2026, </w:t>
      </w:r>
      <w:proofErr w:type="spellStart"/>
      <w:r>
        <w:rPr>
          <w:color w:val="000000"/>
          <w:sz w:val="18"/>
        </w:rPr>
        <w:t>doi</w:t>
      </w:r>
      <w:proofErr w:type="spellEnd"/>
      <w:r>
        <w:rPr>
          <w:color w:val="000000"/>
          <w:sz w:val="18"/>
        </w:rPr>
        <w:t>: 10.48550/arXiv.2512.03667.</w:t>
      </w:r>
    </w:p>
    <w:p w14:paraId="2ED7E284" w14:textId="77777777" w:rsidR="00A74C28" w:rsidRDefault="00000000">
      <w:pPr>
        <w:keepLines/>
        <w:spacing w:after="60"/>
        <w:ind w:left="245" w:hanging="245"/>
      </w:pPr>
      <w:r>
        <w:rPr>
          <w:color w:val="000000"/>
          <w:sz w:val="18"/>
        </w:rPr>
        <w:t>[12] S. Liu et al., "</w:t>
      </w:r>
      <w:proofErr w:type="spellStart"/>
      <w:r>
        <w:rPr>
          <w:color w:val="000000"/>
          <w:sz w:val="18"/>
        </w:rPr>
        <w:t>EndoBench</w:t>
      </w:r>
      <w:proofErr w:type="spellEnd"/>
      <w:r>
        <w:rPr>
          <w:color w:val="000000"/>
          <w:sz w:val="18"/>
        </w:rPr>
        <w:t xml:space="preserve">: A comprehensive evaluation of multi-modal large language models for endoscopy analysis," in </w:t>
      </w:r>
      <w:r>
        <w:rPr>
          <w:i/>
          <w:color w:val="000000"/>
          <w:sz w:val="18"/>
        </w:rPr>
        <w:t>Advances in Neural Information Processing Systems</w:t>
      </w:r>
      <w:r>
        <w:rPr>
          <w:color w:val="000000"/>
          <w:sz w:val="18"/>
        </w:rPr>
        <w:t xml:space="preserve">, vol. 38, 2025, pp. 2350-2397, </w:t>
      </w:r>
      <w:proofErr w:type="spellStart"/>
      <w:r>
        <w:rPr>
          <w:color w:val="000000"/>
          <w:sz w:val="18"/>
        </w:rPr>
        <w:t>doi</w:t>
      </w:r>
      <w:proofErr w:type="spellEnd"/>
      <w:r>
        <w:rPr>
          <w:color w:val="000000"/>
          <w:sz w:val="18"/>
        </w:rPr>
        <w:t>: 10.52202/085713-0076.</w:t>
      </w:r>
    </w:p>
    <w:p w14:paraId="2B19AC82" w14:textId="77777777" w:rsidR="00A74C28" w:rsidRDefault="00000000">
      <w:pPr>
        <w:keepLines/>
        <w:spacing w:after="60"/>
        <w:ind w:left="245" w:hanging="245"/>
      </w:pPr>
      <w:r>
        <w:rPr>
          <w:color w:val="000000"/>
          <w:sz w:val="18"/>
        </w:rPr>
        <w:t xml:space="preserve">[13] W. Chen et al., "An adaptive foundation model with evidence-based clinical reasoning for gastroenterology," </w:t>
      </w:r>
      <w:r>
        <w:rPr>
          <w:i/>
          <w:color w:val="000000"/>
          <w:sz w:val="18"/>
        </w:rPr>
        <w:t>Research Square</w:t>
      </w:r>
      <w:r>
        <w:rPr>
          <w:color w:val="000000"/>
          <w:sz w:val="18"/>
        </w:rPr>
        <w:t xml:space="preserve">, preprint, Jan. 2026, </w:t>
      </w:r>
      <w:proofErr w:type="spellStart"/>
      <w:r>
        <w:rPr>
          <w:color w:val="000000"/>
          <w:sz w:val="18"/>
        </w:rPr>
        <w:t>doi</w:t>
      </w:r>
      <w:proofErr w:type="spellEnd"/>
      <w:r>
        <w:rPr>
          <w:color w:val="000000"/>
          <w:sz w:val="18"/>
        </w:rPr>
        <w:t>: 10.21203/rs.3.rs-8459685/v1.</w:t>
      </w:r>
    </w:p>
    <w:p w14:paraId="12FBC6CE" w14:textId="77777777" w:rsidR="00A74C28" w:rsidRDefault="00000000">
      <w:pPr>
        <w:keepLines/>
        <w:spacing w:after="60"/>
        <w:ind w:left="245" w:hanging="245"/>
      </w:pPr>
      <w:r>
        <w:rPr>
          <w:color w:val="000000"/>
          <w:sz w:val="18"/>
        </w:rPr>
        <w:t>[14] CUHK-AIM-Group, "CE-R1: test_single.py," GitHub, commit 00cfe5441b9e2bb1378941bda6e959c9454dfb2a. Accessed: Oct. 28, 2026. [Online]. Available: https://github.com/CUHK-AIM-Group/CE-R1/blob/00cfe5441b9e2bb1378941bda6e959c9454dfb2a/test_single.py</w:t>
      </w:r>
    </w:p>
    <w:p w14:paraId="60067C90" w14:textId="77777777" w:rsidR="00A74C28" w:rsidRDefault="00000000">
      <w:pPr>
        <w:keepLines/>
        <w:spacing w:after="60"/>
        <w:ind w:left="245" w:hanging="245"/>
      </w:pPr>
      <w:r>
        <w:rPr>
          <w:color w:val="000000"/>
          <w:sz w:val="18"/>
        </w:rPr>
        <w:t>[15] I. Safwan, R. Khan, M. A. Shaikh, and M. A. Tahir, "Towards grounded GI endoscopy VQA via multi-task learning on small VLMs," in Proc. 2nd Workshop Efficient Medical AI, MICCAI 2026, 2026. [Online]. Available: https://papers.miccai.org/miccai-2026-sat/EMA_034.html</w:t>
      </w:r>
    </w:p>
    <w:p w14:paraId="73E59533" w14:textId="77777777" w:rsidR="00A74C28" w:rsidRDefault="00000000">
      <w:pPr>
        <w:keepLines/>
        <w:spacing w:after="60"/>
        <w:ind w:left="245" w:hanging="245"/>
      </w:pPr>
      <w:r>
        <w:rPr>
          <w:color w:val="000000"/>
          <w:sz w:val="18"/>
        </w:rPr>
        <w:t xml:space="preserve">[16] B. Zheng et al., "An explainable generative AI system for video-to-report generation in capsule endoscopy," </w:t>
      </w:r>
      <w:proofErr w:type="spellStart"/>
      <w:r>
        <w:rPr>
          <w:i/>
          <w:color w:val="000000"/>
          <w:sz w:val="18"/>
        </w:rPr>
        <w:t>npj</w:t>
      </w:r>
      <w:proofErr w:type="spellEnd"/>
      <w:r>
        <w:rPr>
          <w:i/>
          <w:color w:val="000000"/>
          <w:sz w:val="18"/>
        </w:rPr>
        <w:t xml:space="preserve"> Digit. Med.</w:t>
      </w:r>
      <w:r>
        <w:rPr>
          <w:color w:val="000000"/>
          <w:sz w:val="18"/>
        </w:rPr>
        <w:t xml:space="preserve">, early access, Aug. 2026, </w:t>
      </w:r>
      <w:proofErr w:type="spellStart"/>
      <w:r>
        <w:rPr>
          <w:color w:val="000000"/>
          <w:sz w:val="18"/>
        </w:rPr>
        <w:t>doi</w:t>
      </w:r>
      <w:proofErr w:type="spellEnd"/>
      <w:r>
        <w:rPr>
          <w:color w:val="000000"/>
          <w:sz w:val="18"/>
        </w:rPr>
        <w:t>: 10.1038/s41746-026-03079-2.</w:t>
      </w:r>
    </w:p>
    <w:p w14:paraId="4999AD27" w14:textId="77777777" w:rsidR="00A74C28" w:rsidRDefault="00000000">
      <w:pPr>
        <w:keepLines/>
        <w:spacing w:after="60"/>
        <w:ind w:left="245" w:hanging="245"/>
      </w:pPr>
      <w:r>
        <w:rPr>
          <w:color w:val="000000"/>
          <w:sz w:val="18"/>
        </w:rPr>
        <w:lastRenderedPageBreak/>
        <w:t xml:space="preserve">[17] </w:t>
      </w:r>
      <w:proofErr w:type="spellStart"/>
      <w:r>
        <w:rPr>
          <w:color w:val="000000"/>
          <w:sz w:val="18"/>
        </w:rPr>
        <w:t>ImageCLEF</w:t>
      </w:r>
      <w:proofErr w:type="spellEnd"/>
      <w:r>
        <w:rPr>
          <w:color w:val="000000"/>
          <w:sz w:val="18"/>
        </w:rPr>
        <w:t>, "</w:t>
      </w:r>
      <w:proofErr w:type="spellStart"/>
      <w:r>
        <w:rPr>
          <w:color w:val="000000"/>
          <w:sz w:val="18"/>
        </w:rPr>
        <w:t>ImageCLEF</w:t>
      </w:r>
      <w:proofErr w:type="spellEnd"/>
      <w:r>
        <w:rPr>
          <w:color w:val="000000"/>
          <w:sz w:val="18"/>
        </w:rPr>
        <w:t xml:space="preserve"> MEDVQA-GI 2026," official challenge description, 2026. Accessed: Oct. 28, 2026. [Online]. Available: https://www.imageclef.org/2026/medical/medvqa-gi</w:t>
      </w:r>
    </w:p>
    <w:p w14:paraId="2794931A" w14:textId="77777777" w:rsidR="00A74C28" w:rsidRDefault="00000000">
      <w:pPr>
        <w:keepLines/>
        <w:spacing w:after="60"/>
        <w:ind w:left="245" w:hanging="245"/>
      </w:pPr>
      <w:r>
        <w:rPr>
          <w:color w:val="000000"/>
          <w:sz w:val="18"/>
        </w:rPr>
        <w:t xml:space="preserve">[18] B. Khanal et al., "Hallucination-aware multimodal benchmark for gastrointestinal image analysis with large vision-language models," in </w:t>
      </w:r>
      <w:r>
        <w:rPr>
          <w:i/>
          <w:color w:val="000000"/>
          <w:sz w:val="18"/>
        </w:rPr>
        <w:t>Medical Image Computing and Computer Assisted Intervention - MICCAI 2025</w:t>
      </w:r>
      <w:r>
        <w:rPr>
          <w:color w:val="000000"/>
          <w:sz w:val="18"/>
        </w:rPr>
        <w:t xml:space="preserve">, LNCS, vol. 15969, 2025, pp. 235-245, </w:t>
      </w:r>
      <w:proofErr w:type="spellStart"/>
      <w:r>
        <w:rPr>
          <w:color w:val="000000"/>
          <w:sz w:val="18"/>
        </w:rPr>
        <w:t>doi</w:t>
      </w:r>
      <w:proofErr w:type="spellEnd"/>
      <w:r>
        <w:rPr>
          <w:color w:val="000000"/>
          <w:sz w:val="18"/>
        </w:rPr>
        <w:t>: 10.1007/978-3-032-05127-1_23.</w:t>
      </w:r>
    </w:p>
    <w:p w14:paraId="09DC0F6F" w14:textId="77777777" w:rsidR="00A74C28" w:rsidRDefault="00A74C28">
      <w:pPr>
        <w:pStyle w:val="BodyTextIndent"/>
        <w:rPr>
          <w:color w:val="000000"/>
          <w:sz w:val="18"/>
          <w:szCs w:val="18"/>
        </w:rPr>
      </w:pPr>
    </w:p>
    <w:p w14:paraId="5A48D7A2" w14:textId="77777777" w:rsidR="00A74C28" w:rsidRDefault="00000000">
      <w:pPr>
        <w:pStyle w:val="Heading1"/>
      </w:pPr>
      <w:r>
        <w:t>About the Authors</w:t>
      </w:r>
    </w:p>
    <w:p w14:paraId="3785588A" w14:textId="77777777" w:rsidR="00A74C28" w:rsidRDefault="00000000">
      <w:pPr>
        <w:pStyle w:val="BodyTextIndent"/>
        <w:ind w:left="1440" w:firstLine="0"/>
      </w:pPr>
      <w:r>
        <w:rPr>
          <w:b/>
          <w:lang w:eastAsia="en-US"/>
        </w:rPr>
        <w:t>Bogdan Parvu</w:t>
      </w:r>
      <w:r>
        <w:t xml:space="preserve"> is a Graduate Student at Lakehead University in Thunder Bay, Ontario, Canada.</w:t>
      </w:r>
    </w:p>
    <w:p w14:paraId="11A2752F" w14:textId="77777777" w:rsidR="00A74C28" w:rsidRDefault="00A74C28">
      <w:pPr>
        <w:pStyle w:val="BodyTextIndent"/>
      </w:pPr>
    </w:p>
    <w:p w14:paraId="207657C1" w14:textId="77777777" w:rsidR="00A74C28" w:rsidRDefault="00A74C28">
      <w:pPr>
        <w:pStyle w:val="BodyTextIndent"/>
      </w:pPr>
    </w:p>
    <w:p w14:paraId="77114C1F" w14:textId="77777777" w:rsidR="00A74C28" w:rsidRDefault="00A74C28">
      <w:pPr>
        <w:sectPr w:rsidR="00A74C28">
          <w:type w:val="continuous"/>
          <w:pgSz w:w="12240" w:h="15840"/>
          <w:pgMar w:top="1440" w:right="1107" w:bottom="1440" w:left="1210" w:header="0" w:footer="0" w:gutter="0"/>
          <w:cols w:num="2" w:space="460"/>
          <w:formProt w:val="0"/>
          <w:titlePg/>
          <w:docGrid w:linePitch="360"/>
        </w:sectPr>
      </w:pPr>
    </w:p>
    <w:p w14:paraId="6DA22643" w14:textId="77777777" w:rsidR="00A74C28" w:rsidRDefault="00A74C28">
      <w:pPr>
        <w:pStyle w:val="Heading1"/>
      </w:pPr>
    </w:p>
    <w:sectPr w:rsidR="00A74C28">
      <w:type w:val="continuous"/>
      <w:pgSz w:w="12240" w:h="15840"/>
      <w:pgMar w:top="1440" w:right="1210" w:bottom="1440" w:left="1210" w:header="0" w:footer="0" w:gutter="0"/>
      <w:cols w:num="2" w:space="46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Liberation Serif">
    <w:altName w:val="Times New Roman"/>
    <w:panose1 w:val="020B0604020202020204"/>
    <w:charset w:val="01"/>
    <w:family w:val="roman"/>
    <w:pitch w:val="variable"/>
  </w:font>
  <w:font w:name="Noto Sans">
    <w:panose1 w:val="020B0502040504020204"/>
    <w:charset w:val="00"/>
    <w:family w:val="swiss"/>
    <w:pitch w:val="variable"/>
    <w:sig w:usb0="E00082FF" w:usb1="400078FF" w:usb2="00000021" w:usb3="00000000" w:csb0="0000019F" w:csb1="00000000"/>
  </w:font>
  <w:font w:name="SimSun;宋体">
    <w:panose1 w:val="020B0604020202020204"/>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ＭＳ ゴシック">
    <w:panose1 w:val="020B0604020202020204"/>
    <w:charset w:val="80"/>
    <w:family w:val="roman"/>
    <w:notTrueType/>
    <w:pitch w:val="default"/>
  </w:font>
  <w:font w:name="MS Mincho;ＭＳ 明朝">
    <w:panose1 w:val="020B0604020202020204"/>
    <w:charset w:val="80"/>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Cambria">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C85EA0"/>
    <w:multiLevelType w:val="multilevel"/>
    <w:tmpl w:val="CCF8E552"/>
    <w:lvl w:ilvl="0">
      <w:start w:val="1"/>
      <w:numFmt w:val="upp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7A7390"/>
    <w:multiLevelType w:val="hybridMultilevel"/>
    <w:tmpl w:val="570264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2745B"/>
    <w:multiLevelType w:val="multilevel"/>
    <w:tmpl w:val="3AD2D37C"/>
    <w:lvl w:ilvl="0">
      <w:start w:val="1"/>
      <w:numFmt w:val="bullet"/>
      <w:pStyle w:val="BulletList"/>
      <w:lvlText w:val=""/>
      <w:lvlJc w:val="left"/>
      <w:pPr>
        <w:tabs>
          <w:tab w:val="num" w:pos="0"/>
        </w:tabs>
        <w:ind w:left="965"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DC2A35"/>
    <w:multiLevelType w:val="multilevel"/>
    <w:tmpl w:val="EA36C20C"/>
    <w:lvl w:ilvl="0">
      <w:start w:val="1"/>
      <w:numFmt w:val="upp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3283FDD"/>
    <w:multiLevelType w:val="multilevel"/>
    <w:tmpl w:val="5ED23AF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DCE2E7A"/>
    <w:multiLevelType w:val="multilevel"/>
    <w:tmpl w:val="765C326C"/>
    <w:lvl w:ilvl="0">
      <w:start w:val="1"/>
      <w:numFmt w:val="decimal"/>
      <w:pStyle w:val="NumberedList"/>
      <w:lvlText w:val="%1)"/>
      <w:lvlJc w:val="left"/>
      <w:pPr>
        <w:tabs>
          <w:tab w:val="num" w:pos="0"/>
        </w:tabs>
        <w:ind w:left="100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27178585">
    <w:abstractNumId w:val="4"/>
  </w:num>
  <w:num w:numId="2" w16cid:durableId="764427047">
    <w:abstractNumId w:val="0"/>
  </w:num>
  <w:num w:numId="3" w16cid:durableId="649602678">
    <w:abstractNumId w:val="5"/>
  </w:num>
  <w:num w:numId="4" w16cid:durableId="796800442">
    <w:abstractNumId w:val="3"/>
  </w:num>
  <w:num w:numId="5" w16cid:durableId="2034257133">
    <w:abstractNumId w:val="2"/>
  </w:num>
  <w:num w:numId="6" w16cid:durableId="59893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28"/>
    <w:rsid w:val="00233C2F"/>
    <w:rsid w:val="0026654F"/>
    <w:rsid w:val="00576958"/>
    <w:rsid w:val="006D069C"/>
    <w:rsid w:val="007761F6"/>
    <w:rsid w:val="008168F3"/>
    <w:rsid w:val="008E604E"/>
    <w:rsid w:val="00A0297E"/>
    <w:rsid w:val="00A74C28"/>
    <w:rsid w:val="00AB1D76"/>
    <w:rsid w:val="00B86BC1"/>
    <w:rsid w:val="00C2302F"/>
    <w:rsid w:val="00C9276B"/>
    <w:rsid w:val="00F25C4A"/>
    <w:rsid w:val="00F559E5"/>
    <w:rsid w:val="00FD22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8A98217"/>
  <w15:docId w15:val="{1FCE9476-8C33-5F4F-BBD7-CD10E52B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ans"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keepLines/>
      <w:numPr>
        <w:numId w:val="1"/>
      </w:numPr>
      <w:spacing w:before="240" w:after="120"/>
      <w:jc w:val="center"/>
      <w:outlineLvl w:val="0"/>
    </w:pPr>
    <w:rPr>
      <w:rFonts w:eastAsia="SimSun;宋体"/>
      <w:smallCaps/>
      <w:lang w:eastAsia="en-US"/>
    </w:rPr>
  </w:style>
  <w:style w:type="paragraph" w:styleId="Heading2">
    <w:name w:val="heading 2"/>
    <w:basedOn w:val="Heading1"/>
    <w:next w:val="Normal"/>
    <w:uiPriority w:val="9"/>
    <w:unhideWhenUsed/>
    <w:qFormat/>
    <w:pPr>
      <w:numPr>
        <w:ilvl w:val="1"/>
      </w:numPr>
      <w:spacing w:before="180" w:after="60"/>
      <w:jc w:val="left"/>
      <w:outlineLvl w:val="1"/>
    </w:pPr>
    <w:rPr>
      <w:i/>
      <w:smallCaps w:val="0"/>
    </w:rPr>
  </w:style>
  <w:style w:type="paragraph" w:styleId="Heading3">
    <w:name w:val="heading 3"/>
    <w:basedOn w:val="Normal"/>
    <w:next w:val="Normal"/>
    <w:uiPriority w:val="9"/>
    <w:semiHidden/>
    <w:unhideWhenUsed/>
    <w:qFormat/>
    <w:pPr>
      <w:numPr>
        <w:ilvl w:val="2"/>
        <w:numId w:val="1"/>
      </w:num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Heading1Char">
    <w:name w:val="Heading 1 Char"/>
    <w:qFormat/>
    <w:rPr>
      <w:rFonts w:ascii="Times New Roman" w:eastAsia="SimSun;宋体" w:hAnsi="Times New Roman" w:cs="Times New Roman"/>
      <w:smallCaps/>
      <w:sz w:val="20"/>
      <w:szCs w:val="20"/>
      <w:lang w:val="en-US" w:eastAsia="en-US"/>
    </w:rPr>
  </w:style>
  <w:style w:type="character" w:customStyle="1" w:styleId="Heading2Char">
    <w:name w:val="Heading 2 Char"/>
    <w:qFormat/>
    <w:rPr>
      <w:rFonts w:ascii="Times New Roman" w:eastAsia="SimSun;宋体" w:hAnsi="Times New Roman" w:cs="Times New Roman"/>
      <w:i/>
      <w:sz w:val="20"/>
      <w:szCs w:val="20"/>
      <w:lang w:val="en-US" w:eastAsia="en-US"/>
    </w:rPr>
  </w:style>
  <w:style w:type="character" w:customStyle="1" w:styleId="Heading3Char">
    <w:name w:val="Heading 3 Char"/>
    <w:qFormat/>
    <w:rPr>
      <w:rFonts w:ascii="Times New Roman" w:eastAsia="Times New Roman" w:hAnsi="Times New Roman" w:cs="Times New Roman"/>
      <w:sz w:val="18"/>
      <w:szCs w:val="20"/>
    </w:rPr>
  </w:style>
  <w:style w:type="character" w:customStyle="1" w:styleId="BodyTextIndentChar">
    <w:name w:val="Body Text Indent Char"/>
    <w:qFormat/>
    <w:rPr>
      <w:rFonts w:ascii="Times New Roman" w:eastAsia="Times New Roman" w:hAnsi="Times New Roman" w:cs="Times New Roman"/>
      <w:sz w:val="20"/>
      <w:szCs w:val="20"/>
    </w:rPr>
  </w:style>
  <w:style w:type="character" w:customStyle="1" w:styleId="HeaderChar">
    <w:name w:val="Header Char"/>
    <w:qFormat/>
    <w:rPr>
      <w:rFonts w:ascii="Times New Roman" w:eastAsia="Times New Roman" w:hAnsi="Times New Roman" w:cs="Times New Roman"/>
      <w:sz w:val="20"/>
      <w:szCs w:val="20"/>
    </w:rPr>
  </w:style>
  <w:style w:type="character" w:styleId="Hyperlink">
    <w:name w:val="Hyperlink"/>
    <w:rPr>
      <w:color w:val="0000FF"/>
      <w:u w:val="single"/>
    </w:rPr>
  </w:style>
  <w:style w:type="character" w:customStyle="1" w:styleId="FooterChar">
    <w:name w:val="Footer Char"/>
    <w:qFormat/>
    <w:rPr>
      <w:rFonts w:ascii="Times New Roman" w:eastAsia="Times New Roman" w:hAnsi="Times New Roman" w:cs="Times New Roman"/>
      <w:sz w:val="20"/>
      <w:szCs w:val="20"/>
    </w:rPr>
  </w:style>
  <w:style w:type="character" w:styleId="SubtleEmphasis">
    <w:name w:val="Subtle Emphasis"/>
    <w:qFormat/>
    <w:rPr>
      <w:rFonts w:ascii="Times New Roman" w:hAnsi="Times New Roman" w:cs="Times New Roman"/>
      <w:i/>
      <w:sz w:val="18"/>
    </w:rPr>
  </w:style>
  <w:style w:type="character" w:customStyle="1" w:styleId="TableHeadChar">
    <w:name w:val="Table Head Char"/>
    <w:qFormat/>
    <w:rPr>
      <w:rFonts w:ascii="Times New Roman" w:eastAsia="Times New Roman" w:hAnsi="Times New Roman" w:cs="Times New Roman"/>
      <w:b/>
      <w:sz w:val="20"/>
      <w:szCs w:val="20"/>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sz w:val="20"/>
      <w:szCs w:val="20"/>
    </w:rPr>
  </w:style>
  <w:style w:type="character" w:customStyle="1" w:styleId="AuthorName">
    <w:name w:val="AuthorName"/>
    <w:qFormat/>
    <w:rPr>
      <w:b/>
    </w:rPr>
  </w:style>
  <w:style w:type="character" w:customStyle="1" w:styleId="BodyTextIndent2Char">
    <w:name w:val="Body Text Indent 2 Char"/>
    <w:qFormat/>
    <w:rPr>
      <w:rFonts w:ascii="Times New Roman" w:eastAsia="Times New Roman" w:hAnsi="Times New Roman" w:cs="Times New Roman"/>
      <w:sz w:val="20"/>
      <w:szCs w:val="20"/>
    </w:rPr>
  </w:style>
  <w:style w:type="character" w:customStyle="1" w:styleId="BalloonTextChar">
    <w:name w:val="Balloon Text Char"/>
    <w:qFormat/>
    <w:rPr>
      <w:rFonts w:ascii="Segoe UI" w:eastAsia="Times New Roman" w:hAnsi="Segoe UI" w:cs="Segoe UI"/>
      <w:sz w:val="18"/>
      <w:szCs w:val="18"/>
    </w:rPr>
  </w:style>
  <w:style w:type="character" w:customStyle="1" w:styleId="CommentSubjectChar">
    <w:name w:val="Comment Subject Char"/>
    <w:qFormat/>
    <w:rPr>
      <w:rFonts w:ascii="Times New Roman" w:eastAsia="Times New Roman" w:hAnsi="Times New Roman" w:cs="Times New Roman"/>
      <w:b/>
      <w:bCs/>
      <w:sz w:val="20"/>
      <w:szCs w:val="20"/>
    </w:rPr>
  </w:style>
  <w:style w:type="character" w:styleId="FollowedHyperlink">
    <w:name w:val="FollowedHyperlink"/>
    <w:rPr>
      <w:color w:val="954F72"/>
      <w:u w:val="single"/>
    </w:rPr>
  </w:style>
  <w:style w:type="character" w:styleId="UnresolvedMention">
    <w:name w:val="Unresolved Mention"/>
    <w:qFormat/>
    <w:rPr>
      <w:color w:val="605E5C"/>
      <w:shd w:val="clear" w:color="auto" w:fill="E1DFDD"/>
    </w:rPr>
  </w:style>
  <w:style w:type="character" w:customStyle="1" w:styleId="TitleChar">
    <w:name w:val="Title Char"/>
    <w:link w:val="Title"/>
    <w:uiPriority w:val="10"/>
    <w:qFormat/>
    <w:rPr>
      <w:rFonts w:ascii="Calibri Light" w:eastAsia="MS Gothic;ＭＳ ゴシック" w:hAnsi="Calibri Light" w:cs="Times New Roman"/>
      <w:spacing w:val="-10"/>
      <w:kern w:val="2"/>
      <w:sz w:val="56"/>
      <w:szCs w:val="56"/>
    </w:rPr>
  </w:style>
  <w:style w:type="character" w:customStyle="1" w:styleId="apple-converted-space">
    <w:name w:val="apple-converted-space"/>
    <w:basedOn w:val="DefaultParagraphFont"/>
    <w:qFormat/>
  </w:style>
  <w:style w:type="character" w:styleId="Strong">
    <w:name w:val="Strong"/>
    <w:qFormat/>
    <w:rPr>
      <w:b/>
      <w:bCs/>
    </w:rPr>
  </w:style>
  <w:style w:type="character" w:styleId="Emphasis">
    <w:name w:val="Emphasis"/>
    <w:qFormat/>
    <w:rPr>
      <w:i/>
      <w:iCs/>
    </w:rPr>
  </w:style>
  <w:style w:type="character" w:customStyle="1" w:styleId="SubtitleChar">
    <w:name w:val="Subtitle Char"/>
    <w:qFormat/>
    <w:rPr>
      <w:rFonts w:eastAsia="MS Mincho;ＭＳ 明朝"/>
      <w:color w:val="5A5A5A"/>
      <w:spacing w:val="15"/>
    </w:rPr>
  </w:style>
  <w:style w:type="paragraph" w:customStyle="1" w:styleId="Heading">
    <w:name w:val="Heading"/>
    <w:basedOn w:val="Normal"/>
    <w:next w:val="Normal"/>
    <w:qFormat/>
    <w:pPr>
      <w:contextualSpacing/>
    </w:pPr>
    <w:rPr>
      <w:rFonts w:ascii="Calibri Light" w:eastAsia="MS Gothic;ＭＳ ゴシック" w:hAnsi="Calibri Light"/>
      <w:spacing w:val="-10"/>
      <w:kern w:val="2"/>
      <w:sz w:val="56"/>
      <w:szCs w:val="56"/>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bCs/>
      <w:smallCaps/>
    </w:rPr>
  </w:style>
  <w:style w:type="paragraph" w:customStyle="1" w:styleId="Index">
    <w:name w:val="Index"/>
    <w:basedOn w:val="Normal"/>
    <w:qFormat/>
    <w:pPr>
      <w:suppressLineNumbers/>
    </w:pPr>
  </w:style>
  <w:style w:type="paragraph" w:styleId="BodyTextIndent">
    <w:name w:val="Body Text Indent"/>
    <w:basedOn w:val="Normal"/>
    <w:pPr>
      <w:ind w:firstLine="245"/>
      <w:jc w:val="both"/>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uthorData">
    <w:name w:val="Author Data"/>
    <w:basedOn w:val="Normal"/>
    <w:qFormat/>
    <w:pPr>
      <w:widowControl w:val="0"/>
      <w:spacing w:after="240"/>
      <w:jc w:val="center"/>
    </w:pPr>
    <w:rPr>
      <w:sz w:val="24"/>
    </w:rPr>
  </w:style>
  <w:style w:type="paragraph" w:styleId="BodyTextIndent2">
    <w:name w:val="Body Text Indent 2"/>
    <w:basedOn w:val="Normal"/>
    <w:qFormat/>
    <w:pPr>
      <w:spacing w:after="120" w:line="480" w:lineRule="auto"/>
      <w:ind w:left="360"/>
    </w:pPr>
  </w:style>
  <w:style w:type="paragraph" w:customStyle="1" w:styleId="Abstract">
    <w:name w:val="Abstract"/>
    <w:basedOn w:val="BodyTextIndent2"/>
    <w:qFormat/>
    <w:pPr>
      <w:spacing w:after="0" w:line="240" w:lineRule="auto"/>
      <w:ind w:left="0"/>
      <w:jc w:val="both"/>
    </w:pPr>
    <w:rPr>
      <w:b/>
      <w:i/>
    </w:rPr>
  </w:style>
  <w:style w:type="paragraph" w:customStyle="1" w:styleId="papertitle">
    <w:name w:val="paper title"/>
    <w:next w:val="Normal"/>
    <w:qFormat/>
    <w:pPr>
      <w:spacing w:after="360"/>
      <w:jc w:val="center"/>
    </w:pPr>
    <w:rPr>
      <w:rFonts w:ascii="Times New Roman" w:eastAsia="MS Mincho;ＭＳ 明朝" w:hAnsi="Times New Roman" w:cs="Times New Roman"/>
      <w:sz w:val="48"/>
      <w:szCs w:val="48"/>
      <w:lang w:eastAsia="en-US" w:bidi="ar-SA"/>
    </w:rPr>
  </w:style>
  <w:style w:type="paragraph" w:customStyle="1" w:styleId="TableHead">
    <w:name w:val="Table Head"/>
    <w:basedOn w:val="Normal"/>
    <w:qFormat/>
    <w:rPr>
      <w:b/>
    </w:rPr>
  </w:style>
  <w:style w:type="paragraph" w:styleId="CommentText">
    <w:name w:val="annotation text"/>
    <w:basedOn w:val="Normal"/>
    <w:qFormat/>
  </w:style>
  <w:style w:type="paragraph" w:customStyle="1" w:styleId="BulletList">
    <w:name w:val="BulletList"/>
    <w:basedOn w:val="BodyTextIndent"/>
    <w:qFormat/>
    <w:pPr>
      <w:numPr>
        <w:numId w:val="5"/>
      </w:numPr>
      <w:ind w:left="720" w:hanging="432"/>
      <w:contextualSpacing/>
      <w:jc w:val="left"/>
    </w:pPr>
  </w:style>
  <w:style w:type="paragraph" w:customStyle="1" w:styleId="NumberedList">
    <w:name w:val="NumberedList"/>
    <w:basedOn w:val="BulletList"/>
    <w:qFormat/>
    <w:pPr>
      <w:numPr>
        <w:numId w:val="3"/>
      </w:numPr>
      <w:ind w:left="576" w:hanging="288"/>
    </w:pPr>
  </w:style>
  <w:style w:type="paragraph" w:customStyle="1" w:styleId="Source">
    <w:name w:val="Source"/>
    <w:basedOn w:val="Caption"/>
    <w:qFormat/>
    <w:pPr>
      <w:spacing w:before="20"/>
    </w:pPr>
    <w:rPr>
      <w:smallCaps w:val="0"/>
      <w:sz w:val="18"/>
      <w:szCs w:val="18"/>
    </w:rPr>
  </w:style>
  <w:style w:type="paragraph" w:customStyle="1" w:styleId="Tabletext">
    <w:name w:val="Table text"/>
    <w:basedOn w:val="Normal"/>
    <w:qFormat/>
  </w:style>
  <w:style w:type="paragraph" w:styleId="ListParagraph">
    <w:name w:val="List Paragraph"/>
    <w:basedOn w:val="Normal"/>
    <w:qFormat/>
    <w:pPr>
      <w:spacing w:after="200" w:line="276" w:lineRule="auto"/>
      <w:ind w:left="720"/>
      <w:contextualSpacing/>
    </w:pPr>
    <w:rPr>
      <w:rFonts w:ascii="Calibri" w:eastAsia="Calibri" w:hAnsi="Calibri" w:cs="Arial"/>
      <w:sz w:val="22"/>
      <w:szCs w:val="22"/>
    </w:rPr>
  </w:style>
  <w:style w:type="paragraph" w:customStyle="1" w:styleId="BlockQuote">
    <w:name w:val="BlockQuote"/>
    <w:basedOn w:val="BodyTextIndent"/>
    <w:qFormat/>
    <w:pPr>
      <w:spacing w:after="240"/>
      <w:ind w:left="240" w:firstLine="0"/>
      <w:contextualSpacing/>
      <w:jc w:val="left"/>
    </w:pPr>
  </w:style>
  <w:style w:type="paragraph" w:styleId="BalloonText">
    <w:name w:val="Balloon Text"/>
    <w:basedOn w:val="Normal"/>
    <w:qFormat/>
    <w:rPr>
      <w:rFonts w:ascii="Segoe UI" w:hAnsi="Segoe UI" w:cs="Segoe UI"/>
      <w:sz w:val="18"/>
      <w:szCs w:val="18"/>
    </w:rPr>
  </w:style>
  <w:style w:type="paragraph" w:styleId="CommentSubject">
    <w:name w:val="annotation subject"/>
    <w:basedOn w:val="CommentText"/>
    <w:next w:val="CommentText"/>
    <w:qFormat/>
    <w:rPr>
      <w:b/>
      <w:bCs/>
    </w:rPr>
  </w:style>
  <w:style w:type="paragraph" w:styleId="Revision">
    <w:name w:val="Revision"/>
    <w:qFormat/>
    <w:rPr>
      <w:rFonts w:ascii="Times New Roman" w:eastAsia="Times New Roman" w:hAnsi="Times New Roman" w:cs="Times New Roman"/>
      <w:sz w:val="20"/>
      <w:szCs w:val="20"/>
      <w:lang w:bidi="ar-SA"/>
    </w:rPr>
  </w:style>
  <w:style w:type="paragraph" w:styleId="NoSpacing">
    <w:name w:val="No Spacing"/>
    <w:qFormat/>
    <w:rPr>
      <w:rFonts w:ascii="Times New Roman" w:eastAsia="Times New Roman" w:hAnsi="Times New Roman" w:cs="Times New Roman"/>
      <w:sz w:val="20"/>
      <w:szCs w:val="20"/>
      <w:lang w:bidi="ar-SA"/>
    </w:rPr>
  </w:style>
  <w:style w:type="paragraph" w:customStyle="1" w:styleId="pdq2pgselectionanchorcontainer">
    <w:name w:val="pdq2pg_selectionanchorcontainer"/>
    <w:basedOn w:val="Normal"/>
    <w:qFormat/>
    <w:pPr>
      <w:spacing w:before="280" w:after="280"/>
    </w:pPr>
    <w:rPr>
      <w:sz w:val="24"/>
      <w:szCs w:val="24"/>
      <w:lang w:val="en-CA"/>
    </w:rPr>
  </w:style>
  <w:style w:type="paragraph" w:styleId="NormalWeb">
    <w:name w:val="Normal (Web)"/>
    <w:basedOn w:val="Normal"/>
    <w:qFormat/>
    <w:pPr>
      <w:spacing w:before="280" w:after="280"/>
    </w:pPr>
    <w:rPr>
      <w:sz w:val="24"/>
      <w:szCs w:val="24"/>
      <w:lang w:val="en-CA"/>
    </w:rPr>
  </w:style>
  <w:style w:type="paragraph" w:styleId="Subtitle">
    <w:name w:val="Subtitle"/>
    <w:basedOn w:val="Normal"/>
    <w:next w:val="Normal"/>
    <w:uiPriority w:val="11"/>
    <w:qFormat/>
    <w:pPr>
      <w:spacing w:after="160"/>
    </w:pPr>
    <w:rPr>
      <w:rFonts w:ascii="Calibri" w:eastAsia="MS Mincho;ＭＳ 明朝" w:hAnsi="Calibri" w:cs="Arial"/>
      <w:color w:val="5A5A5A"/>
      <w:spacing w:val="15"/>
      <w:sz w:val="22"/>
      <w:szCs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Title">
    <w:name w:val="Title"/>
    <w:basedOn w:val="Normal"/>
    <w:next w:val="Normal"/>
    <w:link w:val="TitleChar"/>
    <w:uiPriority w:val="10"/>
    <w:qFormat/>
    <w:rsid w:val="00C9276B"/>
    <w:pPr>
      <w:suppressAutoHyphens w:val="0"/>
      <w:spacing w:after="80"/>
      <w:contextualSpacing/>
    </w:pPr>
    <w:rPr>
      <w:rFonts w:ascii="Calibri Light" w:eastAsia="MS Gothic;ＭＳ ゴシック" w:hAnsi="Calibri Light"/>
      <w:spacing w:val="-10"/>
      <w:kern w:val="2"/>
      <w:sz w:val="56"/>
      <w:szCs w:val="56"/>
      <w:lang w:bidi="hi-IN"/>
    </w:rPr>
  </w:style>
  <w:style w:type="character" w:customStyle="1" w:styleId="TitleChar1">
    <w:name w:val="Title Char1"/>
    <w:basedOn w:val="DefaultParagraphFont"/>
    <w:uiPriority w:val="10"/>
    <w:rsid w:val="00C9276B"/>
    <w:rPr>
      <w:rFonts w:asciiTheme="majorHAnsi" w:eastAsiaTheme="majorEastAsia" w:hAnsiTheme="majorHAnsi" w:cstheme="majorBidi"/>
      <w:b/>
      <w:bCs/>
      <w:kern w:val="28"/>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4066</Words>
  <Characters>23179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Bogdan Parvu</cp:lastModifiedBy>
  <cp:revision>12</cp:revision>
  <dcterms:created xsi:type="dcterms:W3CDTF">2026-07-30T20:06:00Z</dcterms:created>
  <dcterms:modified xsi:type="dcterms:W3CDTF">2026-10-28T22:45:00Z</dcterms:modified>
  <dc:language>en-US</dc:language>
</cp:coreProperties>
</file>