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Prozeduren Regtest</w:t>
      </w:r>
    </w:p>
    <w:p>
      <w:pPr>
        <w:pStyle w:val="Heading1"/>
      </w:pPr>
      <w:r>
        <w:t>PR-130 Mahnlauf im Sandbox prüfen</w:t>
      </w:r>
    </w:p>
    <w:p>
      <w:r>
        <w:t>Mahnlauf manuell starten, Protokoll prüfen, E-Mail im Testpostfach kontrollieren.</w:t>
      </w:r>
    </w:p>
    <w:p>
      <w:pPr>
        <w:pStyle w:val="ListBullet"/>
      </w:pPr>
      <w:r>
        <w:t>Kunde K-71 verwenden</w:t>
      </w:r>
    </w:p>
    <w:p>
      <w:pPr>
        <w:pStyle w:val="ListBullet"/>
      </w:pPr>
      <w:r>
        <w:t>Fälligkeit auf heute + 3 Tage setzen</w:t>
      </w:r>
    </w:p>
    <w:p>
      <w:pPr>
        <w:pStyle w:val="Heading1"/>
      </w:pPr>
      <w:r>
        <w:t>PR-131 CSV-Import von Aufträgen</w:t>
      </w:r>
    </w:p>
    <w:p>
      <w:r>
        <w:t>Datei mit 10 Zeilen importieren, Fehlerprotokoll pro Zeile prüfen.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Erwartung</w:t>
            </w:r>
          </w:p>
        </w:tc>
      </w:tr>
      <w:tr>
        <w:tc>
          <w:tcPr>
            <w:tcW w:type="dxa" w:w="4320"/>
          </w:tcPr>
          <w:p>
            <w:r>
              <w:t>Trennzeichen</w:t>
            </w:r>
          </w:p>
        </w:tc>
        <w:tc>
          <w:tcPr>
            <w:tcW w:type="dxa" w:w="4320"/>
          </w:tcPr>
          <w:p>
            <w:r>
              <w:t>Semikolon oder Komma</w:t>
            </w:r>
          </w:p>
        </w:tc>
      </w:tr>
      <w:tr>
        <w:tc>
          <w:tcPr>
            <w:tcW w:type="dxa" w:w="4320"/>
          </w:tcPr>
          <w:p>
            <w:r>
              <w:t>Kodierung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