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Rezolvare</w:t>
      </w:r>
    </w:p>
    <w:p>
      <w:pPr>
        <w:spacing w:after="120" w:before="0"/>
      </w:pPr>
      <w:r>
        <w:rPr>
          <w:b/>
          <w:color w:val="1F3A5F"/>
          <w:sz w:val="36"/>
        </w:rPr>
        <w:t>Rezolvare E22 · Phishing pe SMS, WhatsApp și telefon: ce faci și cui raportezi</w:t>
      </w:r>
    </w:p>
    <w:tbl>
      <w:tblPr>
        <w:tblStyle w:val="TableGrid"/>
        <w:tblW w:type="auto" w:w="0"/>
        <w:tblLook w:firstColumn="1" w:firstRow="1" w:lastColumn="0" w:lastRow="0" w:noHBand="0" w:noVBand="1" w:val="04A0"/>
      </w:tblPr>
      <w:tblGrid>
        <w:gridCol w:w="10206"/>
      </w:tblGrid>
      <w:tr>
        <w:tc>
          <w:tcPr>
            <w:tcW w:type="dxa" w:w="10206"/>
            <w:shd w:val="clear" w:color="auto" w:fill="EAF3EA"/>
          </w:tcPr>
          <w:p>
            <w:r>
              <w:rPr>
                <w:b w:val="0"/>
                <w:sz w:val="22"/>
              </w:rPr>
              <w:t xml:space="preserve">Folosește rezolvarea </w:t>
            </w:r>
            <w:r>
              <w:rPr>
                <w:b/>
                <w:sz w:val="22"/>
              </w:rPr>
              <w:t>după</w:t>
            </w:r>
            <w:r>
              <w:rPr>
                <w:b w:val="0"/>
                <w:sz w:val="22"/>
              </w:rPr>
              <w:t xml:space="preserve"> ce ai încercat singur. Formulările tale pot fi diferite; contează să ai aceleași idei și aceiași pași.</w:t>
            </w:r>
          </w:p>
        </w:tc>
      </w:tr>
    </w:tbl>
    <w:p>
      <w:pPr>
        <w:spacing w:after="40"/>
      </w:pPr>
    </w:p>
    <w:p>
      <w:pPr>
        <w:spacing w:after="80" w:before="0"/>
      </w:pPr>
      <w:r>
        <w:rPr>
          <w:b w:val="0"/>
          <w:sz w:val="24"/>
        </w:rPr>
        <w:t>Situațiile au un răspuns corect clar. Formularea ta poate fi diferită, dar pașii trebuie să fie aceiași.</w:t>
      </w:r>
    </w:p>
    <w:p>
      <w:pPr>
        <w:keepNext/>
        <w:spacing w:after="80" w:before="160"/>
      </w:pPr>
      <w:r>
        <w:rPr>
          <w:b/>
          <w:color w:val="1F3A5F"/>
          <w:sz w:val="28"/>
        </w:rPr>
        <w:t>Partea 1 – Cele 5 situații</w:t>
      </w:r>
    </w:p>
    <w:p>
      <w:pPr>
        <w:spacing w:after="80" w:before="0"/>
      </w:pPr>
      <w:r>
        <w:rPr>
          <w:b/>
          <w:sz w:val="24"/>
        </w:rPr>
        <w:t>1) „Banca” la telefon cere codul.</w:t>
      </w:r>
      <w:r>
        <w:rPr>
          <w:b w:val="0"/>
          <w:sz w:val="24"/>
        </w:rPr>
        <w:t xml:space="preserve"> Închizi. Nu dai codul: banca nu-l cere niciodată. Suni tu la </w:t>
      </w:r>
      <w:r>
        <w:rPr>
          <w:b/>
          <w:sz w:val="24"/>
        </w:rPr>
        <w:t>numărul de pe spatele cardului</w:t>
      </w:r>
      <w:r>
        <w:rPr>
          <w:b w:val="0"/>
          <w:sz w:val="24"/>
        </w:rPr>
        <w:t xml:space="preserve"> și întrebi dacă e vreo problemă.</w:t>
      </w:r>
    </w:p>
    <w:p>
      <w:pPr>
        <w:spacing w:after="80" w:before="0"/>
      </w:pPr>
      <w:r>
        <w:rPr>
          <w:b/>
          <w:sz w:val="24"/>
        </w:rPr>
        <w:t>2) Vocea fiului cere bani urgent.</w:t>
      </w:r>
      <w:r>
        <w:rPr>
          <w:b w:val="0"/>
          <w:sz w:val="24"/>
        </w:rPr>
        <w:t xml:space="preserve"> Nu trimiți nimic. </w:t>
      </w:r>
      <w:r>
        <w:rPr>
          <w:b/>
          <w:sz w:val="24"/>
        </w:rPr>
        <w:t>Suni tu</w:t>
      </w:r>
      <w:r>
        <w:rPr>
          <w:b w:val="0"/>
          <w:sz w:val="24"/>
        </w:rPr>
        <w:t xml:space="preserve"> fiul pe numărul lui știut sau pe cineva de lângă el și ceri cuvântul de siguranță, dacă aveți unul. Vocile se pot clona din câteva secunde de înregistrare de pe internet.</w:t>
      </w:r>
    </w:p>
    <w:p>
      <w:pPr>
        <w:spacing w:after="80" w:before="0"/>
      </w:pPr>
      <w:r>
        <w:rPr>
          <w:b/>
          <w:sz w:val="24"/>
        </w:rPr>
        <w:t>3) SMS „ANAF” cu date de card.</w:t>
      </w:r>
      <w:r>
        <w:rPr>
          <w:b w:val="0"/>
          <w:sz w:val="24"/>
        </w:rPr>
        <w:t xml:space="preserve"> E fals: ANAF nu cere date de card prin SMS. Nu deschizi linkul și ștergi mesajul. Dacă vrei să verifici, intri singur în </w:t>
      </w:r>
      <w:r>
        <w:rPr>
          <w:b/>
          <w:sz w:val="24"/>
        </w:rPr>
        <w:t>Spațiul Privat Virtual (SPV)</w:t>
      </w:r>
      <w:r>
        <w:rPr>
          <w:b w:val="0"/>
          <w:sz w:val="24"/>
        </w:rPr>
        <w:t xml:space="preserve"> sau suni la ANAF pe numărul de pe site-ul oficial.</w:t>
      </w:r>
    </w:p>
    <w:p>
      <w:pPr>
        <w:spacing w:after="80" w:before="0"/>
      </w:pPr>
      <w:r>
        <w:rPr>
          <w:b/>
          <w:sz w:val="24"/>
        </w:rPr>
        <w:t>4) Prietenul de pe Messenger cere codul.</w:t>
      </w:r>
      <w:r>
        <w:rPr>
          <w:b w:val="0"/>
          <w:sz w:val="24"/>
        </w:rPr>
        <w:t xml:space="preserve"> Contul prietenului e, foarte probabil, deja furat. Codul cerut e cel care i-ar da hoțului </w:t>
      </w:r>
      <w:r>
        <w:rPr>
          <w:b/>
          <w:sz w:val="24"/>
        </w:rPr>
        <w:t>contul tău</w:t>
      </w:r>
      <w:r>
        <w:rPr>
          <w:b w:val="0"/>
          <w:sz w:val="24"/>
        </w:rPr>
        <w:t xml:space="preserve"> (de WhatsApp sau Facebook). Nu dai codul, iar pe prieten îl anunți </w:t>
      </w:r>
      <w:r>
        <w:rPr>
          <w:b/>
          <w:sz w:val="24"/>
        </w:rPr>
        <w:t>pe alt canal</w:t>
      </w:r>
      <w:r>
        <w:rPr>
          <w:b w:val="0"/>
          <w:sz w:val="24"/>
        </w:rPr>
        <w:t xml:space="preserve"> (telefon), ca să-și recupereze contul.</w:t>
      </w:r>
    </w:p>
    <w:p>
      <w:pPr>
        <w:spacing w:after="80" w:before="0"/>
      </w:pPr>
      <w:r>
        <w:rPr>
          <w:b/>
          <w:sz w:val="24"/>
        </w:rPr>
        <w:t>5) Ai dat parola de la e-mail pe un site fals.</w:t>
      </w:r>
      <w:r>
        <w:rPr>
          <w:b w:val="0"/>
          <w:sz w:val="24"/>
        </w:rPr>
        <w:t xml:space="preserve"> Imediat: </w:t>
      </w:r>
      <w:r>
        <w:rPr>
          <w:b/>
          <w:sz w:val="24"/>
        </w:rPr>
        <w:t>schimbi parola</w:t>
      </w:r>
      <w:r>
        <w:rPr>
          <w:b w:val="0"/>
          <w:sz w:val="24"/>
        </w:rPr>
        <w:t xml:space="preserve"> (de pe alt dispozitiv, dacă poți), activezi </w:t>
      </w:r>
      <w:r>
        <w:rPr>
          <w:b/>
          <w:sz w:val="24"/>
        </w:rPr>
        <w:t>autentificarea în doi pași</w:t>
      </w:r>
      <w:r>
        <w:rPr>
          <w:b w:val="0"/>
          <w:sz w:val="24"/>
        </w:rPr>
        <w:t xml:space="preserve">, verifici în setări că nu s-a adăugat o regulă de redirecționare a mesajelor. Dacă e contul de serviciu, anunți </w:t>
      </w:r>
      <w:r>
        <w:rPr>
          <w:b/>
          <w:sz w:val="24"/>
        </w:rPr>
        <w:t>IT-ul</w:t>
      </w:r>
      <w:r>
        <w:rPr>
          <w:b w:val="0"/>
          <w:sz w:val="24"/>
        </w:rPr>
        <w:t xml:space="preserve"> imediat. Schimbi parola și pe alte conturi unde ai folosit-o pe aceeași.</w:t>
      </w:r>
    </w:p>
    <w:p>
      <w:pPr>
        <w:keepNext/>
        <w:spacing w:after="80" w:before="160"/>
      </w:pPr>
      <w:r>
        <w:rPr>
          <w:b/>
          <w:color w:val="1F3A5F"/>
          <w:sz w:val="28"/>
        </w:rPr>
        <w:t>Partea 2 – Unde raportez</w:t>
      </w:r>
    </w:p>
    <w:tbl>
      <w:tblPr>
        <w:tblStyle w:val="TableGrid"/>
        <w:tblW w:type="auto" w:w="0"/>
        <w:tblLayout w:type="fixed"/>
        <w:tblLook w:firstColumn="1" w:firstRow="1" w:lastColumn="0" w:lastRow="0" w:noHBand="0" w:noVBand="1" w:val="04A0"/>
      </w:tblPr>
      <w:tblGrid>
        <w:gridCol w:w="3420"/>
        <w:gridCol w:w="6218"/>
      </w:tblGrid>
      <w:tr>
        <w:trPr>
          <w:tblHeader w:val="true"/>
        </w:trPr>
        <w:tc>
          <w:tcPr>
            <w:tcW w:type="dxa" w:w="3420"/>
            <w:shd w:val="clear" w:color="auto" w:fill="DCE6F1"/>
          </w:tcPr>
          <w:p>
            <w:r/>
            <w:r>
              <w:rPr>
                <w:b/>
                <w:sz w:val="21"/>
              </w:rPr>
              <w:t>Ce s-a întâmplat</w:t>
            </w:r>
          </w:p>
        </w:tc>
        <w:tc>
          <w:tcPr>
            <w:tcW w:type="dxa" w:w="6218"/>
            <w:shd w:val="clear" w:color="auto" w:fill="DCE6F1"/>
          </w:tcPr>
          <w:p>
            <w:r/>
            <w:r>
              <w:rPr>
                <w:b/>
                <w:sz w:val="21"/>
              </w:rPr>
              <w:t>Unde / cui raportez</w:t>
            </w:r>
          </w:p>
        </w:tc>
      </w:tr>
      <w:tr>
        <w:tc>
          <w:tcPr>
            <w:tcW w:type="dxa" w:w="3420"/>
          </w:tcPr>
          <w:p>
            <w:r>
              <w:rPr>
                <w:b w:val="0"/>
                <w:sz w:val="21"/>
              </w:rPr>
              <w:t>E-mail suspect la serviciu</w:t>
            </w:r>
          </w:p>
        </w:tc>
        <w:tc>
          <w:tcPr>
            <w:tcW w:type="dxa" w:w="6218"/>
          </w:tcPr>
          <w:p>
            <w:r>
              <w:rPr>
                <w:b w:val="0"/>
                <w:sz w:val="21"/>
              </w:rPr>
              <w:t xml:space="preserve">IT-ul firmei; în Outlook, butonul </w:t>
            </w:r>
            <w:r>
              <w:rPr>
                <w:b/>
                <w:sz w:val="21"/>
              </w:rPr>
              <w:t>Raportați</w:t>
            </w:r>
            <w:r>
              <w:rPr>
                <w:b w:val="0"/>
                <w:sz w:val="21"/>
              </w:rPr>
              <w:t xml:space="preserve"> (Report) → Phishing. Nu îl redirecționezi colegilor.</w:t>
            </w:r>
          </w:p>
        </w:tc>
      </w:tr>
      <w:tr>
        <w:tc>
          <w:tcPr>
            <w:tcW w:type="dxa" w:w="3420"/>
          </w:tcPr>
          <w:p>
            <w:r>
              <w:rPr>
                <w:b w:val="0"/>
                <w:sz w:val="21"/>
              </w:rPr>
              <w:t>Fraudă online</w:t>
            </w:r>
          </w:p>
        </w:tc>
        <w:tc>
          <w:tcPr>
            <w:tcW w:type="dxa" w:w="6218"/>
          </w:tcPr>
          <w:p>
            <w:r>
              <w:rPr>
                <w:b/>
                <w:sz w:val="21"/>
              </w:rPr>
              <w:t>DNSC</w:t>
            </w:r>
            <w:r>
              <w:rPr>
                <w:b w:val="0"/>
                <w:sz w:val="21"/>
              </w:rPr>
              <w:t xml:space="preserve">: dnsc.ro (secțiunea de raportare a incidentelor) sau la telefon </w:t>
            </w:r>
            <w:r>
              <w:rPr>
                <w:b/>
                <w:sz w:val="21"/>
              </w:rPr>
              <w:t>1911</w:t>
            </w:r>
            <w:r>
              <w:rPr>
                <w:b w:val="0"/>
                <w:sz w:val="21"/>
              </w:rPr>
              <w:t>.</w:t>
            </w:r>
          </w:p>
        </w:tc>
      </w:tr>
      <w:tr>
        <w:tc>
          <w:tcPr>
            <w:tcW w:type="dxa" w:w="3420"/>
          </w:tcPr>
          <w:p>
            <w:r>
              <w:rPr>
                <w:b w:val="0"/>
                <w:sz w:val="21"/>
              </w:rPr>
              <w:t>Am pierdut bani</w:t>
            </w:r>
          </w:p>
        </w:tc>
        <w:tc>
          <w:tcPr>
            <w:tcW w:type="dxa" w:w="6218"/>
          </w:tcPr>
          <w:p>
            <w:r>
              <w:rPr>
                <w:b/>
                <w:sz w:val="21"/>
              </w:rPr>
              <w:t>Banca</w:t>
            </w:r>
            <w:r>
              <w:rPr>
                <w:b w:val="0"/>
                <w:sz w:val="21"/>
              </w:rPr>
              <w:t xml:space="preserve">, imediat, la numărul de pe card (poate bloca cardul sau opri transferul), apoi </w:t>
            </w:r>
            <w:r>
              <w:rPr>
                <w:b/>
                <w:sz w:val="21"/>
              </w:rPr>
              <w:t>Poliția</w:t>
            </w:r>
            <w:r>
              <w:rPr>
                <w:b w:val="0"/>
                <w:sz w:val="21"/>
              </w:rPr>
              <w:t xml:space="preserve"> (plângere). Poți anunța și DNSC.</w:t>
            </w:r>
          </w:p>
        </w:tc>
      </w:tr>
      <w:tr>
        <w:tc>
          <w:tcPr>
            <w:tcW w:type="dxa" w:w="3420"/>
          </w:tcPr>
          <w:p>
            <w:r>
              <w:rPr>
                <w:b w:val="0"/>
                <w:sz w:val="21"/>
              </w:rPr>
              <w:t>Cont de Facebook / WhatsApp furat</w:t>
            </w:r>
          </w:p>
        </w:tc>
        <w:tc>
          <w:tcPr>
            <w:tcW w:type="dxa" w:w="6218"/>
          </w:tcPr>
          <w:p>
            <w:r>
              <w:rPr>
                <w:b w:val="0"/>
                <w:sz w:val="21"/>
              </w:rPr>
              <w:t>Procedura de recuperare a platformei (Facebook: „Contul meu a fost spart”; WhatsApp: te reînregistrezi cu numărul tău). Îi anunți pe prieteni, pe alt canal, să nu răspundă la cereri de bani.</w:t>
            </w:r>
          </w:p>
        </w:tc>
      </w:tr>
      <w:tr>
        <w:tc>
          <w:tcPr>
            <w:tcW w:type="dxa" w:w="3420"/>
          </w:tcPr>
          <w:p>
            <w:r>
              <w:rPr>
                <w:b w:val="0"/>
                <w:sz w:val="21"/>
              </w:rPr>
              <w:t>SMS fals („curier”, „ANAF”)</w:t>
            </w:r>
          </w:p>
        </w:tc>
        <w:tc>
          <w:tcPr>
            <w:tcW w:type="dxa" w:w="6218"/>
          </w:tcPr>
          <w:p>
            <w:r>
              <w:rPr>
                <w:b w:val="0"/>
                <w:sz w:val="21"/>
              </w:rPr>
              <w:t>Nu răspunzi și nu deschizi linkul; ștergi mesajul și blochezi numărul. Poți raporta la DNSC.</w:t>
            </w:r>
          </w:p>
        </w:tc>
      </w:tr>
    </w:tbl>
    <w:p>
      <w:pPr>
        <w:spacing w:after="40"/>
      </w:pP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Rezolvare E22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