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E31 · Recapitulare Modulele 1-2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Toate stațiile au răspunsuri fixe. La e-mailul rescris și la anunț contează să ai aceleași elemente.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Stația 1 – Căutarea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"/>
        <w:gridCol w:w="3104"/>
        <w:gridCol w:w="5821"/>
      </w:tblGrid>
      <w:tr>
        <w:trPr>
          <w:tblHeader w:val="true"/>
        </w:trPr>
        <w:tc>
          <w:tcPr>
            <w:tcW w:type="dxa" w:w="712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3105"/>
            <w:shd w:val="clear" w:color="auto" w:fill="DCE6F1"/>
          </w:tcPr>
          <w:p>
            <w:r/>
            <w:r>
              <w:rPr>
                <w:b/>
                <w:sz w:val="21"/>
              </w:rPr>
              <w:t>Ce scrii</w:t>
            </w:r>
          </w:p>
        </w:tc>
        <w:tc>
          <w:tcPr>
            <w:tcW w:type="dxa" w:w="5821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105"/>
          </w:tcPr>
          <w:p>
            <w:r>
              <w:rPr>
                <w:b w:val="0"/>
                <w:sz w:val="21"/>
              </w:rPr>
              <w:t>phishing site:dnsc.ro</w:t>
            </w:r>
          </w:p>
        </w:tc>
        <w:tc>
          <w:tcPr>
            <w:tcW w:type="dxa" w:w="5821"/>
          </w:tcPr>
          <w:p>
            <w:r>
              <w:rPr>
                <w:b w:val="0"/>
                <w:sz w:val="21"/>
              </w:rPr>
              <w:t>site: păstrează doar paginile de pe acel domeniu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105"/>
          </w:tcPr>
          <w:p>
            <w:r>
              <w:rPr>
                <w:b w:val="0"/>
                <w:sz w:val="21"/>
              </w:rPr>
              <w:t>"autentificare în doi pași"</w:t>
            </w:r>
          </w:p>
        </w:tc>
        <w:tc>
          <w:tcPr>
            <w:tcW w:type="dxa" w:w="5821"/>
          </w:tcPr>
          <w:p>
            <w:r>
              <w:rPr>
                <w:b w:val="0"/>
                <w:sz w:val="21"/>
              </w:rPr>
              <w:t>Ghilimelele caută exact expresia, cu cuvintele în ordinea asta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105"/>
          </w:tcPr>
          <w:p>
            <w:r>
              <w:rPr>
                <w:b w:val="0"/>
                <w:sz w:val="21"/>
              </w:rPr>
              <w:t>ghid accesibilitate filetype:pdf</w:t>
            </w:r>
          </w:p>
        </w:tc>
        <w:tc>
          <w:tcPr>
            <w:tcW w:type="dxa" w:w="5821"/>
          </w:tcPr>
          <w:p>
            <w:r>
              <w:rPr>
                <w:b w:val="0"/>
                <w:sz w:val="21"/>
              </w:rPr>
              <w:t>filetype: păstrează doar fișierele de tipul ales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105"/>
          </w:tcPr>
          <w:p>
            <w:r>
              <w:rPr>
                <w:b w:val="0"/>
                <w:sz w:val="21"/>
              </w:rPr>
              <w:t>jaguar animal -mașina</w:t>
            </w:r>
          </w:p>
        </w:tc>
        <w:tc>
          <w:tcPr>
            <w:tcW w:type="dxa" w:w="5821"/>
          </w:tcPr>
          <w:p>
            <w:r>
              <w:rPr>
                <w:b w:val="0"/>
                <w:sz w:val="21"/>
              </w:rPr>
              <w:t>Minusul scoate rezultatele care conțin cuvântul; „animal” ajută și el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Fără spațiu după </w:t>
      </w:r>
      <w:r>
        <w:rPr>
          <w:rFonts w:ascii="Consolas" w:hAnsi="Consolas" w:eastAsia="Consolas"/>
          <w:sz w:val="24"/>
        </w:rPr>
        <w:t>site:</w:t>
      </w:r>
      <w:r>
        <w:rPr>
          <w:b w:val="0"/>
          <w:sz w:val="24"/>
        </w:rPr>
        <w:t xml:space="preserve"> și </w:t>
      </w:r>
      <w:r>
        <w:rPr>
          <w:rFonts w:ascii="Consolas" w:hAnsi="Consolas" w:eastAsia="Consolas"/>
          <w:sz w:val="24"/>
        </w:rPr>
        <w:t>filetype:</w:t>
      </w:r>
      <w:r>
        <w:rPr>
          <w:b w:val="0"/>
          <w:sz w:val="24"/>
        </w:rPr>
        <w:t>, și fără spațiu între minus și cuvânt.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Stația 2 – E-mailul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Problema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Subiectul „Salut” nu spune nimic: nu se găsește și nu se înțelege despre ce 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Adresarea „Bună,” e prea familiară pentru șefă și lipsește numele.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„Vezi atașat”, dar nu e atașat niciun fișier, iar mesajul nu spune ce anume trimite.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MAJUSCULELE și „!!!” se citesc ca un țipăt; tonul e de ordin, nu de cerere.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„Răspuns tuturor” la 25 de persoane, în loc de un singur destinatar; și lipsește semnătura.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Varianta corectă: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Către: Ana Rusu · Subiect: Programul de ture pentru decembrie · „Bună ziua, doamna Rusu, vă trimit atașat programul de ture pentru decembrie, așa cum mi-ați cerut. Vă rog să-mi spuneți până joi dacă e nevoie de modificări, ca să-l pot afișa vineri. Mulțumesc! Cu stimă, [Nume Prenume], casa de bilete” · Atașament: Program_ture_decembrie.pdf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Dacă problemele tale sunt aceleași, doar în altă ordine sau grupate altfel (de exemplu semnătura pe un rând separat), e corect.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Stația 3 – Canalul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3"/>
        <w:gridCol w:w="2839"/>
        <w:gridCol w:w="6085"/>
      </w:tblGrid>
      <w:tr>
        <w:trPr>
          <w:tblHeader w:val="true"/>
        </w:trPr>
        <w:tc>
          <w:tcPr>
            <w:tcW w:type="dxa" w:w="713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2840"/>
            <w:shd w:val="clear" w:color="auto" w:fill="DCE6F1"/>
          </w:tcPr>
          <w:p>
            <w:r/>
            <w:r>
              <w:rPr>
                <w:b/>
                <w:sz w:val="21"/>
              </w:rPr>
              <w:t>Canalul</w:t>
            </w:r>
          </w:p>
        </w:tc>
        <w:tc>
          <w:tcPr>
            <w:tcW w:type="dxa" w:w="6085"/>
            <w:shd w:val="clear" w:color="auto" w:fill="DCE6F1"/>
          </w:tcPr>
          <w:p>
            <w:r/>
            <w:r>
              <w:rPr>
                <w:b/>
                <w:sz w:val="21"/>
              </w:rPr>
              <w:t>Către / Cc / Bcc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840"/>
          </w:tcPr>
          <w:p>
            <w:r>
              <w:rPr>
                <w:b w:val="0"/>
                <w:sz w:val="21"/>
              </w:rPr>
              <w:t>Mesaj (chat)</w:t>
            </w:r>
          </w:p>
        </w:tc>
        <w:tc>
          <w:tcPr>
            <w:tcW w:type="dxa" w:w="6085"/>
          </w:tcPr>
          <w:p>
            <w:r>
              <w:rPr>
                <w:b w:val="0"/>
                <w:sz w:val="21"/>
              </w:rPr>
              <w:t>—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840"/>
          </w:tcPr>
          <w:p>
            <w:r>
              <w:rPr>
                <w:b w:val="0"/>
                <w:sz w:val="21"/>
              </w:rPr>
              <w:t>E-mail</w:t>
            </w:r>
          </w:p>
        </w:tc>
        <w:tc>
          <w:tcPr>
            <w:tcW w:type="dxa" w:w="6085"/>
          </w:tcPr>
          <w:p>
            <w:r>
              <w:rPr>
                <w:b w:val="0"/>
                <w:sz w:val="21"/>
              </w:rPr>
              <w:t>Către: șefa (îi ceri aprobarea) · Cc: contabila (trebuie doar să știe)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840"/>
          </w:tcPr>
          <w:p>
            <w:r>
              <w:rPr>
                <w:b w:val="0"/>
                <w:sz w:val="21"/>
              </w:rPr>
              <w:t>Telefon (sau alerta stației)</w:t>
            </w:r>
          </w:p>
        </w:tc>
        <w:tc>
          <w:tcPr>
            <w:tcW w:type="dxa" w:w="6085"/>
          </w:tcPr>
          <w:p>
            <w:r>
              <w:rPr>
                <w:b w:val="0"/>
                <w:sz w:val="21"/>
              </w:rPr>
              <w:t>— Urgent înseamnă telefon, nu e-mail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840"/>
          </w:tcPr>
          <w:p>
            <w:r>
              <w:rPr>
                <w:b w:val="0"/>
                <w:sz w:val="21"/>
              </w:rPr>
              <w:t>E-mail</w:t>
            </w:r>
          </w:p>
        </w:tc>
        <w:tc>
          <w:tcPr>
            <w:tcW w:type="dxa" w:w="6085"/>
          </w:tcPr>
          <w:p>
            <w:r>
              <w:rPr>
                <w:b w:val="0"/>
                <w:sz w:val="21"/>
              </w:rPr>
              <w:t>Bcc: cele 30 de persoane (Către: tu însuți sau adresa organizatorului), ca să nu-și vadă adresele unii altora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Stația 4 – Nediscriminarea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7"/>
        <w:gridCol w:w="1969"/>
        <w:gridCol w:w="6951"/>
      </w:tblGrid>
      <w:tr>
        <w:trPr>
          <w:tblHeader w:val="true"/>
        </w:trPr>
        <w:tc>
          <w:tcPr>
            <w:tcW w:type="dxa" w:w="718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1969"/>
            <w:shd w:val="clear" w:color="auto" w:fill="DCE6F1"/>
          </w:tcPr>
          <w:p>
            <w:r/>
            <w:r>
              <w:rPr>
                <w:b/>
                <w:sz w:val="21"/>
              </w:rPr>
              <w:t>Răspuns</w:t>
            </w:r>
          </w:p>
        </w:tc>
        <w:tc>
          <w:tcPr>
            <w:tcW w:type="dxa" w:w="6951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18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969"/>
          </w:tcPr>
          <w:p>
            <w:r>
              <w:rPr>
                <w:b w:val="0"/>
                <w:sz w:val="21"/>
              </w:rPr>
              <w:t>Directă</w:t>
            </w:r>
          </w:p>
        </w:tc>
        <w:tc>
          <w:tcPr>
            <w:tcW w:type="dxa" w:w="6951"/>
          </w:tcPr>
          <w:p>
            <w:r>
              <w:rPr>
                <w:b w:val="0"/>
                <w:sz w:val="21"/>
              </w:rPr>
              <w:t>Criteriile sunt sexul și vârsta: bărbații și persoanele peste 35 de ani sunt excluse din start.</w:t>
            </w:r>
          </w:p>
        </w:tc>
      </w:tr>
      <w:tr>
        <w:tc>
          <w:tcPr>
            <w:tcW w:type="dxa" w:w="71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969"/>
          </w:tcPr>
          <w:p>
            <w:r>
              <w:rPr>
                <w:b w:val="0"/>
                <w:sz w:val="21"/>
              </w:rPr>
              <w:t>Indirectă</w:t>
            </w:r>
          </w:p>
        </w:tc>
        <w:tc>
          <w:tcPr>
            <w:tcW w:type="dxa" w:w="6951"/>
          </w:tcPr>
          <w:p>
            <w:r>
              <w:rPr>
                <w:b w:val="0"/>
                <w:sz w:val="21"/>
              </w:rPr>
              <w:t>Regula pare neutră („toți sunt pe WhatsApp”), dar îi lasă pe dinafară pe cei doi colegi fără telefon inteligent.</w:t>
            </w:r>
          </w:p>
        </w:tc>
      </w:tr>
      <w:tr>
        <w:tc>
          <w:tcPr>
            <w:tcW w:type="dxa" w:w="718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969"/>
          </w:tcPr>
          <w:p>
            <w:r>
              <w:rPr>
                <w:b w:val="0"/>
                <w:sz w:val="21"/>
              </w:rPr>
              <w:t>Directă</w:t>
            </w:r>
          </w:p>
        </w:tc>
        <w:tc>
          <w:tcPr>
            <w:tcW w:type="dxa" w:w="6951"/>
          </w:tcPr>
          <w:p>
            <w:r>
              <w:rPr>
                <w:b w:val="0"/>
                <w:sz w:val="21"/>
              </w:rPr>
              <w:t>Criteriul este vârsta: competența e „ghicită” după vârstă, fără să fie verificată.</w:t>
            </w:r>
          </w:p>
        </w:tc>
      </w:tr>
      <w:tr>
        <w:tc>
          <w:tcPr>
            <w:tcW w:type="dxa" w:w="71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969"/>
          </w:tcPr>
          <w:p>
            <w:r>
              <w:rPr>
                <w:b w:val="0"/>
                <w:sz w:val="21"/>
              </w:rPr>
              <w:t>Nu e discriminare</w:t>
            </w:r>
          </w:p>
        </w:tc>
        <w:tc>
          <w:tcPr>
            <w:tcW w:type="dxa" w:w="6951"/>
          </w:tcPr>
          <w:p>
            <w:r>
              <w:rPr>
                <w:b w:val="0"/>
                <w:sz w:val="21"/>
              </w:rPr>
              <w:t>Informația ajunge la toți, pe două canale. Așa arată, de fapt, incluziunea.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Anunțul rescris:</w:t>
      </w:r>
      <w:r>
        <w:rPr>
          <w:b w:val="0"/>
          <w:sz w:val="24"/>
        </w:rPr>
        <w:t xml:space="preserve"> „Căutăm casier sau casieră. Cerințe: lucru cu calculatorul și cu casa de marcat, comunicare politicoasă cu călătorii, program în ture.”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gluma nepotrivită</w:t>
      </w:r>
    </w:p>
    <w:p>
      <w:pPr>
        <w:spacing w:after="80" w:before="0"/>
      </w:pPr>
      <w:r>
        <w:rPr>
          <w:b/>
          <w:sz w:val="24"/>
        </w:rPr>
        <w:t>Cei 3 pași:</w:t>
      </w:r>
      <w:r>
        <w:rPr>
          <w:b w:val="0"/>
          <w:sz w:val="24"/>
        </w:rPr>
        <w:t xml:space="preserve"> 1) nu râzi și nu dai „like”; 2) îi spui colegului, calm și în privat; 3) dacă se repetă sau e grav, raportezi superiorului.</w:t>
      </w:r>
    </w:p>
    <w:p>
      <w:pPr>
        <w:spacing w:after="80" w:before="0"/>
      </w:pPr>
      <w:r>
        <w:rPr>
          <w:b/>
          <w:sz w:val="24"/>
        </w:rPr>
        <w:t>Mesajul în privat:</w:t>
      </w:r>
      <w:r>
        <w:rPr>
          <w:b w:val="0"/>
          <w:sz w:val="24"/>
        </w:rPr>
        <w:t xml:space="preserve"> „Salut, Mihai! Știu că n-ai vrut să superi pe nimeni, dar gluma din grup a sunat rău pentru colegele noastre. Poți s-o ștergi? Mersi!”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E31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