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80"/>
        </w:rPr>
        <w:t>Scrie așa cum ai vrea să ți se scrie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215000"/>
            <wp:docPr id="1" name="Picture 1" descr="Pictogramă: patru oameni diferiți, unul lângă altu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60"/>
      </w:pPr>
      <w:r>
        <w:rPr>
          <w:sz w:val="44"/>
        </w:rPr>
        <w:t>Nu glumim pe seama vârstei, a genului sau a felului în care scrie cineva.</w:t>
      </w:r>
    </w:p>
    <w:p>
      <w:pPr>
        <w:pStyle w:val="ListBullet"/>
        <w:spacing w:after="160"/>
      </w:pPr>
      <w:r>
        <w:rPr>
          <w:sz w:val="44"/>
        </w:rPr>
        <w:t>Anunțurile importante ajung la toți: grup, e-mail și avizier.</w:t>
      </w:r>
    </w:p>
    <w:p>
      <w:pPr>
        <w:pStyle w:val="ListBullet"/>
        <w:spacing w:after="160"/>
      </w:pPr>
      <w:r>
        <w:rPr>
          <w:sz w:val="44"/>
        </w:rPr>
        <w:t>Cine întreabă nu deranjează: răspundem cu răbdare.</w:t>
      </w:r>
    </w:p>
    <w:p>
      <w:pPr>
        <w:spacing w:before="200"/>
      </w:pPr>
      <w:r>
        <w:rPr>
          <w:b/>
          <w:sz w:val="36"/>
        </w:rPr>
        <w:t xml:space="preserve">Așa nu: </w:t>
      </w:r>
      <w:r>
        <w:rPr>
          <w:sz w:val="36"/>
        </w:rPr>
        <w:t>„Băieți, mâine schimbăm tura.”</w:t>
      </w:r>
    </w:p>
    <w:p>
      <w:r>
        <w:rPr>
          <w:b/>
          <w:color w:val="0B6B3A"/>
          <w:sz w:val="36"/>
        </w:rPr>
        <w:t xml:space="preserve">Așa da: </w:t>
      </w:r>
      <w:r>
        <w:rPr>
          <w:sz w:val="36"/>
        </w:rPr>
        <w:t>„Dragi colegi, de mâine, 3 noiembrie, tura de dimineață începe la 6:00.”</w:t>
      </w:r>
    </w:p>
    <w:p>
      <w:pPr>
        <w:spacing w:before="280"/>
        <w:jc w:val="center"/>
      </w:pPr>
      <w:r>
        <w:rPr>
          <w:b/>
          <w:color w:val="1F3A5F"/>
          <w:sz w:val="44"/>
        </w:rPr>
        <w:t>Înainte de Trimitere, întreabă-te: îl poate citi oricine și nu jignește pe nimeni?</w:t>
      </w:r>
    </w:p>
    <w:p>
      <w:pPr>
        <w:spacing w:before="360"/>
      </w:pPr>
      <w:r>
        <w:rPr>
          <w:color w:val="404040"/>
          <w:sz w:val="20"/>
        </w:rPr>
        <w:t>Surse: Suport de curs Competențe digitale, secțiunea 2, pg. 28–32; OG nr. 137/2000; cncd.ro · Maria Popescu, casa de bilete (lucrare-model)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