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E09 · Egalitate de șanse: fișa de lucru a organizatorului + rescriere incluzivă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Părțile I–III au un singur răspuns corect. La IV și V formulările tale pot fi altele: contează ideile de mai jos.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Părțile I–III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16"/>
        <w:gridCol w:w="4461"/>
        <w:gridCol w:w="4461"/>
      </w:tblGrid>
      <w:tr>
        <w:trPr>
          <w:tblHeader w:val="true"/>
        </w:trPr>
        <w:tc>
          <w:tcPr>
            <w:tcW w:type="dxa" w:w="716"/>
            <w:shd w:val="clear" w:color="auto" w:fill="DCE6F1"/>
          </w:tcPr>
          <w:p>
            <w:r/>
            <w:r>
              <w:rPr>
                <w:b/>
                <w:sz w:val="21"/>
              </w:rPr>
              <w:t>Partea</w:t>
            </w:r>
          </w:p>
        </w:tc>
        <w:tc>
          <w:tcPr>
            <w:tcW w:type="dxa" w:w="4461"/>
            <w:shd w:val="clear" w:color="auto" w:fill="DCE6F1"/>
          </w:tcPr>
          <w:p>
            <w:r/>
            <w:r>
              <w:rPr>
                <w:b/>
                <w:sz w:val="21"/>
              </w:rPr>
              <w:t>Răspunsurile corecte</w:t>
            </w:r>
          </w:p>
        </w:tc>
        <w:tc>
          <w:tcPr>
            <w:tcW w:type="dxa" w:w="4461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</w:tr>
      <w:tr>
        <w:tc>
          <w:tcPr>
            <w:tcW w:type="dxa" w:w="716"/>
          </w:tcPr>
          <w:p>
            <w:r>
              <w:rPr>
                <w:b w:val="0"/>
                <w:sz w:val="21"/>
              </w:rPr>
              <w:t>I</w:t>
            </w:r>
          </w:p>
        </w:tc>
        <w:tc>
          <w:tcPr>
            <w:tcW w:type="dxa" w:w="4461"/>
          </w:tcPr>
          <w:p>
            <w:r>
              <w:rPr>
                <w:b w:val="0"/>
                <w:sz w:val="21"/>
              </w:rPr>
              <w:t xml:space="preserve">1 – </w:t>
            </w:r>
            <w:r>
              <w:rPr>
                <w:b/>
                <w:sz w:val="21"/>
              </w:rPr>
              <w:t>b</w:t>
            </w:r>
            <w:r>
              <w:rPr>
                <w:b w:val="0"/>
                <w:sz w:val="21"/>
              </w:rPr>
              <w:t xml:space="preserve"> · 2 – </w:t>
            </w:r>
            <w:r>
              <w:rPr>
                <w:b/>
                <w:sz w:val="21"/>
              </w:rPr>
              <w:t>b</w:t>
            </w:r>
            <w:r>
              <w:rPr>
                <w:b w:val="0"/>
                <w:sz w:val="21"/>
              </w:rPr>
              <w:t xml:space="preserve"> · 3 – </w:t>
            </w:r>
            <w:r>
              <w:rPr>
                <w:b/>
                <w:sz w:val="21"/>
              </w:rPr>
              <w:t>c</w:t>
            </w:r>
            <w:r>
              <w:rPr>
                <w:b w:val="0"/>
                <w:sz w:val="21"/>
              </w:rPr>
              <w:t xml:space="preserve"> · 4 – </w:t>
            </w:r>
            <w:r>
              <w:rPr>
                <w:b/>
                <w:sz w:val="21"/>
              </w:rPr>
              <w:t>c</w:t>
            </w:r>
          </w:p>
        </w:tc>
        <w:tc>
          <w:tcPr>
            <w:tcW w:type="dxa" w:w="4461"/>
          </w:tcPr>
          <w:p>
            <w:r>
              <w:rPr>
                <w:b w:val="0"/>
                <w:sz w:val="21"/>
              </w:rPr>
              <w:t>Excluderea pe baza originii e discriminare; incluziunea = acces egal pentru toți; raportezi conținutul ofensator; un site inaccesibil exclude.</w:t>
            </w:r>
          </w:p>
        </w:tc>
      </w:tr>
      <w:tr>
        <w:tc>
          <w:tcPr>
            <w:tcW w:type="dxa" w:w="716"/>
          </w:tcPr>
          <w:p>
            <w:r>
              <w:rPr>
                <w:b w:val="0"/>
                <w:sz w:val="21"/>
              </w:rPr>
              <w:t>II</w:t>
            </w:r>
          </w:p>
        </w:tc>
        <w:tc>
          <w:tcPr>
            <w:tcW w:type="dxa" w:w="4461"/>
          </w:tcPr>
          <w:p>
            <w:r>
              <w:rPr>
                <w:b w:val="0"/>
                <w:sz w:val="21"/>
              </w:rPr>
              <w:t xml:space="preserve">1 – </w:t>
            </w:r>
            <w:r>
              <w:rPr>
                <w:b/>
                <w:sz w:val="21"/>
              </w:rPr>
              <w:t>A</w:t>
            </w:r>
            <w:r>
              <w:rPr>
                <w:b w:val="0"/>
                <w:sz w:val="21"/>
              </w:rPr>
              <w:t xml:space="preserve"> · 2 – </w:t>
            </w:r>
            <w:r>
              <w:rPr>
                <w:b/>
                <w:sz w:val="21"/>
              </w:rPr>
              <w:t>F</w:t>
            </w:r>
            <w:r>
              <w:rPr>
                <w:b w:val="0"/>
                <w:sz w:val="21"/>
              </w:rPr>
              <w:t xml:space="preserve"> · 3 – </w:t>
            </w:r>
            <w:r>
              <w:rPr>
                <w:b/>
                <w:sz w:val="21"/>
              </w:rPr>
              <w:t>A</w:t>
            </w:r>
            <w:r>
              <w:rPr>
                <w:b w:val="0"/>
                <w:sz w:val="21"/>
              </w:rPr>
              <w:t xml:space="preserve"> · 4 – </w:t>
            </w:r>
            <w:r>
              <w:rPr>
                <w:b/>
                <w:sz w:val="21"/>
              </w:rPr>
              <w:t>F</w:t>
            </w:r>
          </w:p>
        </w:tc>
        <w:tc>
          <w:tcPr>
            <w:tcW w:type="dxa" w:w="4461"/>
          </w:tcPr>
          <w:p>
            <w:r>
              <w:rPr>
                <w:b w:val="0"/>
                <w:sz w:val="21"/>
              </w:rPr>
              <w:t>Incluziunea e treaba tuturor, nu doar a programatorilor; excluderea nu e acceptabilă „în unele cazuri”.</w:t>
            </w:r>
          </w:p>
        </w:tc>
      </w:tr>
      <w:tr>
        <w:tc>
          <w:tcPr>
            <w:tcW w:type="dxa" w:w="716"/>
          </w:tcPr>
          <w:p>
            <w:r>
              <w:rPr>
                <w:b w:val="0"/>
                <w:sz w:val="21"/>
              </w:rPr>
              <w:t>III</w:t>
            </w:r>
          </w:p>
        </w:tc>
        <w:tc>
          <w:tcPr>
            <w:tcW w:type="dxa" w:w="4461"/>
          </w:tcPr>
          <w:p>
            <w:r>
              <w:rPr>
                <w:b w:val="0"/>
                <w:sz w:val="21"/>
              </w:rPr>
              <w:t xml:space="preserve">1 – </w:t>
            </w:r>
            <w:r>
              <w:rPr>
                <w:b/>
                <w:sz w:val="21"/>
              </w:rPr>
              <w:t>b</w:t>
            </w:r>
            <w:r>
              <w:rPr>
                <w:b w:val="0"/>
                <w:sz w:val="21"/>
              </w:rPr>
              <w:t xml:space="preserve"> (Discriminare) · 2 – </w:t>
            </w:r>
            <w:r>
              <w:rPr>
                <w:b/>
                <w:sz w:val="21"/>
              </w:rPr>
              <w:t>a</w:t>
            </w:r>
            <w:r>
              <w:rPr>
                <w:b w:val="0"/>
                <w:sz w:val="21"/>
              </w:rPr>
              <w:t xml:space="preserve"> (Incluziune) · 3 – </w:t>
            </w:r>
            <w:r>
              <w:rPr>
                <w:b/>
                <w:sz w:val="21"/>
              </w:rPr>
              <w:t>c</w:t>
            </w:r>
            <w:r>
              <w:rPr>
                <w:b w:val="0"/>
                <w:sz w:val="21"/>
              </w:rPr>
              <w:t xml:space="preserve"> (Incluziune)</w:t>
            </w:r>
          </w:p>
        </w:tc>
        <w:tc>
          <w:tcPr>
            <w:tcW w:type="dxa" w:w="4461"/>
          </w:tcPr>
          <w:p>
            <w:r>
              <w:rPr>
                <w:b w:val="0"/>
                <w:sz w:val="21"/>
              </w:rPr>
              <w:t>Subtitrarea și ajutorul pentru cei noi îi includ pe alții; comentariile jignitoare exclud.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Partea IV – Studiul de caz (model)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86"/>
        <w:gridCol w:w="7052"/>
      </w:tblGrid>
      <w:tr>
        <w:trPr>
          <w:tblHeader w:val="true"/>
        </w:trPr>
        <w:tc>
          <w:tcPr>
            <w:tcW w:type="dxa" w:w="2586"/>
            <w:shd w:val="clear" w:color="auto" w:fill="DCE6F1"/>
          </w:tcPr>
          <w:p>
            <w:r/>
            <w:r>
              <w:rPr>
                <w:b/>
                <w:sz w:val="21"/>
              </w:rPr>
              <w:t>Întrebarea</w:t>
            </w:r>
          </w:p>
        </w:tc>
        <w:tc>
          <w:tcPr>
            <w:tcW w:type="dxa" w:w="7052"/>
            <w:shd w:val="clear" w:color="auto" w:fill="DCE6F1"/>
          </w:tcPr>
          <w:p>
            <w:r/>
            <w:r>
              <w:rPr>
                <w:b/>
                <w:sz w:val="21"/>
              </w:rPr>
              <w:t>Răspuns-model</w:t>
            </w:r>
          </w:p>
        </w:tc>
      </w:tr>
      <w:tr>
        <w:tc>
          <w:tcPr>
            <w:tcW w:type="dxa" w:w="2586"/>
          </w:tcPr>
          <w:p>
            <w:r>
              <w:rPr>
                <w:b w:val="0"/>
                <w:sz w:val="21"/>
              </w:rPr>
              <w:t>Ce tip de comportament</w:t>
            </w:r>
          </w:p>
        </w:tc>
        <w:tc>
          <w:tcPr>
            <w:tcW w:type="dxa" w:w="7052"/>
          </w:tcPr>
          <w:p>
            <w:r>
              <w:rPr>
                <w:b w:val="0"/>
                <w:sz w:val="21"/>
              </w:rPr>
              <w:t>Hărțuire online (cyberbullying) și discriminare: persoana e umilită public pentru felul în care scrie, nu pentru ce spune.</w:t>
            </w:r>
          </w:p>
        </w:tc>
      </w:tr>
      <w:tr>
        <w:tc>
          <w:tcPr>
            <w:tcW w:type="dxa" w:w="2586"/>
          </w:tcPr>
          <w:p>
            <w:r>
              <w:rPr>
                <w:b w:val="0"/>
                <w:sz w:val="21"/>
              </w:rPr>
              <w:t>Efecte</w:t>
            </w:r>
          </w:p>
        </w:tc>
        <w:tc>
          <w:tcPr>
            <w:tcW w:type="dxa" w:w="7052"/>
          </w:tcPr>
          <w:p>
            <w:r>
              <w:rPr>
                <w:b w:val="0"/>
                <w:sz w:val="21"/>
              </w:rPr>
              <w:t>Rușine, retragere (nu mai scrie, nu mai cere ajutor), stres, pierderea încrederii în sine; ceilalți învață că e „normal” să râzi.</w:t>
            </w:r>
          </w:p>
        </w:tc>
      </w:tr>
      <w:tr>
        <w:tc>
          <w:tcPr>
            <w:tcW w:type="dxa" w:w="2586"/>
          </w:tcPr>
          <w:p>
            <w:r>
              <w:rPr>
                <w:b w:val="0"/>
                <w:sz w:val="21"/>
              </w:rPr>
              <w:t>Soluții</w:t>
            </w:r>
          </w:p>
        </w:tc>
        <w:tc>
          <w:tcPr>
            <w:tcW w:type="dxa" w:w="7052"/>
          </w:tcPr>
          <w:p>
            <w:r>
              <w:rPr>
                <w:b w:val="0"/>
                <w:sz w:val="21"/>
              </w:rPr>
              <w:t>1) Nu râzi și nu dai „like”. 2) Îi scrii calm celui ironizat, în public sau în privat, că nu e singur. 3) Ceri administratorului să amintească regulile și să șteargă comentariul. 4) Raportezi comentariul pe platformă. 5) Dacă se repetă: raportezi la superior (la serviciu) sau la CNCD.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Partea V – Rescriere incluzivă (model)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6"/>
        <w:gridCol w:w="4312"/>
        <w:gridCol w:w="4620"/>
      </w:tblGrid>
      <w:tr>
        <w:trPr>
          <w:tblHeader w:val="true"/>
        </w:trPr>
        <w:tc>
          <w:tcPr>
            <w:tcW w:type="dxa" w:w="70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4312"/>
            <w:shd w:val="clear" w:color="auto" w:fill="DCE6F1"/>
          </w:tcPr>
          <w:p>
            <w:r/>
            <w:r>
              <w:rPr>
                <w:b/>
                <w:sz w:val="21"/>
              </w:rPr>
              <w:t>Pe cine exclude</w:t>
            </w:r>
          </w:p>
        </w:tc>
        <w:tc>
          <w:tcPr>
            <w:tcW w:type="dxa" w:w="4620"/>
            <w:shd w:val="clear" w:color="auto" w:fill="DCE6F1"/>
          </w:tcPr>
          <w:p>
            <w:r/>
            <w:r>
              <w:rPr>
                <w:b/>
                <w:sz w:val="21"/>
              </w:rPr>
              <w:t>Fraza rescrisă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4312"/>
          </w:tcPr>
          <w:p>
            <w:r>
              <w:rPr>
                <w:b w:val="0"/>
                <w:sz w:val="21"/>
              </w:rPr>
              <w:t>Femeile și persoanele mai în vârstă</w:t>
            </w:r>
          </w:p>
        </w:tc>
        <w:tc>
          <w:tcPr>
            <w:tcW w:type="dxa" w:w="4620"/>
          </w:tcPr>
          <w:p>
            <w:r>
              <w:rPr>
                <w:b w:val="0"/>
                <w:sz w:val="21"/>
              </w:rPr>
              <w:t>„Căutăm o persoană energică, cu plăcere de a lucra cu publicul, pentru ghișeul de informații.”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4312"/>
          </w:tcPr>
          <w:p>
            <w:r>
              <w:rPr>
                <w:b w:val="0"/>
                <w:sz w:val="21"/>
              </w:rPr>
              <w:t>Femeile (ton protector)</w:t>
            </w:r>
          </w:p>
        </w:tc>
        <w:tc>
          <w:tcPr>
            <w:tcW w:type="dxa" w:w="4620"/>
          </w:tcPr>
          <w:p>
            <w:r>
              <w:rPr>
                <w:b w:val="0"/>
                <w:sz w:val="21"/>
              </w:rPr>
              <w:t>„Noul program e simplu. Vă trimit ghidul pas cu pas, iar mâine la 10:00 îl încercăm împreună.”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4312"/>
          </w:tcPr>
          <w:p>
            <w:r>
              <w:rPr>
                <w:b w:val="0"/>
                <w:sz w:val="21"/>
              </w:rPr>
              <w:t>Colegii mai în vârstă</w:t>
            </w:r>
          </w:p>
        </w:tc>
        <w:tc>
          <w:tcPr>
            <w:tcW w:type="dxa" w:w="4620"/>
          </w:tcPr>
          <w:p>
            <w:r>
              <w:rPr>
                <w:b w:val="0"/>
                <w:sz w:val="21"/>
              </w:rPr>
              <w:t>„Joi, la 14:00, facem o instruire de 30 de minute pentru toată lumea. Cine vrea ajutor și după, mă găsește la casa 1.”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4312"/>
          </w:tcPr>
          <w:p>
            <w:r>
              <w:rPr>
                <w:b w:val="0"/>
                <w:sz w:val="21"/>
              </w:rPr>
              <w:t>Persoanele cu dizabilități (eticheta în locul persoanei)</w:t>
            </w:r>
          </w:p>
        </w:tc>
        <w:tc>
          <w:tcPr>
            <w:tcW w:type="dxa" w:w="4620"/>
          </w:tcPr>
          <w:p>
            <w:r>
              <w:rPr>
                <w:b w:val="0"/>
                <w:sz w:val="21"/>
              </w:rPr>
              <w:t>„Un călător care folosește scaun rulant a cerut o rampă la intrarea în stație.”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4312"/>
          </w:tcPr>
          <w:p>
            <w:r>
              <w:rPr>
                <w:b w:val="0"/>
                <w:sz w:val="21"/>
              </w:rPr>
              <w:t>Părinții (și oricine are alte obligații)</w:t>
            </w:r>
          </w:p>
        </w:tc>
        <w:tc>
          <w:tcPr>
            <w:tcW w:type="dxa" w:w="4620"/>
          </w:tcPr>
          <w:p>
            <w:r>
              <w:rPr>
                <w:b w:val="0"/>
                <w:sz w:val="21"/>
              </w:rPr>
              <w:t>„Ședința e la 18:00. Pentru cine nu poate ajunge, o înregistrăm și trimitem rezumatul pe e-mail.”</w:t>
            </w:r>
          </w:p>
        </w:tc>
      </w:tr>
      <w:tr>
        <w:tc>
          <w:tcPr>
            <w:tcW w:type="dxa" w:w="707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4312"/>
          </w:tcPr>
          <w:p>
            <w:r>
              <w:rPr>
                <w:b w:val="0"/>
                <w:sz w:val="21"/>
              </w:rPr>
              <w:t>Cine n-are smartphone sau WhatsApp</w:t>
            </w:r>
          </w:p>
        </w:tc>
        <w:tc>
          <w:tcPr>
            <w:tcW w:type="dxa" w:w="4620"/>
          </w:tcPr>
          <w:p>
            <w:r>
              <w:rPr>
                <w:b w:val="0"/>
                <w:sz w:val="21"/>
              </w:rPr>
              <w:t>„Anunțul e pe grupul de WhatsApp, pe e-mail și la avizierul din birou.”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Regula de verificare:</w:t>
      </w:r>
      <w:r>
        <w:rPr>
          <w:b w:val="0"/>
          <w:sz w:val="24"/>
        </w:rPr>
        <w:t xml:space="preserve"> fraza rescrisă spune la fel de clar </w:t>
      </w:r>
      <w:r>
        <w:rPr>
          <w:b/>
          <w:sz w:val="24"/>
        </w:rPr>
        <w:t>ce e nevoie</w:t>
      </w:r>
      <w:r>
        <w:rPr>
          <w:b w:val="0"/>
          <w:sz w:val="24"/>
        </w:rPr>
        <w:t>, dar nu mai pune pe nimeni deoparte pentru gen, vârstă, dizabilitate sau situația familială.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E09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