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E10 · Accesibilitate: verifică și repară un document 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Documentul are </w:t>
      </w:r>
      <w:r>
        <w:rPr>
          <w:b/>
          <w:sz w:val="24"/>
        </w:rPr>
        <w:t>7 probleme</w:t>
      </w:r>
      <w:r>
        <w:rPr>
          <w:b w:val="0"/>
          <w:sz w:val="24"/>
        </w:rPr>
        <w:t xml:space="preserve">. Verificarea accesibilității le găsește pe unele (numărul exact poate să difere de la o versiune de Office la alta), restul le vezi tu. Documentul reparat e și pe site: </w:t>
      </w:r>
      <w:r>
        <w:rPr>
          <w:rFonts w:ascii="Consolas" w:hAnsi="Consolas" w:eastAsia="Consolas"/>
          <w:sz w:val="24"/>
        </w:rPr>
        <w:t>Model_E10_Accesibil.docx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Cele 7 probleme și cum le repari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8"/>
        <w:gridCol w:w="1960"/>
        <w:gridCol w:w="1243"/>
        <w:gridCol w:w="2868"/>
        <w:gridCol w:w="2868"/>
      </w:tblGrid>
      <w:tr>
        <w:trPr>
          <w:tblHeader w:val="true"/>
        </w:trPr>
        <w:tc>
          <w:tcPr>
            <w:tcW w:type="dxa" w:w="698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1960"/>
            <w:shd w:val="clear" w:color="auto" w:fill="DCE6F1"/>
          </w:tcPr>
          <w:p>
            <w:r/>
            <w:r>
              <w:rPr>
                <w:b/>
                <w:sz w:val="21"/>
              </w:rPr>
              <w:t>Problema</w:t>
            </w:r>
          </w:p>
        </w:tc>
        <w:tc>
          <w:tcPr>
            <w:tcW w:type="dxa" w:w="1243"/>
            <w:shd w:val="clear" w:color="auto" w:fill="DCE6F1"/>
          </w:tcPr>
          <w:p>
            <w:r/>
            <w:r>
              <w:rPr>
                <w:b/>
                <w:sz w:val="21"/>
              </w:rPr>
              <w:t>O găsește Word?</w:t>
            </w:r>
          </w:p>
        </w:tc>
        <w:tc>
          <w:tcPr>
            <w:tcW w:type="dxa" w:w="2868"/>
            <w:shd w:val="clear" w:color="auto" w:fill="DCE6F1"/>
          </w:tcPr>
          <w:p>
            <w:r/>
            <w:r>
              <w:rPr>
                <w:b/>
                <w:sz w:val="21"/>
              </w:rPr>
              <w:t>Cine e încurcat</w:t>
            </w:r>
          </w:p>
        </w:tc>
        <w:tc>
          <w:tcPr>
            <w:tcW w:type="dxa" w:w="2868"/>
            <w:shd w:val="clear" w:color="auto" w:fill="DCE6F1"/>
          </w:tcPr>
          <w:p>
            <w:r/>
            <w:r>
              <w:rPr>
                <w:b/>
                <w:sz w:val="21"/>
              </w:rPr>
              <w:t>Cum o repari</w:t>
            </w:r>
          </w:p>
        </w:tc>
      </w:tr>
      <w:tr>
        <w:tc>
          <w:tcPr>
            <w:tcW w:type="dxa" w:w="698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960"/>
          </w:tcPr>
          <w:p>
            <w:r>
              <w:rPr>
                <w:b w:val="0"/>
                <w:sz w:val="21"/>
              </w:rPr>
              <w:t>Titlurile sunt doar text mare și îngroșat</w:t>
            </w:r>
          </w:p>
        </w:tc>
        <w:tc>
          <w:tcPr>
            <w:tcW w:type="dxa" w:w="1243"/>
          </w:tcPr>
          <w:p>
            <w:r>
              <w:rPr>
                <w:b w:val="0"/>
                <w:sz w:val="21"/>
              </w:rPr>
              <w:t>uneori (sfat)</w:t>
            </w:r>
          </w:p>
        </w:tc>
        <w:tc>
          <w:tcPr>
            <w:tcW w:type="dxa" w:w="2868"/>
          </w:tcPr>
          <w:p>
            <w:r>
              <w:rPr>
                <w:b w:val="0"/>
                <w:sz w:val="21"/>
              </w:rPr>
              <w:t>Cine folosește cititor de ecran: nu poate sări de la un titlu la altul</w:t>
            </w:r>
          </w:p>
        </w:tc>
        <w:tc>
          <w:tcPr>
            <w:tcW w:type="dxa" w:w="2868"/>
          </w:tcPr>
          <w:p>
            <w:r>
              <w:rPr>
                <w:b w:val="0"/>
                <w:sz w:val="21"/>
              </w:rPr>
              <w:t xml:space="preserve">Stilul </w:t>
            </w:r>
            <w:r>
              <w:rPr>
                <w:b/>
                <w:sz w:val="21"/>
              </w:rPr>
              <w:t>Titlu 1</w:t>
            </w:r>
          </w:p>
        </w:tc>
      </w:tr>
      <w:tr>
        <w:tc>
          <w:tcPr>
            <w:tcW w:type="dxa" w:w="698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960"/>
          </w:tcPr>
          <w:p>
            <w:r>
              <w:rPr>
                <w:b w:val="0"/>
                <w:sz w:val="21"/>
              </w:rPr>
              <w:t>Imaginea n-are text alternativ</w:t>
            </w:r>
          </w:p>
        </w:tc>
        <w:tc>
          <w:tcPr>
            <w:tcW w:type="dxa" w:w="1243"/>
          </w:tcPr>
          <w:p>
            <w:r>
              <w:rPr>
                <w:b w:val="0"/>
                <w:sz w:val="21"/>
              </w:rPr>
              <w:t xml:space="preserve">da, </w:t>
            </w:r>
            <w:r>
              <w:rPr>
                <w:b/>
                <w:sz w:val="21"/>
              </w:rPr>
              <w:t>eroare</w:t>
            </w:r>
          </w:p>
        </w:tc>
        <w:tc>
          <w:tcPr>
            <w:tcW w:type="dxa" w:w="2868"/>
          </w:tcPr>
          <w:p>
            <w:r>
              <w:rPr>
                <w:b w:val="0"/>
                <w:sz w:val="21"/>
              </w:rPr>
              <w:t>Cititorul de ecran spune doar „imagine”</w:t>
            </w:r>
          </w:p>
        </w:tc>
        <w:tc>
          <w:tcPr>
            <w:tcW w:type="dxa" w:w="2868"/>
          </w:tcPr>
          <w:p>
            <w:r>
              <w:rPr>
                <w:b w:val="0"/>
                <w:sz w:val="21"/>
              </w:rPr>
              <w:t xml:space="preserve">Click dreapta → </w:t>
            </w:r>
            <w:r>
              <w:rPr>
                <w:b/>
                <w:sz w:val="21"/>
              </w:rPr>
              <w:t>Vizualizare text alternativ</w:t>
            </w:r>
          </w:p>
        </w:tc>
      </w:tr>
      <w:tr>
        <w:tc>
          <w:tcPr>
            <w:tcW w:type="dxa" w:w="698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960"/>
          </w:tcPr>
          <w:p>
            <w:r>
              <w:rPr>
                <w:b w:val="0"/>
                <w:sz w:val="21"/>
              </w:rPr>
              <w:t>Tabelul n-are rând antet</w:t>
            </w:r>
          </w:p>
        </w:tc>
        <w:tc>
          <w:tcPr>
            <w:tcW w:type="dxa" w:w="1243"/>
          </w:tcPr>
          <w:p>
            <w:r>
              <w:rPr>
                <w:b w:val="0"/>
                <w:sz w:val="21"/>
              </w:rPr>
              <w:t>da, avertisment</w:t>
            </w:r>
          </w:p>
        </w:tc>
        <w:tc>
          <w:tcPr>
            <w:tcW w:type="dxa" w:w="2868"/>
          </w:tcPr>
          <w:p>
            <w:r>
              <w:rPr>
                <w:b w:val="0"/>
                <w:sz w:val="21"/>
              </w:rPr>
              <w:t>Cititorul de ecran nu știe ce înseamnă fiecare coloană</w:t>
            </w:r>
          </w:p>
        </w:tc>
        <w:tc>
          <w:tcPr>
            <w:tcW w:type="dxa" w:w="2868"/>
          </w:tcPr>
          <w:p>
            <w:r>
              <w:rPr>
                <w:b/>
                <w:sz w:val="21"/>
              </w:rPr>
              <w:t>Proiectare tabel</w:t>
            </w:r>
            <w:r>
              <w:rPr>
                <w:b w:val="0"/>
                <w:sz w:val="21"/>
              </w:rPr>
              <w:t xml:space="preserve"> → </w:t>
            </w:r>
            <w:r>
              <w:rPr>
                <w:b/>
                <w:sz w:val="21"/>
              </w:rPr>
              <w:t>Rând antet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b/>
                <w:sz w:val="21"/>
              </w:rPr>
              <w:t>Se repetă ca rând antet</w:t>
            </w:r>
          </w:p>
        </w:tc>
      </w:tr>
      <w:tr>
        <w:tc>
          <w:tcPr>
            <w:tcW w:type="dxa" w:w="698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960"/>
          </w:tcPr>
          <w:p>
            <w:r>
              <w:rPr>
                <w:b w:val="0"/>
                <w:sz w:val="21"/>
              </w:rPr>
              <w:t>Text gri deschis pe alb</w:t>
            </w:r>
          </w:p>
        </w:tc>
        <w:tc>
          <w:tcPr>
            <w:tcW w:type="dxa" w:w="1243"/>
          </w:tcPr>
          <w:p>
            <w:r>
              <w:rPr>
                <w:b w:val="0"/>
                <w:sz w:val="21"/>
              </w:rPr>
              <w:t>da, avertisment (contrast)</w:t>
            </w:r>
          </w:p>
        </w:tc>
        <w:tc>
          <w:tcPr>
            <w:tcW w:type="dxa" w:w="2868"/>
          </w:tcPr>
          <w:p>
            <w:r>
              <w:rPr>
                <w:b w:val="0"/>
                <w:sz w:val="21"/>
              </w:rPr>
              <w:t>Vedere slabă, ecran de telefon, lumină puternică</w:t>
            </w:r>
          </w:p>
        </w:tc>
        <w:tc>
          <w:tcPr>
            <w:tcW w:type="dxa" w:w="2868"/>
          </w:tcPr>
          <w:p>
            <w:r>
              <w:rPr>
                <w:b/>
                <w:sz w:val="21"/>
              </w:rPr>
              <w:t>Culoare font</w:t>
            </w:r>
            <w:r>
              <w:rPr>
                <w:b w:val="0"/>
                <w:sz w:val="21"/>
              </w:rPr>
              <w:t xml:space="preserve"> → </w:t>
            </w:r>
            <w:r>
              <w:rPr>
                <w:b/>
                <w:sz w:val="21"/>
              </w:rPr>
              <w:t>Automat</w:t>
            </w:r>
          </w:p>
        </w:tc>
      </w:tr>
      <w:tr>
        <w:tc>
          <w:tcPr>
            <w:tcW w:type="dxa" w:w="698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960"/>
          </w:tcPr>
          <w:p>
            <w:r>
              <w:rPr>
                <w:b w:val="0"/>
                <w:sz w:val="21"/>
              </w:rPr>
              <w:t>Linkul se numește „click aici”</w:t>
            </w:r>
          </w:p>
        </w:tc>
        <w:tc>
          <w:tcPr>
            <w:tcW w:type="dxa" w:w="1243"/>
          </w:tcPr>
          <w:p>
            <w:r>
              <w:rPr>
                <w:b w:val="0"/>
                <w:sz w:val="21"/>
              </w:rPr>
              <w:t>uneori</w:t>
            </w:r>
          </w:p>
        </w:tc>
        <w:tc>
          <w:tcPr>
            <w:tcW w:type="dxa" w:w="2868"/>
          </w:tcPr>
          <w:p>
            <w:r>
              <w:rPr>
                <w:b w:val="0"/>
                <w:sz w:val="21"/>
              </w:rPr>
              <w:t>Cititorul de ecran citește lista de linkuri: „click aici, click aici…”</w:t>
            </w:r>
          </w:p>
        </w:tc>
        <w:tc>
          <w:tcPr>
            <w:tcW w:type="dxa" w:w="2868"/>
          </w:tcPr>
          <w:p>
            <w:r>
              <w:rPr>
                <w:b/>
                <w:sz w:val="21"/>
              </w:rPr>
              <w:t>Editare link</w:t>
            </w:r>
            <w:r>
              <w:rPr>
                <w:b w:val="0"/>
                <w:sz w:val="21"/>
              </w:rPr>
              <w:t xml:space="preserve"> → </w:t>
            </w:r>
            <w:r>
              <w:rPr>
                <w:b/>
                <w:sz w:val="21"/>
              </w:rPr>
              <w:t>Text de afișat</w:t>
            </w:r>
            <w:r>
              <w:rPr>
                <w:b w:val="0"/>
                <w:sz w:val="21"/>
              </w:rPr>
              <w:t>: „Mersul trenurilor de iarnă”</w:t>
            </w:r>
          </w:p>
        </w:tc>
      </w:tr>
      <w:tr>
        <w:tc>
          <w:tcPr>
            <w:tcW w:type="dxa" w:w="698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960"/>
          </w:tcPr>
          <w:p>
            <w:r>
              <w:rPr>
                <w:b w:val="0"/>
                <w:sz w:val="21"/>
              </w:rPr>
              <w:t>Paragraf scris cu MAJUSCULE</w:t>
            </w:r>
          </w:p>
        </w:tc>
        <w:tc>
          <w:tcPr>
            <w:tcW w:type="dxa" w:w="1243"/>
          </w:tcPr>
          <w:p>
            <w:r>
              <w:rPr>
                <w:b w:val="0"/>
                <w:sz w:val="21"/>
              </w:rPr>
              <w:t>nu</w:t>
            </w:r>
          </w:p>
        </w:tc>
        <w:tc>
          <w:tcPr>
            <w:tcW w:type="dxa" w:w="2868"/>
          </w:tcPr>
          <w:p>
            <w:r>
              <w:rPr>
                <w:b w:val="0"/>
                <w:sz w:val="21"/>
              </w:rPr>
              <w:t>Se citește greu; unele cititoare de ecran citesc literă cu literă</w:t>
            </w:r>
          </w:p>
        </w:tc>
        <w:tc>
          <w:tcPr>
            <w:tcW w:type="dxa" w:w="2868"/>
          </w:tcPr>
          <w:p>
            <w:r>
              <w:rPr>
                <w:b w:val="0"/>
                <w:sz w:val="21"/>
              </w:rPr>
              <w:t xml:space="preserve">Butonul </w:t>
            </w:r>
            <w:r>
              <w:rPr>
                <w:b/>
                <w:sz w:val="21"/>
              </w:rPr>
              <w:t>Aa</w:t>
            </w:r>
            <w:r>
              <w:rPr>
                <w:b w:val="0"/>
                <w:sz w:val="21"/>
              </w:rPr>
              <w:t xml:space="preserve"> → </w:t>
            </w:r>
            <w:r>
              <w:rPr>
                <w:b/>
                <w:sz w:val="21"/>
              </w:rPr>
              <w:t>Tip propoziție</w:t>
            </w:r>
          </w:p>
        </w:tc>
      </w:tr>
      <w:tr>
        <w:tc>
          <w:tcPr>
            <w:tcW w:type="dxa" w:w="698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960"/>
          </w:tcPr>
          <w:p>
            <w:r>
              <w:rPr>
                <w:b w:val="0"/>
                <w:sz w:val="21"/>
              </w:rPr>
              <w:t>Rânduri goale puse cu Enter</w:t>
            </w:r>
          </w:p>
        </w:tc>
        <w:tc>
          <w:tcPr>
            <w:tcW w:type="dxa" w:w="1243"/>
          </w:tcPr>
          <w:p>
            <w:r>
              <w:rPr>
                <w:b w:val="0"/>
                <w:sz w:val="21"/>
              </w:rPr>
              <w:t>nu (uneori sfat)</w:t>
            </w:r>
          </w:p>
        </w:tc>
        <w:tc>
          <w:tcPr>
            <w:tcW w:type="dxa" w:w="2868"/>
          </w:tcPr>
          <w:p>
            <w:r>
              <w:rPr>
                <w:b w:val="0"/>
                <w:sz w:val="21"/>
              </w:rPr>
              <w:t>Cititorul de ecran spune „gol, gol, gol”</w:t>
            </w:r>
          </w:p>
        </w:tc>
        <w:tc>
          <w:tcPr>
            <w:tcW w:type="dxa" w:w="2868"/>
          </w:tcPr>
          <w:p>
            <w:r>
              <w:rPr>
                <w:b w:val="0"/>
                <w:sz w:val="21"/>
              </w:rPr>
              <w:t xml:space="preserve">Le ștergi; folosești </w:t>
            </w:r>
            <w:r>
              <w:rPr>
                <w:b/>
                <w:sz w:val="21"/>
              </w:rPr>
              <w:t>Spațiere după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Textul alternativ și linkul (model)</w:t>
      </w:r>
    </w:p>
    <w:p>
      <w:pPr>
        <w:spacing w:after="80" w:before="0"/>
      </w:pPr>
      <w:r>
        <w:rPr>
          <w:b/>
          <w:sz w:val="24"/>
        </w:rPr>
        <w:t>Text alternativ:</w:t>
      </w:r>
      <w:r>
        <w:rPr>
          <w:b w:val="0"/>
          <w:sz w:val="24"/>
        </w:rPr>
        <w:t xml:space="preserve"> „Pictogramă: un fulg de nea lângă un ceas, pentru programul de iarnă.” Scurt, spune ce arată și de ce e acolo. Nu începe cu „Imagine cu…”: cititorul de ecran spune deja că e o imagine.</w:t>
      </w:r>
    </w:p>
    <w:p>
      <w:pPr>
        <w:spacing w:after="80" w:before="0"/>
      </w:pPr>
      <w:r>
        <w:rPr>
          <w:b/>
          <w:sz w:val="24"/>
        </w:rPr>
        <w:t>Linkul:</w:t>
      </w:r>
      <w:r>
        <w:rPr>
          <w:b w:val="0"/>
          <w:sz w:val="24"/>
        </w:rPr>
        <w:t xml:space="preserve"> „Mersul trenurilor de iarnă, pe site-ul stației” în loc de „click aici”.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La final, panoul spune „Nu s-au găsit probleme de accesibilitate” (sau doar sfaturi). Panoul de navigare arată: Programul de iarnă al casei de bilete · Ce se schimbă · Cui vă adresați.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E10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