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E12 · Colaborare: comentarii și Urmărire modificări în Word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Deciziile au un singur răspuns corect, pentru că le dau regulile șefei. Răspunsurile la comentarii pot fi formulate altfel.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Cele 5 modificări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4"/>
        <w:gridCol w:w="704"/>
        <w:gridCol w:w="4220"/>
        <w:gridCol w:w="984"/>
        <w:gridCol w:w="3024"/>
      </w:tblGrid>
      <w:tr>
        <w:trPr>
          <w:tblHeader w:val="true"/>
        </w:trPr>
        <w:tc>
          <w:tcPr>
            <w:tcW w:type="dxa" w:w="705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705"/>
            <w:shd w:val="clear" w:color="auto" w:fill="DCE6F1"/>
          </w:tcPr>
          <w:p>
            <w:r/>
            <w:r>
              <w:rPr>
                <w:b/>
                <w:sz w:val="21"/>
              </w:rPr>
              <w:t>Cine</w:t>
            </w:r>
          </w:p>
        </w:tc>
        <w:tc>
          <w:tcPr>
            <w:tcW w:type="dxa" w:w="4220"/>
            <w:shd w:val="clear" w:color="auto" w:fill="DCE6F1"/>
          </w:tcPr>
          <w:p>
            <w:r/>
            <w:r>
              <w:rPr>
                <w:b/>
                <w:sz w:val="21"/>
              </w:rPr>
              <w:t>Ce a schimbat</w:t>
            </w:r>
          </w:p>
        </w:tc>
        <w:tc>
          <w:tcPr>
            <w:tcW w:type="dxa" w:w="985"/>
            <w:shd w:val="clear" w:color="auto" w:fill="DCE6F1"/>
          </w:tcPr>
          <w:p>
            <w:r/>
            <w:r>
              <w:rPr>
                <w:b/>
                <w:sz w:val="21"/>
              </w:rPr>
              <w:t>Decizia</w:t>
            </w:r>
          </w:p>
        </w:tc>
        <w:tc>
          <w:tcPr>
            <w:tcW w:type="dxa" w:w="3024"/>
            <w:shd w:val="clear" w:color="auto" w:fill="DCE6F1"/>
          </w:tcPr>
          <w:p>
            <w:r/>
            <w:r>
              <w:rPr>
                <w:b/>
                <w:sz w:val="21"/>
              </w:rPr>
              <w:t>Regula</w:t>
            </w:r>
          </w:p>
        </w:tc>
      </w:tr>
      <w:tr>
        <w:tc>
          <w:tcPr>
            <w:tcW w:type="dxa" w:w="705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705"/>
          </w:tcPr>
          <w:p>
            <w:r>
              <w:rPr>
                <w:b w:val="0"/>
                <w:sz w:val="21"/>
              </w:rPr>
              <w:t>Elena Stan</w:t>
            </w:r>
          </w:p>
        </w:tc>
        <w:tc>
          <w:tcPr>
            <w:tcW w:type="dxa" w:w="4220"/>
          </w:tcPr>
          <w:p>
            <w:r>
              <w:rPr>
                <w:b w:val="0"/>
                <w:sz w:val="21"/>
              </w:rPr>
              <w:t>„fişa” → „fișa” (ș cu virgulă, nu cu sedilă)</w:t>
            </w:r>
          </w:p>
        </w:tc>
        <w:tc>
          <w:tcPr>
            <w:tcW w:type="dxa" w:w="985"/>
          </w:tcPr>
          <w:p>
            <w:r>
              <w:rPr>
                <w:b/>
                <w:sz w:val="21"/>
              </w:rPr>
              <w:t>Acceptare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1 – corectură de scriere</w:t>
            </w:r>
          </w:p>
        </w:tc>
      </w:tr>
      <w:tr>
        <w:tc>
          <w:tcPr>
            <w:tcW w:type="dxa" w:w="705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705"/>
          </w:tcPr>
          <w:p>
            <w:r>
              <w:rPr>
                <w:b w:val="0"/>
                <w:sz w:val="21"/>
              </w:rPr>
              <w:t>Radu Ilie</w:t>
            </w:r>
          </w:p>
        </w:tc>
        <w:tc>
          <w:tcPr>
            <w:tcW w:type="dxa" w:w="4220"/>
          </w:tcPr>
          <w:p>
            <w:r>
              <w:rPr>
                <w:b w:val="0"/>
                <w:sz w:val="21"/>
              </w:rPr>
              <w:t>șterge „Seiful se încuie după fiecare numărare.”</w:t>
            </w:r>
          </w:p>
        </w:tc>
        <w:tc>
          <w:tcPr>
            <w:tcW w:type="dxa" w:w="985"/>
          </w:tcPr>
          <w:p>
            <w:r>
              <w:rPr>
                <w:b/>
                <w:sz w:val="21"/>
              </w:rPr>
              <w:t>Respingere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4 – regulă de siguranță</w:t>
            </w:r>
          </w:p>
        </w:tc>
      </w:tr>
      <w:tr>
        <w:tc>
          <w:tcPr>
            <w:tcW w:type="dxa" w:w="705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705"/>
          </w:tcPr>
          <w:p>
            <w:r>
              <w:rPr>
                <w:b w:val="0"/>
                <w:sz w:val="21"/>
              </w:rPr>
              <w:t>Elena Stan</w:t>
            </w:r>
          </w:p>
        </w:tc>
        <w:tc>
          <w:tcPr>
            <w:tcW w:type="dxa" w:w="4220"/>
          </w:tcPr>
          <w:p>
            <w:r>
              <w:rPr>
                <w:b w:val="0"/>
                <w:sz w:val="21"/>
              </w:rPr>
              <w:t>„băiatului din tura următoare” → „colegului sau colegei din tura următoare”</w:t>
            </w:r>
          </w:p>
        </w:tc>
        <w:tc>
          <w:tcPr>
            <w:tcW w:type="dxa" w:w="985"/>
          </w:tcPr>
          <w:p>
            <w:r>
              <w:rPr>
                <w:b/>
                <w:sz w:val="21"/>
              </w:rPr>
              <w:t>Acceptare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1 – formulare care îi include pe toți</w:t>
            </w:r>
          </w:p>
        </w:tc>
      </w:tr>
      <w:tr>
        <w:tc>
          <w:tcPr>
            <w:tcW w:type="dxa" w:w="705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705"/>
          </w:tcPr>
          <w:p>
            <w:r>
              <w:rPr>
                <w:b w:val="0"/>
                <w:sz w:val="21"/>
              </w:rPr>
              <w:t>Radu Ilie</w:t>
            </w:r>
          </w:p>
        </w:tc>
        <w:tc>
          <w:tcPr>
            <w:tcW w:type="dxa" w:w="4220"/>
          </w:tcPr>
          <w:p>
            <w:r>
              <w:rPr>
                <w:b w:val="0"/>
                <w:sz w:val="21"/>
              </w:rPr>
              <w:t>„în 5 minute” → „în cel mult 10 minute”</w:t>
            </w:r>
          </w:p>
        </w:tc>
        <w:tc>
          <w:tcPr>
            <w:tcW w:type="dxa" w:w="985"/>
          </w:tcPr>
          <w:p>
            <w:r>
              <w:rPr>
                <w:b/>
                <w:sz w:val="21"/>
              </w:rPr>
              <w:t>Respingere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3 – schimbare de termen, o aprobă doar șefa</w:t>
            </w:r>
          </w:p>
        </w:tc>
      </w:tr>
      <w:tr>
        <w:tc>
          <w:tcPr>
            <w:tcW w:type="dxa" w:w="705"/>
          </w:tcPr>
          <w:p>
            <w:r>
              <w:rPr>
                <w:b w:val="0"/>
                <w:sz w:val="21"/>
              </w:rPr>
              <w:t>5</w:t>
            </w:r>
          </w:p>
        </w:tc>
        <w:tc>
          <w:tcPr>
            <w:tcW w:type="dxa" w:w="705"/>
          </w:tcPr>
          <w:p>
            <w:r>
              <w:rPr>
                <w:b w:val="0"/>
                <w:sz w:val="21"/>
              </w:rPr>
              <w:t>Elena Stan</w:t>
            </w:r>
          </w:p>
        </w:tc>
        <w:tc>
          <w:tcPr>
            <w:tcW w:type="dxa" w:w="4220"/>
          </w:tcPr>
          <w:p>
            <w:r>
              <w:rPr>
                <w:b w:val="0"/>
                <w:sz w:val="21"/>
              </w:rPr>
              <w:t>adaugă „Rolele noi sunt în dulapul din stânga.”</w:t>
            </w:r>
          </w:p>
        </w:tc>
        <w:tc>
          <w:tcPr>
            <w:tcW w:type="dxa" w:w="985"/>
          </w:tcPr>
          <w:p>
            <w:r>
              <w:rPr>
                <w:b/>
                <w:sz w:val="21"/>
              </w:rPr>
              <w:t>Acceptare</w:t>
            </w:r>
          </w:p>
        </w:tc>
        <w:tc>
          <w:tcPr>
            <w:tcW w:type="dxa" w:w="3024"/>
          </w:tcPr>
          <w:p>
            <w:r>
              <w:rPr>
                <w:b w:val="0"/>
                <w:sz w:val="21"/>
              </w:rPr>
              <w:t>2 – informație nouă, utilă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Răspunsurile la comentarii (model)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Către Ana Rusu: „Am trecut numărul IT-ului în document: interiorul 2345.”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Către Radu Ilie: „Mulțumesc, Radu! Am respins modificarea, pentru că termenele le aprobă doar Ana. I-am lăsat un comentariu să decidă ea dacă trecem la 10 minute.”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Comentariul tău, pentru Ana Rusu: „Ana, Radu propune 10 minute pentru predare în loc de 5 (aseară a durat 8). Vrei să schimbăm termenul?”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Documentul la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2F2F2"/>
          </w:tcPr>
          <w:p>
            <w:r>
              <w:rPr>
                <w:b w:val="0"/>
                <w:sz w:val="22"/>
              </w:rPr>
              <w:t>Predarea turei la casa de bilete – reguli</w:t>
              <w:br/>
              <w:t>1. La sfârșitul turei, casierul numără banii din casă și completează fișa de predare. Seiful se încuie după fiecare numărare.</w:t>
              <w:br/>
              <w:t>2. Predarea se face în prezența colegului sau colegei din tura următoare, în 5 minute.</w:t>
              <w:br/>
              <w:t>3. Rola de hârtie pentru imprimantă se schimbă când apare banda roșie. Rolele noi sunt în dulapul din stânga.</w:t>
              <w:br/>
              <w:t>4. Problemele cu aplicația de vânzare se anunță la IT, la interiorul 2345.  ← singura modificare urmărită rămasă: a ta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E12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