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3C29C">
      <w:pPr>
        <w:spacing w:after="360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新华尊—睿聆 H5 服务对接确认</w:t>
      </w:r>
    </w:p>
    <w:p w14:paraId="0139638D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1. 对接服务</w:t>
      </w:r>
    </w:p>
    <w:p w14:paraId="6AF49A7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海外多学科会诊（MDT）</w:t>
      </w:r>
    </w:p>
    <w:p w14:paraId="5719F56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海外高端体检</w:t>
      </w:r>
    </w:p>
    <w:p w14:paraId="26A21C7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海外重疾二诊</w:t>
      </w:r>
    </w:p>
    <w:p w14:paraId="6DDCA40F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2. 整体流程</w:t>
      </w:r>
    </w:p>
    <w:p w14:paraId="528E6CC3">
      <w:pPr>
        <w:jc w:val="center"/>
      </w:pPr>
      <w:r>
        <w:drawing>
          <wp:inline distT="0" distB="0" distL="114300" distR="114300">
            <wp:extent cx="6126480" cy="3829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245B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28"/>
        </w:rPr>
        <w:t>3. 规则</w:t>
      </w:r>
    </w:p>
    <w:p w14:paraId="0725DDBE">
      <w:pPr>
        <w:pStyle w:val="14"/>
        <w:spacing w:after="60"/>
      </w:pPr>
      <w:r>
        <w:rPr>
          <w:rFonts w:ascii="微软雅黑" w:hAnsi="微软雅黑" w:eastAsia="微软雅黑"/>
          <w:b w:val="0"/>
          <w:sz w:val="21"/>
        </w:rPr>
        <w:t>用户进入 H5 时不收集姓名、电话、证件等个人信息；不进行会员备案、会员鉴权或权益绑定。</w:t>
      </w:r>
    </w:p>
    <w:p w14:paraId="0BE12D00">
      <w:pPr>
        <w:pStyle w:val="14"/>
        <w:spacing w:after="60"/>
      </w:pPr>
      <w:r>
        <w:rPr>
          <w:rFonts w:ascii="微软雅黑" w:hAnsi="微软雅黑" w:eastAsia="微软雅黑"/>
          <w:b w:val="0"/>
          <w:sz w:val="21"/>
        </w:rPr>
        <w:t>用户发起服务时，睿聆按既有服务配置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ascii="微软雅黑" w:hAnsi="微软雅黑" w:eastAsia="微软雅黑"/>
          <w:b w:val="0"/>
          <w:sz w:val="21"/>
        </w:rPr>
        <w:t>收集本次服务需要的信息并创建服务请求。</w:t>
      </w:r>
    </w:p>
    <w:p w14:paraId="050F5ECC">
      <w:pPr>
        <w:pStyle w:val="14"/>
        <w:spacing w:after="60"/>
      </w:pPr>
      <w:r>
        <w:rPr>
          <w:rFonts w:ascii="微软雅黑" w:hAnsi="微软雅黑" w:eastAsia="微软雅黑"/>
          <w:b w:val="0"/>
          <w:sz w:val="21"/>
        </w:rPr>
        <w:t>服务请求创建成功后，睿聆向新华尊回传本次服务的状态节点、基本信息和服务信息内容。</w:t>
      </w:r>
    </w:p>
    <w:p w14:paraId="40C9C18A">
      <w:pPr>
        <w:pStyle w:val="14"/>
        <w:spacing w:after="60"/>
      </w:pPr>
      <w:r>
        <w:rPr>
          <w:rFonts w:ascii="微软雅黑" w:hAnsi="微软雅黑" w:eastAsia="微软雅黑"/>
          <w:b w:val="0"/>
          <w:sz w:val="21"/>
        </w:rPr>
        <w:t>睿聆回传数据时，若新华</w:t>
      </w:r>
      <w:r>
        <w:rPr>
          <w:rFonts w:hint="eastAsia"/>
          <w:b w:val="0"/>
          <w:sz w:val="21"/>
          <w:lang w:val="en-US" w:eastAsia="zh-CN"/>
        </w:rPr>
        <w:t>需要匹配</w:t>
      </w:r>
      <w:r>
        <w:rPr>
          <w:rFonts w:ascii="微软雅黑" w:hAnsi="微软雅黑" w:eastAsia="微软雅黑"/>
          <w:b w:val="0"/>
          <w:sz w:val="21"/>
        </w:rPr>
        <w:t>用户，则建议在 H5 链接携带加密用户标识，用于新华尊侧用户关联。</w:t>
      </w:r>
    </w:p>
    <w:p w14:paraId="4374BC7E">
      <w:pPr>
        <w:spacing w:before="240" w:after="120"/>
        <w:rPr>
          <w:rFonts w:ascii="微软雅黑" w:hAnsi="微软雅黑" w:eastAsia="微软雅黑"/>
          <w:b/>
          <w:color w:val="1F4E79"/>
          <w:sz w:val="28"/>
        </w:rPr>
      </w:pPr>
      <w:r>
        <w:rPr>
          <w:rFonts w:ascii="微软雅黑" w:hAnsi="微软雅黑" w:eastAsia="微软雅黑"/>
          <w:b/>
          <w:color w:val="1F4E79"/>
          <w:sz w:val="28"/>
        </w:rPr>
        <w:t>4. 传输内容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800"/>
        <w:gridCol w:w="4104"/>
        <w:gridCol w:w="1800"/>
      </w:tblGrid>
      <w:tr w14:paraId="3FCF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4AE5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391C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w="410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3A0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传输内容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E9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触发时机</w:t>
            </w:r>
          </w:p>
        </w:tc>
      </w:tr>
      <w:tr w14:paraId="0D50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B899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H5 用户关联（若需要）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75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新华尊 → 睿聆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C3A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项目识别信息、加密用户标识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18D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用户打开 H5 链接时</w:t>
            </w:r>
          </w:p>
        </w:tc>
      </w:tr>
      <w:tr w14:paraId="6602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08D8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服务信息回传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58D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睿聆 → 新华尊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1B00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订单号、服务 ID、服务名称、服务状态、下单时间；申请人姓名、证件类型、证件号、性别、出生日期、手机号；意向单各项服务回传字段（待提供）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F361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服务请求创建成功后</w:t>
            </w:r>
          </w:p>
        </w:tc>
      </w:tr>
      <w:tr w14:paraId="3177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0677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服务状态同步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A5DC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睿聆→ 新华尊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C995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服务单回传节点：预约成功、待受理、已完成、已取消、待预约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477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服务状态发生变化时</w:t>
            </w:r>
          </w:p>
        </w:tc>
      </w:tr>
    </w:tbl>
    <w:p w14:paraId="50F99C63"/>
    <w:p w14:paraId="05A7EC60">
      <w:pPr>
        <w:spacing w:before="240" w:after="120"/>
        <w:rPr>
          <w:rFonts w:hint="eastAsia"/>
          <w:b/>
          <w:color w:val="1F4E79"/>
          <w:sz w:val="28"/>
          <w:lang w:val="en-US" w:eastAsia="zh-CN"/>
        </w:rPr>
      </w:pPr>
      <w:r>
        <w:rPr>
          <w:rFonts w:hint="eastAsia"/>
          <w:b/>
          <w:color w:val="1F4E79"/>
          <w:sz w:val="28"/>
          <w:lang w:val="en-US" w:eastAsia="zh-CN"/>
        </w:rPr>
        <w:t>5</w:t>
      </w:r>
      <w:r>
        <w:rPr>
          <w:rFonts w:ascii="微软雅黑" w:hAnsi="微软雅黑" w:eastAsia="微软雅黑"/>
          <w:b/>
          <w:color w:val="1F4E79"/>
          <w:sz w:val="28"/>
        </w:rPr>
        <w:t xml:space="preserve">. </w:t>
      </w:r>
      <w:r>
        <w:rPr>
          <w:rFonts w:hint="eastAsia"/>
          <w:b/>
          <w:color w:val="1F4E79"/>
          <w:sz w:val="28"/>
          <w:lang w:val="en-US" w:eastAsia="zh-CN"/>
        </w:rPr>
        <w:t>页面示意</w:t>
      </w:r>
    </w:p>
    <w:p w14:paraId="34362903">
      <w:pPr>
        <w:spacing w:before="240" w:after="120"/>
        <w:rPr>
          <w:rFonts w:hint="default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1、首页-服务发起页-表单填写页</w:t>
      </w:r>
    </w:p>
    <w:p w14:paraId="2A0F4AEC">
      <w:pPr>
        <w:spacing w:before="240" w:after="120"/>
        <w:rPr>
          <w:rFonts w:hint="eastAsia"/>
          <w:b w:val="0"/>
          <w:sz w:val="21"/>
          <w:lang w:val="en-US" w:eastAsia="zh-CN"/>
        </w:rPr>
      </w:pPr>
      <w:r>
        <w:drawing>
          <wp:inline distT="0" distB="0" distL="114300" distR="114300">
            <wp:extent cx="1775460" cy="3989070"/>
            <wp:effectExtent l="0" t="0" r="254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311910" cy="4011295"/>
            <wp:effectExtent l="0" t="0" r="889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677035" cy="4124325"/>
            <wp:effectExtent l="0" t="0" r="1206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1C90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个人中心-服务记录</w:t>
      </w:r>
    </w:p>
    <w:p w14:paraId="33E1EA1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791335" cy="3756660"/>
            <wp:effectExtent l="0" t="0" r="1206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bookmarkStart w:id="0" w:name="_GoBack"/>
      <w:r>
        <w:drawing>
          <wp:inline distT="0" distB="0" distL="114300" distR="114300">
            <wp:extent cx="1786255" cy="3732530"/>
            <wp:effectExtent l="0" t="0" r="444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BEF0">
    <w:pPr>
      <w:pStyle w:val="24"/>
      <w:jc w:val="center"/>
    </w:pPr>
    <w:r>
      <w:rPr>
        <w:rFonts w:ascii="微软雅黑" w:hAnsi="微软雅黑" w:eastAsia="微软雅黑"/>
        <w:b w:val="0"/>
        <w:color w:val="64748B"/>
        <w:sz w:val="16"/>
      </w:rPr>
      <w:t>新华尊—睿聆 H5 服务对接确认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2CAF8"/>
    <w:multiLevelType w:val="singleLevel"/>
    <w:tmpl w:val="C382CAF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051DE"/>
    <w:rsid w:val="25773133"/>
    <w:rsid w:val="3278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414</Words>
  <Characters>426</Characters>
  <Lines>0</Lines>
  <Paragraphs>0</Paragraphs>
  <TotalTime>2</TotalTime>
  <ScaleCrop>false</ScaleCrop>
  <LinksUpToDate>false</LinksUpToDate>
  <CharactersWithSpaces>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 am</cp:lastModifiedBy>
  <dcterms:modified xsi:type="dcterms:W3CDTF">2026-08-21T01:40:11Z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eyJoZGlkIjoiZTRjOWJhYmEwZmQzOGIyMjg5MzU4MGNiMDBkYWZmNTciLCJ1c2VySWQiOiI1Mjg4ODY2MzIifQ==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83546DDD15494A3693D0FEE1B9C50860_12</vt:lpwstr>
  </property>
</Properties>
</file>