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line="276"/>
      </w:pPr>
      <w:r>
        <w:rPr>
          <w:rFonts w:ascii="Arial" w:cs="Arial" w:eastAsia="Arial" w:hAnsi="Arial"/>
          <w:b w:val="false"/>
          <w:bCs w:val="false"/>
          <w:i w:val="false"/>
          <w:iCs w:val="false"/>
          <w:color w:val="777777"/>
          <w:sz w:val="20"/>
          <w:szCs w:val="20"/>
          <w:rtl/>
        </w:rPr>
        <w:t xml:space="preserve">בס"ד</w:t>
      </w:r>
    </w:p>
    <w:p>
      <w:pPr>
        <w:bidi/>
        <w:spacing w:after="60" w:before="0" w:line="276"/>
      </w:pPr>
      <w:r>
        <w:rPr>
          <w:rFonts w:ascii="Arial" w:cs="Arial" w:eastAsia="Arial" w:hAnsi="Arial"/>
          <w:b/>
          <w:bCs/>
          <w:i w:val="false"/>
          <w:iCs w:val="false"/>
          <w:color w:val="1F3864"/>
          <w:sz w:val="44"/>
          <w:szCs w:val="44"/>
          <w:rtl/>
        </w:rPr>
        <w:t xml:space="preserve">היבטים משפטיים בניהול</w:t>
      </w:r>
    </w:p>
    <w:p>
      <w:pPr>
        <w:bidi/>
        <w:spacing w:after="40" w:before="0" w:line="276"/>
      </w:pPr>
      <w:r>
        <w:rPr>
          <w:rFonts w:ascii="Arial" w:cs="Arial" w:eastAsia="Arial" w:hAnsi="Arial"/>
          <w:b/>
          <w:bCs/>
          <w:i w:val="false"/>
          <w:iCs w:val="false"/>
          <w:color w:val="2E5395"/>
          <w:sz w:val="32"/>
          <w:szCs w:val="32"/>
          <w:rtl/>
        </w:rPr>
        <w:t xml:space="preserve">חוברת הכנה לבוחן — 8.9</w:t>
      </w:r>
    </w:p>
    <w:p>
      <w:pPr>
        <w:bidi/>
        <w:spacing w:after="200" w:before="0" w:line="276"/>
      </w:pPr>
      <w:r>
        <w:rPr>
          <w:rFonts w:ascii="Arial" w:cs="Arial" w:eastAsia="Arial" w:hAnsi="Arial"/>
          <w:b/>
          <w:bCs/>
          <w:i w:val="false"/>
          <w:iCs w:val="false"/>
          <w:color w:val="1E7B34"/>
          <w:sz w:val="22"/>
          <w:szCs w:val="22"/>
          <w:rtl/>
        </w:rPr>
        <w:t xml:space="preserve">מהדורה 3 — מעודכנת לתנאי הבוחן: ללא מחשבים (25.8)</w:t>
      </w:r>
    </w:p>
    <w:p>
      <w:pPr>
        <w:shd w:fill="FFF6E0" w:val="clear"/>
        <w:bidi/>
        <w:spacing w:after="120" w:before="0" w:line="276"/>
        <w:ind w:left="150" w:right="150"/>
      </w:pPr>
      <w:r>
        <w:rPr>
          <w:rFonts w:ascii="Arial" w:cs="Arial" w:eastAsia="Arial" w:hAnsi="Arial"/>
          <w:b/>
          <w:bCs/>
          <w:i w:val="false"/>
          <w:iCs w:val="false"/>
          <w:color w:val="222222"/>
          <w:sz w:val="22"/>
          <w:szCs w:val="22"/>
          <w:rtl/>
        </w:rPr>
        <w:t xml:space="preserve">⚠ המרצה הודיעה: אין מחשבים בבוחן. </w:t>
      </w:r>
      <w:r>
        <w:rPr>
          <w:rFonts w:ascii="Arial" w:cs="Arial" w:eastAsia="Arial" w:hAnsi="Arial"/>
          <w:b w:val="false"/>
          <w:bCs w:val="false"/>
          <w:i w:val="false"/>
          <w:iCs w:val="false"/>
          <w:color w:val="222222"/>
          <w:sz w:val="22"/>
          <w:szCs w:val="22"/>
          <w:rtl/>
        </w:rPr>
        <w:t xml:space="preserve">אתר הקורס לא יהיה זמין — רק חומר מודפס. יש להדפיס: (1) חוברת זו; (2) את קובץ החקיקה של המרצה. סמנו בטוש את טבלת הסעיפים ואת רשימת המלכודות — אלה הדפים שתחזרו אליהם בפועל.</w:t>
      </w:r>
    </w:p>
    <w:p>
      <w:pPr>
        <w:bidi/>
        <w:spacing w:after="60" w:before="0" w:line="276"/>
      </w:pPr>
      <w:r>
        <w:rPr>
          <w:rFonts w:ascii="Arial" w:cs="Arial" w:eastAsia="Arial" w:hAnsi="Arial"/>
          <w:b/>
          <w:bCs/>
          <w:i w:val="false"/>
          <w:iCs w:val="false"/>
          <w:color w:val="222222"/>
          <w:sz w:val="24"/>
          <w:szCs w:val="24"/>
          <w:rtl/>
        </w:rPr>
        <w:t xml:space="preserve">מה ידוע על הבוחן:</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פורמט: </w:t>
      </w:r>
      <w:r>
        <w:rPr>
          <w:rFonts w:ascii="Arial" w:cs="Arial" w:eastAsia="Arial" w:hAnsi="Arial"/>
          <w:b w:val="false"/>
          <w:bCs w:val="false"/>
          <w:i w:val="false"/>
          <w:iCs w:val="false"/>
          <w:color w:val="222222"/>
          <w:sz w:val="22"/>
          <w:szCs w:val="22"/>
          <w:rtl/>
        </w:rPr>
        <w:t xml:space="preserve">5 היגדים "נכון / לא נכון" + נימוק (עם סעיף חוק או פסק דין אם נלמדו). כחצי שעה.</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חומר פתוח — אך ללא מחשבים: </w:t>
      </w:r>
      <w:r>
        <w:rPr>
          <w:rFonts w:ascii="Arial" w:cs="Arial" w:eastAsia="Arial" w:hAnsi="Arial"/>
          <w:b w:val="false"/>
          <w:bCs w:val="false"/>
          <w:i w:val="false"/>
          <w:iCs w:val="false"/>
          <w:color w:val="222222"/>
          <w:sz w:val="22"/>
          <w:szCs w:val="22"/>
          <w:rtl/>
        </w:rPr>
        <w:t xml:space="preserve">רק חומר מודפס שהבאתם איתכם.</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היקף (נכון ל־25.8, לפי מצב הלימוד בכיתה): </w:t>
      </w:r>
      <w:r>
        <w:rPr>
          <w:rFonts w:ascii="Arial" w:cs="Arial" w:eastAsia="Arial" w:hAnsi="Arial"/>
          <w:b w:val="false"/>
          <w:bCs w:val="false"/>
          <w:i w:val="false"/>
          <w:iCs w:val="false"/>
          <w:color w:val="222222"/>
          <w:sz w:val="22"/>
          <w:szCs w:val="22"/>
          <w:rtl/>
        </w:rPr>
        <w:t xml:space="preserve">מצגת מבוא + מצגת 1 במלואה (ס׳ 1–12, השלמת פרטים, זיכרון דברים, תום לב, פ"ד קוזלי) + מצגת 2 עד ס׳ 14(ב), וכן ס׳ 19, 20, 21 (ביטול חלקי, דרך הביטול והשבה).</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ס׳ 15 (הטעיה): </w:t>
      </w:r>
      <w:r>
        <w:rPr>
          <w:rFonts w:ascii="Arial" w:cs="Arial" w:eastAsia="Arial" w:hAnsi="Arial"/>
          <w:b w:val="false"/>
          <w:bCs w:val="false"/>
          <w:i w:val="false"/>
          <w:iCs w:val="false"/>
          <w:color w:val="222222"/>
          <w:sz w:val="22"/>
          <w:szCs w:val="22"/>
          <w:rtl/>
        </w:rPr>
        <w:t xml:space="preserve">ייתכן שיילמד בשיעור שלפני הבוחן (1.9) — נכלל בגוף החוברת עם סימון. ס׳ 16–18 (טעות סופר, כפייה, עושק) טרם נלמדו — הועברו לנספח בסוף.</w:t>
      </w:r>
    </w:p>
    <w:p>
      <w:pPr>
        <w:bidi/>
        <w:spacing w:after="100"/>
      </w:pPr>
    </w:p>
    <w:p>
      <w:pPr>
        <w:bidi/>
        <w:spacing w:after="60" w:before="0" w:line="276"/>
      </w:pPr>
      <w:r>
        <w:rPr>
          <w:rFonts w:ascii="Arial" w:cs="Arial" w:eastAsia="Arial" w:hAnsi="Arial"/>
          <w:b/>
          <w:bCs/>
          <w:i w:val="false"/>
          <w:iCs w:val="false"/>
          <w:color w:val="222222"/>
          <w:sz w:val="24"/>
          <w:szCs w:val="24"/>
          <w:rtl/>
        </w:rPr>
        <w:t xml:space="preserve">מבנה החוברת:</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חלק א׳ — איך עונים על היגד (טכניקת התשובה)</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חלק ב׳ — טבלת שליפה מהירה: סעיפי החוק</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חלק ג׳ — טבלאות פסקי דין (מהמצגות הרשמיות + מהשיעורים)</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חלק ד׳ — 14 מלכודות קלאסיות בהיגדים</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חלק ה׳ — סיכום נושאים מלא לפי המצגות</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חלק ו׳ — הבוחן האמיתי של הכיתה המקבילה (20.5) עם פתרון</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חלק ז׳ — מאגר תרגול: 30 היגדים עם פתרונות</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חלק ח׳ — קייסים רשמיים עם פתרון (תמרי הנגר; סיגל והמורה לגיטרה)</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נספח חקיקה — לשון הסעיפים לציטוט מדויק</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נספח — חומר שטרם נלמד (הטעיה בהרחבה, טעות סופר, כפייה, עושק)</w:t>
      </w:r>
    </w:p>
    <w:p>
      <w:r>
        <w:br w:type="page"/>
      </w:r>
    </w:p>
    <w:p>
      <w:pPr>
        <w:pStyle w:val="Heading1"/>
        <w:keepNext/>
        <w:bidi/>
        <w:spacing w:after="160" w:before="240" w:line="276"/>
      </w:pPr>
      <w:r>
        <w:rPr>
          <w:rFonts w:ascii="Arial" w:cs="Arial" w:eastAsia="Arial" w:hAnsi="Arial"/>
          <w:b/>
          <w:bCs/>
          <w:i w:val="false"/>
          <w:iCs w:val="false"/>
          <w:color w:val="1F3864"/>
          <w:sz w:val="32"/>
          <w:szCs w:val="32"/>
          <w:rtl/>
        </w:rPr>
        <w:t xml:space="preserve">הדף המהיר — אם תסתכל רק בדף אחד</w:t>
      </w:r>
    </w:p>
    <w:p>
      <w:pPr>
        <w:pStyle w:val="Heading3"/>
        <w:keepNext/>
        <w:bidi/>
        <w:spacing w:after="80" w:before="140" w:line="276"/>
      </w:pPr>
      <w:r>
        <w:rPr>
          <w:rFonts w:ascii="Arial" w:cs="Arial" w:eastAsia="Arial" w:hAnsi="Arial"/>
          <w:b/>
          <w:bCs/>
          <w:i w:val="false"/>
          <w:iCs w:val="false"/>
          <w:color w:val="404040"/>
          <w:sz w:val="23"/>
          <w:szCs w:val="23"/>
          <w:rtl/>
        </w:rPr>
        <w:t xml:space="preserve">1 · תבנית התשובה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[נכון / לא נכון]. לפי סעיף ___ לחוק החוזים (חלק כללי) / פס"ד ___, הכלל הוא ש-___. בענייננו ___, ולכן ___.</w:t>
      </w:r>
    </w:p>
    <w:p>
      <w:pPr>
        <w:bidi/>
        <w:spacing w:after="120" w:before="0" w:line="276"/>
      </w:pPr>
      <w:r>
        <w:rPr>
          <w:rFonts w:ascii="Arial" w:cs="Arial" w:eastAsia="Arial" w:hAnsi="Arial"/>
          <w:b w:val="false"/>
          <w:bCs w:val="false"/>
          <w:i w:val="false"/>
          <w:iCs w:val="false"/>
          <w:color w:val="555555"/>
          <w:sz w:val="22"/>
          <w:szCs w:val="22"/>
          <w:rtl/>
        </w:rPr>
        <w:t xml:space="preserve">פסיקה חד-משמעית ← כלל + מקור מדויק ← משפט יישום. 2–4 שורות מספיקות.</w:t>
      </w:r>
    </w:p>
    <w:p>
      <w:pPr>
        <w:pStyle w:val="Heading3"/>
        <w:keepNext/>
        <w:bidi/>
        <w:spacing w:after="80" w:before="140" w:line="276"/>
      </w:pPr>
      <w:r>
        <w:rPr>
          <w:rFonts w:ascii="Arial" w:cs="Arial" w:eastAsia="Arial" w:hAnsi="Arial"/>
          <w:b/>
          <w:bCs/>
          <w:i w:val="false"/>
          <w:iCs w:val="false"/>
          <w:color w:val="404040"/>
          <w:sz w:val="23"/>
          <w:szCs w:val="23"/>
          <w:rtl/>
        </w:rPr>
        <w:t xml:space="preserve">2 · שש ההבחנות שמכריעות היגדים</w:t>
      </w:r>
    </w:p>
    <w:tbl>
      <w:tblPr>
        <w:bidiVisual/>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45"/>
        <w:gridCol w:w="3337"/>
        <w:gridCol w:w="3337"/>
      </w:tblGrid>
      <w:tr>
        <w:trPr>
          <w:tblHeader/>
        </w:trPr>
        <w:tc>
          <w:tcPr>
            <w:tcW w:type="dxa" w:w="2345"/>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ההבחנה</w:t>
            </w:r>
          </w:p>
        </w:tc>
        <w:tc>
          <w:tcPr>
            <w:tcW w:type="dxa" w:w="3337"/>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הצד האחד</w:t>
            </w:r>
          </w:p>
        </w:tc>
        <w:tc>
          <w:tcPr>
            <w:tcW w:type="dxa" w:w="3337"/>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הצד השני</w:t>
            </w:r>
          </w:p>
        </w:tc>
      </w:tr>
      <w:tr>
        <w:tc>
          <w:tcPr>
            <w:tcW w:type="dxa" w:w="234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בטל / ניתן לביטול</w:t>
            </w:r>
          </w:p>
        </w:tc>
        <w:tc>
          <w:tcPr>
            <w:tcW w:type="dxa" w:w="3337"/>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חוזה פסול (ס' 30) — בטל מעצמו, בלי הודעה.</w:t>
            </w:r>
          </w:p>
        </w:tc>
        <w:tc>
          <w:tcPr>
            <w:tcW w:type="dxa" w:w="3337"/>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פגם ברצון (14, 15, 17, 18) — תקף עד שהנפגע יבטל.</w:t>
            </w:r>
          </w:p>
        </w:tc>
      </w:tr>
      <w:tr>
        <w:tc>
          <w:tcPr>
            <w:tcW w:type="dxa" w:w="234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מתן / מסירה</w:t>
            </w:r>
          </w:p>
        </w:tc>
        <w:tc>
          <w:tcPr>
            <w:tcW w:type="dxa" w:w="3337"/>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מתן קיבול = משלוח ה"כן" — ס' 3(א), 4(2).</w:t>
            </w:r>
          </w:p>
        </w:tc>
        <w:tc>
          <w:tcPr>
            <w:tcW w:type="dxa" w:w="3337"/>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מסירה = הגעתו למציע — ס' 10.</w:t>
            </w:r>
          </w:p>
        </w:tc>
      </w:tr>
      <w:tr>
        <w:tc>
          <w:tcPr>
            <w:tcW w:type="dxa" w:w="234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14(א) / 14(ב)</w:t>
            </w:r>
          </w:p>
        </w:tc>
        <w:tc>
          <w:tcPr>
            <w:tcW w:type="dxa" w:w="3337"/>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הצד השני ידע או היה עליו לדעת ← ביטול עצמי.</w:t>
            </w:r>
          </w:p>
        </w:tc>
        <w:tc>
          <w:tcPr>
            <w:tcW w:type="dxa" w:w="3337"/>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לא ידע ← רק ביהמ"ש, משיקולי צדק + חשיפה לפיצויים.</w:t>
            </w:r>
          </w:p>
        </w:tc>
      </w:tr>
      <w:tr>
        <w:tc>
          <w:tcPr>
            <w:tcW w:type="dxa" w:w="234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 / כדאיות</w:t>
            </w:r>
          </w:p>
        </w:tc>
        <w:tc>
          <w:tcPr>
            <w:tcW w:type="dxa" w:w="3337"/>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 = הווה או עבר (רבינוביץ) ← עילה.</w:t>
            </w:r>
          </w:p>
        </w:tc>
        <w:tc>
          <w:tcPr>
            <w:tcW w:type="dxa" w:w="3337"/>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ציפייה לעתיד / AS-IS / סיכון מודע ← 14(ד), אין ביטול.</w:t>
            </w:r>
          </w:p>
        </w:tc>
      </w:tr>
      <w:tr>
        <w:tc>
          <w:tcPr>
            <w:tcW w:type="dxa" w:w="234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שתיקה</w:t>
            </w:r>
          </w:p>
        </w:tc>
        <w:tc>
          <w:tcPr>
            <w:tcW w:type="dxa" w:w="3337"/>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המציע אינו כופה שתיקה כקיבול — ס' 6(ב).</w:t>
            </w:r>
          </w:p>
        </w:tc>
        <w:tc>
          <w:tcPr>
            <w:tcW w:type="dxa" w:w="3337"/>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הצעה מזכה — חזקת קיבול בשתיקה, ס' 7.</w:t>
            </w:r>
          </w:p>
        </w:tc>
      </w:tr>
      <w:tr>
        <w:tc>
          <w:tcPr>
            <w:tcW w:type="dxa" w:w="234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סעד ס' 12</w:t>
            </w:r>
          </w:p>
        </w:tc>
        <w:tc>
          <w:tcPr>
            <w:tcW w:type="dxa" w:w="3337"/>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פיצויי הסתמכות — לא ביטול.</w:t>
            </w:r>
          </w:p>
        </w:tc>
        <w:tc>
          <w:tcPr>
            <w:tcW w:type="dxa" w:w="3337"/>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חריג: פיצויי קיום (קל בניין); לעיתים אכיפה (זפניק).</w:t>
            </w:r>
          </w:p>
        </w:tc>
      </w:tr>
    </w:tbl>
    <w:p>
      <w:pPr>
        <w:pStyle w:val="Heading3"/>
        <w:keepNext/>
        <w:bidi/>
        <w:spacing w:after="80" w:before="140" w:line="276"/>
      </w:pPr>
      <w:r>
        <w:rPr>
          <w:rFonts w:ascii="Arial" w:cs="Arial" w:eastAsia="Arial" w:hAnsi="Arial"/>
          <w:b/>
          <w:bCs/>
          <w:i w:val="false"/>
          <w:iCs w:val="false"/>
          <w:color w:val="404040"/>
          <w:sz w:val="23"/>
          <w:szCs w:val="23"/>
          <w:rtl/>
        </w:rPr>
        <w:t xml:space="preserve">3 · מפת הסעיפים בשורה</w:t>
      </w:r>
    </w:p>
    <w:p>
      <w:pPr>
        <w:bidi/>
        <w:spacing w:after="120" w:before="0" w:line="276"/>
      </w:pPr>
      <w:r>
        <w:rPr>
          <w:rFonts w:ascii="Arial" w:cs="Arial" w:eastAsia="Arial" w:hAnsi="Arial"/>
          <w:b/>
          <w:bCs/>
          <w:i w:val="false"/>
          <w:iCs w:val="false"/>
          <w:color w:val="222222"/>
          <w:sz w:val="22"/>
          <w:szCs w:val="22"/>
          <w:rtl/>
        </w:rPr>
        <w:t xml:space="preserve">1 </w:t>
      </w:r>
      <w:r>
        <w:rPr>
          <w:rFonts w:ascii="Arial" w:cs="Arial" w:eastAsia="Arial" w:hAnsi="Arial"/>
          <w:b w:val="false"/>
          <w:bCs w:val="false"/>
          <w:i w:val="false"/>
          <w:iCs w:val="false"/>
          <w:color w:val="222222"/>
          <w:sz w:val="22"/>
          <w:szCs w:val="22"/>
          <w:rtl/>
        </w:rPr>
        <w:t xml:space="preserve">חוזה=הצעה+קיבול · </w:t>
      </w:r>
      <w:r>
        <w:rPr>
          <w:rFonts w:ascii="Arial" w:cs="Arial" w:eastAsia="Arial" w:hAnsi="Arial"/>
          <w:b/>
          <w:bCs/>
          <w:i w:val="false"/>
          <w:iCs w:val="false"/>
          <w:color w:val="222222"/>
          <w:sz w:val="22"/>
          <w:szCs w:val="22"/>
          <w:rtl/>
        </w:rPr>
        <w:t xml:space="preserve">2 </w:t>
      </w:r>
      <w:r>
        <w:rPr>
          <w:rFonts w:ascii="Arial" w:cs="Arial" w:eastAsia="Arial" w:hAnsi="Arial"/>
          <w:b w:val="false"/>
          <w:bCs w:val="false"/>
          <w:i w:val="false"/>
          <w:iCs w:val="false"/>
          <w:color w:val="222222"/>
          <w:sz w:val="22"/>
          <w:szCs w:val="22"/>
          <w:rtl/>
        </w:rPr>
        <w:t xml:space="preserve">הצעה · </w:t>
      </w:r>
      <w:r>
        <w:rPr>
          <w:rFonts w:ascii="Arial" w:cs="Arial" w:eastAsia="Arial" w:hAnsi="Arial"/>
          <w:b/>
          <w:bCs/>
          <w:i w:val="false"/>
          <w:iCs w:val="false"/>
          <w:color w:val="222222"/>
          <w:sz w:val="22"/>
          <w:szCs w:val="22"/>
          <w:rtl/>
        </w:rPr>
        <w:t xml:space="preserve">3 </w:t>
      </w:r>
      <w:r>
        <w:rPr>
          <w:rFonts w:ascii="Arial" w:cs="Arial" w:eastAsia="Arial" w:hAnsi="Arial"/>
          <w:b w:val="false"/>
          <w:bCs w:val="false"/>
          <w:i w:val="false"/>
          <w:iCs w:val="false"/>
          <w:color w:val="222222"/>
          <w:sz w:val="22"/>
          <w:szCs w:val="22"/>
          <w:rtl/>
        </w:rPr>
        <w:t xml:space="preserve">חרטת מציע · </w:t>
      </w:r>
      <w:r>
        <w:rPr>
          <w:rFonts w:ascii="Arial" w:cs="Arial" w:eastAsia="Arial" w:hAnsi="Arial"/>
          <w:b/>
          <w:bCs/>
          <w:i w:val="false"/>
          <w:iCs w:val="false"/>
          <w:color w:val="222222"/>
          <w:sz w:val="22"/>
          <w:szCs w:val="22"/>
          <w:rtl/>
        </w:rPr>
        <w:t xml:space="preserve">4 </w:t>
      </w:r>
      <w:r>
        <w:rPr>
          <w:rFonts w:ascii="Arial" w:cs="Arial" w:eastAsia="Arial" w:hAnsi="Arial"/>
          <w:b w:val="false"/>
          <w:bCs w:val="false"/>
          <w:i w:val="false"/>
          <w:iCs w:val="false"/>
          <w:color w:val="222222"/>
          <w:sz w:val="22"/>
          <w:szCs w:val="22"/>
          <w:rtl/>
        </w:rPr>
        <w:t xml:space="preserve">פקיעה · </w:t>
      </w:r>
      <w:r>
        <w:rPr>
          <w:rFonts w:ascii="Arial" w:cs="Arial" w:eastAsia="Arial" w:hAnsi="Arial"/>
          <w:b/>
          <w:bCs/>
          <w:i w:val="false"/>
          <w:iCs w:val="false"/>
          <w:color w:val="222222"/>
          <w:sz w:val="22"/>
          <w:szCs w:val="22"/>
          <w:rtl/>
        </w:rPr>
        <w:t xml:space="preserve">5 </w:t>
      </w:r>
      <w:r>
        <w:rPr>
          <w:rFonts w:ascii="Arial" w:cs="Arial" w:eastAsia="Arial" w:hAnsi="Arial"/>
          <w:b w:val="false"/>
          <w:bCs w:val="false"/>
          <w:i w:val="false"/>
          <w:iCs w:val="false"/>
          <w:color w:val="222222"/>
          <w:sz w:val="22"/>
          <w:szCs w:val="22"/>
          <w:rtl/>
        </w:rPr>
        <w:t xml:space="preserve">קיבול · </w:t>
      </w:r>
      <w:r>
        <w:rPr>
          <w:rFonts w:ascii="Arial" w:cs="Arial" w:eastAsia="Arial" w:hAnsi="Arial"/>
          <w:b/>
          <w:bCs/>
          <w:i w:val="false"/>
          <w:iCs w:val="false"/>
          <w:color w:val="222222"/>
          <w:sz w:val="22"/>
          <w:szCs w:val="22"/>
          <w:rtl/>
        </w:rPr>
        <w:t xml:space="preserve">6 </w:t>
      </w:r>
      <w:r>
        <w:rPr>
          <w:rFonts w:ascii="Arial" w:cs="Arial" w:eastAsia="Arial" w:hAnsi="Arial"/>
          <w:b w:val="false"/>
          <w:bCs w:val="false"/>
          <w:i w:val="false"/>
          <w:iCs w:val="false"/>
          <w:color w:val="222222"/>
          <w:sz w:val="22"/>
          <w:szCs w:val="22"/>
          <w:rtl/>
        </w:rPr>
        <w:t xml:space="preserve">התנהגות/שתיקה · </w:t>
      </w:r>
      <w:r>
        <w:rPr>
          <w:rFonts w:ascii="Arial" w:cs="Arial" w:eastAsia="Arial" w:hAnsi="Arial"/>
          <w:b/>
          <w:bCs/>
          <w:i w:val="false"/>
          <w:iCs w:val="false"/>
          <w:color w:val="222222"/>
          <w:sz w:val="22"/>
          <w:szCs w:val="22"/>
          <w:rtl/>
        </w:rPr>
        <w:t xml:space="preserve">7 </w:t>
      </w:r>
      <w:r>
        <w:rPr>
          <w:rFonts w:ascii="Arial" w:cs="Arial" w:eastAsia="Arial" w:hAnsi="Arial"/>
          <w:b w:val="false"/>
          <w:bCs w:val="false"/>
          <w:i w:val="false"/>
          <w:iCs w:val="false"/>
          <w:color w:val="222222"/>
          <w:sz w:val="22"/>
          <w:szCs w:val="22"/>
          <w:rtl/>
        </w:rPr>
        <w:t xml:space="preserve">הצעה מזכה · </w:t>
      </w:r>
      <w:r>
        <w:rPr>
          <w:rFonts w:ascii="Arial" w:cs="Arial" w:eastAsia="Arial" w:hAnsi="Arial"/>
          <w:b/>
          <w:bCs/>
          <w:i w:val="false"/>
          <w:iCs w:val="false"/>
          <w:color w:val="222222"/>
          <w:sz w:val="22"/>
          <w:szCs w:val="22"/>
          <w:rtl/>
        </w:rPr>
        <w:t xml:space="preserve">8 </w:t>
      </w:r>
      <w:r>
        <w:rPr>
          <w:rFonts w:ascii="Arial" w:cs="Arial" w:eastAsia="Arial" w:hAnsi="Arial"/>
          <w:b w:val="false"/>
          <w:bCs w:val="false"/>
          <w:i w:val="false"/>
          <w:iCs w:val="false"/>
          <w:color w:val="222222"/>
          <w:sz w:val="22"/>
          <w:szCs w:val="22"/>
          <w:rtl/>
        </w:rPr>
        <w:t xml:space="preserve">מועד · </w:t>
      </w:r>
      <w:r>
        <w:rPr>
          <w:rFonts w:ascii="Arial" w:cs="Arial" w:eastAsia="Arial" w:hAnsi="Arial"/>
          <w:b/>
          <w:bCs/>
          <w:i w:val="false"/>
          <w:iCs w:val="false"/>
          <w:color w:val="222222"/>
          <w:sz w:val="22"/>
          <w:szCs w:val="22"/>
          <w:rtl/>
        </w:rPr>
        <w:t xml:space="preserve">9 </w:t>
      </w:r>
      <w:r>
        <w:rPr>
          <w:rFonts w:ascii="Arial" w:cs="Arial" w:eastAsia="Arial" w:hAnsi="Arial"/>
          <w:b w:val="false"/>
          <w:bCs w:val="false"/>
          <w:i w:val="false"/>
          <w:iCs w:val="false"/>
          <w:color w:val="222222"/>
          <w:sz w:val="22"/>
          <w:szCs w:val="22"/>
          <w:rtl/>
        </w:rPr>
        <w:t xml:space="preserve">קיבול אחרי פקיעה · </w:t>
      </w:r>
      <w:r>
        <w:rPr>
          <w:rFonts w:ascii="Arial" w:cs="Arial" w:eastAsia="Arial" w:hAnsi="Arial"/>
          <w:b/>
          <w:bCs/>
          <w:i w:val="false"/>
          <w:iCs w:val="false"/>
          <w:color w:val="222222"/>
          <w:sz w:val="22"/>
          <w:szCs w:val="22"/>
          <w:rtl/>
        </w:rPr>
        <w:t xml:space="preserve">10 </w:t>
      </w:r>
      <w:r>
        <w:rPr>
          <w:rFonts w:ascii="Arial" w:cs="Arial" w:eastAsia="Arial" w:hAnsi="Arial"/>
          <w:b w:val="false"/>
          <w:bCs w:val="false"/>
          <w:i w:val="false"/>
          <w:iCs w:val="false"/>
          <w:color w:val="222222"/>
          <w:sz w:val="22"/>
          <w:szCs w:val="22"/>
          <w:rtl/>
        </w:rPr>
        <w:t xml:space="preserve">חרטת ניצע · </w:t>
      </w:r>
      <w:r>
        <w:rPr>
          <w:rFonts w:ascii="Arial" w:cs="Arial" w:eastAsia="Arial" w:hAnsi="Arial"/>
          <w:b/>
          <w:bCs/>
          <w:i w:val="false"/>
          <w:iCs w:val="false"/>
          <w:color w:val="222222"/>
          <w:sz w:val="22"/>
          <w:szCs w:val="22"/>
          <w:rtl/>
        </w:rPr>
        <w:t xml:space="preserve">11 </w:t>
      </w:r>
      <w:r>
        <w:rPr>
          <w:rFonts w:ascii="Arial" w:cs="Arial" w:eastAsia="Arial" w:hAnsi="Arial"/>
          <w:b w:val="false"/>
          <w:bCs w:val="false"/>
          <w:i w:val="false"/>
          <w:iCs w:val="false"/>
          <w:color w:val="222222"/>
          <w:sz w:val="22"/>
          <w:szCs w:val="22"/>
          <w:rtl/>
        </w:rPr>
        <w:t xml:space="preserve">קיבול תוך שינוי · </w:t>
      </w:r>
      <w:r>
        <w:rPr>
          <w:rFonts w:ascii="Arial" w:cs="Arial" w:eastAsia="Arial" w:hAnsi="Arial"/>
          <w:b/>
          <w:bCs/>
          <w:i w:val="false"/>
          <w:iCs w:val="false"/>
          <w:color w:val="222222"/>
          <w:sz w:val="22"/>
          <w:szCs w:val="22"/>
          <w:rtl/>
        </w:rPr>
        <w:t xml:space="preserve">12 </w:t>
      </w:r>
      <w:r>
        <w:rPr>
          <w:rFonts w:ascii="Arial" w:cs="Arial" w:eastAsia="Arial" w:hAnsi="Arial"/>
          <w:b w:val="false"/>
          <w:bCs w:val="false"/>
          <w:i w:val="false"/>
          <w:iCs w:val="false"/>
          <w:color w:val="222222"/>
          <w:sz w:val="22"/>
          <w:szCs w:val="22"/>
          <w:rtl/>
        </w:rPr>
        <w:t xml:space="preserve">תום לב · </w:t>
      </w:r>
      <w:r>
        <w:rPr>
          <w:rFonts w:ascii="Arial" w:cs="Arial" w:eastAsia="Arial" w:hAnsi="Arial"/>
          <w:b/>
          <w:bCs/>
          <w:i w:val="false"/>
          <w:iCs w:val="false"/>
          <w:color w:val="222222"/>
          <w:sz w:val="22"/>
          <w:szCs w:val="22"/>
          <w:rtl/>
        </w:rPr>
        <w:t xml:space="preserve">14 </w:t>
      </w:r>
      <w:r>
        <w:rPr>
          <w:rFonts w:ascii="Arial" w:cs="Arial" w:eastAsia="Arial" w:hAnsi="Arial"/>
          <w:b w:val="false"/>
          <w:bCs w:val="false"/>
          <w:i w:val="false"/>
          <w:iCs w:val="false"/>
          <w:color w:val="222222"/>
          <w:sz w:val="22"/>
          <w:szCs w:val="22"/>
          <w:rtl/>
        </w:rPr>
        <w:t xml:space="preserve">טעות · </w:t>
      </w:r>
      <w:r>
        <w:rPr>
          <w:rFonts w:ascii="Arial" w:cs="Arial" w:eastAsia="Arial" w:hAnsi="Arial"/>
          <w:b/>
          <w:bCs/>
          <w:i w:val="false"/>
          <w:iCs w:val="false"/>
          <w:color w:val="222222"/>
          <w:sz w:val="22"/>
          <w:szCs w:val="22"/>
          <w:rtl/>
        </w:rPr>
        <w:t xml:space="preserve">15 </w:t>
      </w:r>
      <w:r>
        <w:rPr>
          <w:rFonts w:ascii="Arial" w:cs="Arial" w:eastAsia="Arial" w:hAnsi="Arial"/>
          <w:b w:val="false"/>
          <w:bCs w:val="false"/>
          <w:i w:val="false"/>
          <w:iCs w:val="false"/>
          <w:color w:val="222222"/>
          <w:sz w:val="22"/>
          <w:szCs w:val="22"/>
          <w:rtl/>
        </w:rPr>
        <w:t xml:space="preserve">הטעיה · </w:t>
      </w:r>
      <w:r>
        <w:rPr>
          <w:rFonts w:ascii="Arial" w:cs="Arial" w:eastAsia="Arial" w:hAnsi="Arial"/>
          <w:b/>
          <w:bCs/>
          <w:i w:val="false"/>
          <w:iCs w:val="false"/>
          <w:color w:val="222222"/>
          <w:sz w:val="22"/>
          <w:szCs w:val="22"/>
          <w:rtl/>
        </w:rPr>
        <w:t xml:space="preserve">19 </w:t>
      </w:r>
      <w:r>
        <w:rPr>
          <w:rFonts w:ascii="Arial" w:cs="Arial" w:eastAsia="Arial" w:hAnsi="Arial"/>
          <w:b w:val="false"/>
          <w:bCs w:val="false"/>
          <w:i w:val="false"/>
          <w:iCs w:val="false"/>
          <w:color w:val="222222"/>
          <w:sz w:val="22"/>
          <w:szCs w:val="22"/>
          <w:rtl/>
        </w:rPr>
        <w:t xml:space="preserve">ביטול חלקי · </w:t>
      </w:r>
      <w:r>
        <w:rPr>
          <w:rFonts w:ascii="Arial" w:cs="Arial" w:eastAsia="Arial" w:hAnsi="Arial"/>
          <w:b/>
          <w:bCs/>
          <w:i w:val="false"/>
          <w:iCs w:val="false"/>
          <w:color w:val="222222"/>
          <w:sz w:val="22"/>
          <w:szCs w:val="22"/>
          <w:rtl/>
        </w:rPr>
        <w:t xml:space="preserve">20 </w:t>
      </w:r>
      <w:r>
        <w:rPr>
          <w:rFonts w:ascii="Arial" w:cs="Arial" w:eastAsia="Arial" w:hAnsi="Arial"/>
          <w:b w:val="false"/>
          <w:bCs w:val="false"/>
          <w:i w:val="false"/>
          <w:iCs w:val="false"/>
          <w:color w:val="222222"/>
          <w:sz w:val="22"/>
          <w:szCs w:val="22"/>
          <w:rtl/>
        </w:rPr>
        <w:t xml:space="preserve">דרך הביטול · </w:t>
      </w:r>
      <w:r>
        <w:rPr>
          <w:rFonts w:ascii="Arial" w:cs="Arial" w:eastAsia="Arial" w:hAnsi="Arial"/>
          <w:b/>
          <w:bCs/>
          <w:i w:val="false"/>
          <w:iCs w:val="false"/>
          <w:color w:val="222222"/>
          <w:sz w:val="22"/>
          <w:szCs w:val="22"/>
          <w:rtl/>
        </w:rPr>
        <w:t xml:space="preserve">21 </w:t>
      </w:r>
      <w:r>
        <w:rPr>
          <w:rFonts w:ascii="Arial" w:cs="Arial" w:eastAsia="Arial" w:hAnsi="Arial"/>
          <w:b w:val="false"/>
          <w:bCs w:val="false"/>
          <w:i w:val="false"/>
          <w:iCs w:val="false"/>
          <w:color w:val="222222"/>
          <w:sz w:val="22"/>
          <w:szCs w:val="22"/>
          <w:rtl/>
        </w:rPr>
        <w:t xml:space="preserve">השבה · </w:t>
      </w:r>
      <w:r>
        <w:rPr>
          <w:rFonts w:ascii="Arial" w:cs="Arial" w:eastAsia="Arial" w:hAnsi="Arial"/>
          <w:b/>
          <w:bCs/>
          <w:i w:val="false"/>
          <w:iCs w:val="false"/>
          <w:color w:val="222222"/>
          <w:sz w:val="22"/>
          <w:szCs w:val="22"/>
          <w:rtl/>
        </w:rPr>
        <w:t xml:space="preserve">22 </w:t>
      </w:r>
      <w:r>
        <w:rPr>
          <w:rFonts w:ascii="Arial" w:cs="Arial" w:eastAsia="Arial" w:hAnsi="Arial"/>
          <w:b w:val="false"/>
          <w:bCs w:val="false"/>
          <w:i w:val="false"/>
          <w:iCs w:val="false"/>
          <w:color w:val="222222"/>
          <w:sz w:val="22"/>
          <w:szCs w:val="22"/>
          <w:rtl/>
        </w:rPr>
        <w:t xml:space="preserve">שמירת תרופות · </w:t>
      </w:r>
      <w:r>
        <w:rPr>
          <w:rFonts w:ascii="Arial" w:cs="Arial" w:eastAsia="Arial" w:hAnsi="Arial"/>
          <w:b/>
          <w:bCs/>
          <w:i w:val="false"/>
          <w:iCs w:val="false"/>
          <w:color w:val="222222"/>
          <w:sz w:val="22"/>
          <w:szCs w:val="22"/>
          <w:rtl/>
        </w:rPr>
        <w:t xml:space="preserve">23 </w:t>
      </w:r>
      <w:r>
        <w:rPr>
          <w:rFonts w:ascii="Arial" w:cs="Arial" w:eastAsia="Arial" w:hAnsi="Arial"/>
          <w:b w:val="false"/>
          <w:bCs w:val="false"/>
          <w:i w:val="false"/>
          <w:iCs w:val="false"/>
          <w:color w:val="222222"/>
          <w:sz w:val="22"/>
          <w:szCs w:val="22"/>
          <w:rtl/>
        </w:rPr>
        <w:t xml:space="preserve">צורה · </w:t>
      </w:r>
      <w:r>
        <w:rPr>
          <w:rFonts w:ascii="Arial" w:cs="Arial" w:eastAsia="Arial" w:hAnsi="Arial"/>
          <w:b/>
          <w:bCs/>
          <w:i w:val="false"/>
          <w:iCs w:val="false"/>
          <w:color w:val="222222"/>
          <w:sz w:val="22"/>
          <w:szCs w:val="22"/>
          <w:rtl/>
        </w:rPr>
        <w:t xml:space="preserve">26 </w:t>
      </w:r>
      <w:r>
        <w:rPr>
          <w:rFonts w:ascii="Arial" w:cs="Arial" w:eastAsia="Arial" w:hAnsi="Arial"/>
          <w:b w:val="false"/>
          <w:bCs w:val="false"/>
          <w:i w:val="false"/>
          <w:iCs w:val="false"/>
          <w:color w:val="222222"/>
          <w:sz w:val="22"/>
          <w:szCs w:val="22"/>
          <w:rtl/>
        </w:rPr>
        <w:t xml:space="preserve">השלמה · </w:t>
      </w:r>
      <w:r>
        <w:rPr>
          <w:rFonts w:ascii="Arial" w:cs="Arial" w:eastAsia="Arial" w:hAnsi="Arial"/>
          <w:b/>
          <w:bCs/>
          <w:i w:val="false"/>
          <w:iCs w:val="false"/>
          <w:color w:val="222222"/>
          <w:sz w:val="22"/>
          <w:szCs w:val="22"/>
          <w:rtl/>
        </w:rPr>
        <w:t xml:space="preserve">30 </w:t>
      </w:r>
      <w:r>
        <w:rPr>
          <w:rFonts w:ascii="Arial" w:cs="Arial" w:eastAsia="Arial" w:hAnsi="Arial"/>
          <w:b w:val="false"/>
          <w:bCs w:val="false"/>
          <w:i w:val="false"/>
          <w:iCs w:val="false"/>
          <w:color w:val="222222"/>
          <w:sz w:val="22"/>
          <w:szCs w:val="22"/>
          <w:rtl/>
        </w:rPr>
        <w:t xml:space="preserve">חוזה פסול</w:t>
      </w:r>
    </w:p>
    <w:p>
      <w:pPr>
        <w:pStyle w:val="Heading3"/>
        <w:keepNext/>
        <w:bidi/>
        <w:spacing w:after="80" w:before="140" w:line="276"/>
      </w:pPr>
      <w:r>
        <w:rPr>
          <w:rFonts w:ascii="Arial" w:cs="Arial" w:eastAsia="Arial" w:hAnsi="Arial"/>
          <w:b/>
          <w:bCs/>
          <w:i w:val="false"/>
          <w:iCs w:val="false"/>
          <w:color w:val="404040"/>
          <w:sz w:val="23"/>
          <w:szCs w:val="23"/>
          <w:rtl/>
        </w:rPr>
        <w:t xml:space="preserve">4 · אזהרת "מילים מוחלטות"</w:t>
      </w:r>
    </w:p>
    <w:p>
      <w:pPr>
        <w:shd w:fill="FFF6E0" w:val="clear"/>
        <w:bidi/>
        <w:spacing w:after="120" w:before="0" w:line="276"/>
        <w:ind w:left="150" w:right="150"/>
      </w:pPr>
      <w:r>
        <w:rPr>
          <w:rFonts w:ascii="Arial" w:cs="Arial" w:eastAsia="Arial" w:hAnsi="Arial"/>
          <w:b/>
          <w:bCs/>
          <w:i w:val="false"/>
          <w:iCs w:val="false"/>
          <w:color w:val="222222"/>
          <w:sz w:val="22"/>
          <w:szCs w:val="22"/>
          <w:rtl/>
        </w:rPr>
        <w:t xml:space="preserve">ראית "תמיד" / "רק" / "בכל מקרה" / "כל פרט" / "אינו יכול" — עצור. </w:t>
      </w:r>
      <w:r>
        <w:rPr>
          <w:rFonts w:ascii="Arial" w:cs="Arial" w:eastAsia="Arial" w:hAnsi="Arial"/>
          <w:b w:val="false"/>
          <w:bCs w:val="false"/>
          <w:i w:val="false"/>
          <w:iCs w:val="false"/>
          <w:color w:val="222222"/>
          <w:sz w:val="22"/>
          <w:szCs w:val="22"/>
          <w:rtl/>
        </w:rPr>
        <w:t xml:space="preserve">כמעט תמיד ההיגד לא נכון, והחריג הוא בדיוק הנימוק שלך.</w:t>
      </w:r>
    </w:p>
    <w:p>
      <w:r>
        <w:br w:type="page"/>
      </w:r>
    </w:p>
    <w:p>
      <w:pPr>
        <w:pStyle w:val="Heading1"/>
        <w:keepNext/>
        <w:bidi/>
        <w:spacing w:after="160" w:before="240" w:line="276"/>
      </w:pPr>
      <w:r>
        <w:rPr>
          <w:rFonts w:ascii="Arial" w:cs="Arial" w:eastAsia="Arial" w:hAnsi="Arial"/>
          <w:b/>
          <w:bCs/>
          <w:i w:val="false"/>
          <w:iCs w:val="false"/>
          <w:color w:val="1F3864"/>
          <w:sz w:val="32"/>
          <w:szCs w:val="32"/>
          <w:rtl/>
        </w:rPr>
        <w:t xml:space="preserve">חלק א׳ — איך עונים על היגד</w:t>
      </w:r>
    </w:p>
    <w:p>
      <w:pPr>
        <w:bidi/>
        <w:spacing w:after="120" w:before="0" w:line="276"/>
      </w:pPr>
      <w:r>
        <w:rPr>
          <w:rFonts w:ascii="Arial" w:cs="Arial" w:eastAsia="Arial" w:hAnsi="Arial"/>
          <w:b w:val="false"/>
          <w:bCs w:val="false"/>
          <w:i w:val="false"/>
          <w:iCs w:val="false"/>
          <w:color w:val="222222"/>
          <w:sz w:val="22"/>
          <w:szCs w:val="22"/>
          <w:rtl/>
        </w:rPr>
        <w:t xml:space="preserve">בכל היגד עונים בשלושה שלבים קבועים. תשובה טובה היא 2–4 שורות:</w:t>
      </w:r>
    </w:p>
    <w:p>
      <w:pPr>
        <w:pStyle w:val="ListParagraph"/>
        <w:numPr>
          <w:ilvl w:val="0"/>
          <w:numId w:val="3"/>
        </w:numPr>
        <w:bidi/>
        <w:spacing w:after="60" w:line="276"/>
      </w:pPr>
      <w:r>
        <w:rPr>
          <w:rFonts w:ascii="Arial" w:cs="Arial" w:eastAsia="Arial" w:hAnsi="Arial"/>
          <w:b/>
          <w:bCs/>
          <w:i w:val="false"/>
          <w:iCs w:val="false"/>
          <w:color w:val="222222"/>
          <w:sz w:val="22"/>
          <w:szCs w:val="22"/>
          <w:rtl/>
        </w:rPr>
        <w:t xml:space="preserve">פסיקה חד-משמעית: </w:t>
      </w:r>
      <w:r>
        <w:rPr>
          <w:rFonts w:ascii="Arial" w:cs="Arial" w:eastAsia="Arial" w:hAnsi="Arial"/>
          <w:b w:val="false"/>
          <w:bCs w:val="false"/>
          <w:i w:val="false"/>
          <w:iCs w:val="false"/>
          <w:color w:val="222222"/>
          <w:sz w:val="22"/>
          <w:szCs w:val="22"/>
          <w:rtl/>
        </w:rPr>
        <w:t xml:space="preserve">"נכון" או "לא נכון". בלי "תלוי" — אם יש חריג רלוונטי, ההיגד בדרך כלל "לא נכון" ומסבירים את החריג.</w:t>
      </w:r>
    </w:p>
    <w:p>
      <w:pPr>
        <w:pStyle w:val="ListParagraph"/>
        <w:numPr>
          <w:ilvl w:val="0"/>
          <w:numId w:val="3"/>
        </w:numPr>
        <w:bidi/>
        <w:spacing w:after="60" w:line="276"/>
      </w:pPr>
      <w:r>
        <w:rPr>
          <w:rFonts w:ascii="Arial" w:cs="Arial" w:eastAsia="Arial" w:hAnsi="Arial"/>
          <w:b/>
          <w:bCs/>
          <w:i w:val="false"/>
          <w:iCs w:val="false"/>
          <w:color w:val="222222"/>
          <w:sz w:val="22"/>
          <w:szCs w:val="22"/>
          <w:rtl/>
        </w:rPr>
        <w:t xml:space="preserve">הכלל המשפטי + מקור: </w:t>
      </w:r>
      <w:r>
        <w:rPr>
          <w:rFonts w:ascii="Arial" w:cs="Arial" w:eastAsia="Arial" w:hAnsi="Arial"/>
          <w:b w:val="false"/>
          <w:bCs w:val="false"/>
          <w:i w:val="false"/>
          <w:iCs w:val="false"/>
          <w:color w:val="222222"/>
          <w:sz w:val="22"/>
          <w:szCs w:val="22"/>
          <w:rtl/>
        </w:rPr>
        <w:t xml:space="preserve">הכלל בקצרה עם מספר הסעיף המדויק (כולל סעיף קטן: 3(ב), 6(א), 14(ד)...) או שם פסק הדין אם נלמד.</w:t>
      </w:r>
    </w:p>
    <w:p>
      <w:pPr>
        <w:pStyle w:val="ListParagraph"/>
        <w:numPr>
          <w:ilvl w:val="0"/>
          <w:numId w:val="3"/>
        </w:numPr>
        <w:bidi/>
        <w:spacing w:after="60" w:line="276"/>
      </w:pPr>
      <w:r>
        <w:rPr>
          <w:rFonts w:ascii="Arial" w:cs="Arial" w:eastAsia="Arial" w:hAnsi="Arial"/>
          <w:b/>
          <w:bCs/>
          <w:i w:val="false"/>
          <w:iCs w:val="false"/>
          <w:color w:val="222222"/>
          <w:sz w:val="22"/>
          <w:szCs w:val="22"/>
          <w:rtl/>
        </w:rPr>
        <w:t xml:space="preserve">יישום קצר: </w:t>
      </w:r>
      <w:r>
        <w:rPr>
          <w:rFonts w:ascii="Arial" w:cs="Arial" w:eastAsia="Arial" w:hAnsi="Arial"/>
          <w:b w:val="false"/>
          <w:bCs w:val="false"/>
          <w:i w:val="false"/>
          <w:iCs w:val="false"/>
          <w:color w:val="222222"/>
          <w:sz w:val="22"/>
          <w:szCs w:val="22"/>
          <w:rtl/>
        </w:rPr>
        <w:t xml:space="preserve">משפט אחד שמחבר את הכלל לעובדות ההיגד ("ולכן...").</w:t>
      </w:r>
    </w:p>
    <w:p>
      <w:pPr>
        <w:pStyle w:val="Heading3"/>
        <w:keepNext/>
        <w:bidi/>
        <w:spacing w:after="80" w:before="140" w:line="276"/>
      </w:pPr>
      <w:r>
        <w:rPr>
          <w:rFonts w:ascii="Arial" w:cs="Arial" w:eastAsia="Arial" w:hAnsi="Arial"/>
          <w:b/>
          <w:bCs/>
          <w:i w:val="false"/>
          <w:iCs w:val="false"/>
          <w:color w:val="404040"/>
          <w:sz w:val="23"/>
          <w:szCs w:val="23"/>
          <w:rtl/>
        </w:rPr>
        <w:t xml:space="preserve">תבנית מוכנה לכתיבה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לא נכון. לפי סעיף ___ לחוק החוזים (חלק כללי), הכלל הוא ש-___. בענייננו ___, ולכן ההיגד אינו נכון.</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נכון. לפי סעיף ___ / פס"ד ___, ___. בענייננו ___, ולכן ההיגד נכון.</w:t>
      </w:r>
    </w:p>
    <w:p>
      <w:pPr>
        <w:pStyle w:val="Heading3"/>
        <w:keepNext/>
        <w:bidi/>
        <w:spacing w:after="80" w:before="140" w:line="276"/>
      </w:pPr>
      <w:r>
        <w:rPr>
          <w:rFonts w:ascii="Arial" w:cs="Arial" w:eastAsia="Arial" w:hAnsi="Arial"/>
          <w:b/>
          <w:bCs/>
          <w:i w:val="false"/>
          <w:iCs w:val="false"/>
          <w:color w:val="404040"/>
          <w:sz w:val="23"/>
          <w:szCs w:val="23"/>
          <w:rtl/>
        </w:rPr>
        <w:t xml:space="preserve">דוגמה לתשובת מופת (מהיגדי התרגול של הקורס)</w:t>
      </w:r>
    </w:p>
    <w:p>
      <w:pPr>
        <w:bidi/>
        <w:spacing w:after="120" w:before="0" w:line="276"/>
      </w:pPr>
      <w:r>
        <w:rPr>
          <w:rFonts w:ascii="Arial" w:cs="Arial" w:eastAsia="Arial" w:hAnsi="Arial"/>
          <w:b/>
          <w:bCs/>
          <w:i w:val="false"/>
          <w:iCs w:val="false"/>
          <w:color w:val="222222"/>
          <w:sz w:val="22"/>
          <w:szCs w:val="22"/>
          <w:rtl/>
        </w:rPr>
        <w:t xml:space="preserve">ההיגד: </w:t>
      </w:r>
      <w:r>
        <w:rPr>
          <w:rFonts w:ascii="Arial" w:cs="Arial" w:eastAsia="Arial" w:hAnsi="Arial"/>
          <w:b w:val="false"/>
          <w:bCs w:val="false"/>
          <w:i w:val="false"/>
          <w:iCs w:val="false"/>
          <w:color w:val="222222"/>
          <w:sz w:val="22"/>
          <w:szCs w:val="22"/>
          <w:rtl/>
        </w:rPr>
        <w:t xml:space="preserve">"מודעה הקובעת כי התמורה הנדרשת עבור רכב היא בהתאם למחירון לוי יצחק אינה נחשבת להצעה כיוון שאין מסוימות."</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לא נכון. לפי סעיף 2 לחוק החוזים, פנייה היא הצעה אם יש בה גמירת דעת ומסוימות, ודרישת המסוימות מסתפקת בעיקרי הדברים. הפניה למחירון שקולה לנקיבת מחיר, ולכן יש מסוימות ומדובר בהצעה.</w:t>
      </w:r>
    </w:p>
    <w:p>
      <w:r>
        <w:br w:type="page"/>
      </w:r>
    </w:p>
    <w:p>
      <w:pPr>
        <w:pStyle w:val="Heading1"/>
        <w:keepNext/>
        <w:bidi/>
        <w:spacing w:after="160" w:before="240" w:line="276"/>
      </w:pPr>
      <w:r>
        <w:rPr>
          <w:rFonts w:ascii="Arial" w:cs="Arial" w:eastAsia="Arial" w:hAnsi="Arial"/>
          <w:b/>
          <w:bCs/>
          <w:i w:val="false"/>
          <w:iCs w:val="false"/>
          <w:color w:val="1F3864"/>
          <w:sz w:val="32"/>
          <w:szCs w:val="32"/>
          <w:rtl/>
        </w:rPr>
        <w:t xml:space="preserve">חלק ב׳ — טבלת שליפה מהירה: סעיפי החוק</w:t>
      </w:r>
    </w:p>
    <w:p>
      <w:pPr>
        <w:bidi/>
        <w:spacing w:after="80" w:before="0" w:line="276"/>
      </w:pPr>
      <w:r>
        <w:rPr>
          <w:rFonts w:ascii="Arial" w:cs="Arial" w:eastAsia="Arial" w:hAnsi="Arial"/>
          <w:b/>
          <w:bCs/>
          <w:i w:val="false"/>
          <w:iCs w:val="false"/>
          <w:color w:val="2E5395"/>
          <w:sz w:val="24"/>
          <w:szCs w:val="24"/>
          <w:rtl/>
        </w:rPr>
        <w:t xml:space="preserve">חוק החוזים (חלק כללי), התשל"ג-1973</w:t>
      </w:r>
    </w:p>
    <w:tbl>
      <w:tblPr>
        <w:bidiVisual/>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
        <w:gridCol w:w="5592"/>
        <w:gridCol w:w="2526"/>
      </w:tblGrid>
      <w:tr>
        <w:trPr>
          <w:tblHeader/>
        </w:trPr>
        <w:tc>
          <w:tcPr>
            <w:tcW w:type="dxa" w:w="902"/>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סעיף</w:t>
            </w:r>
          </w:p>
        </w:tc>
        <w:tc>
          <w:tcPr>
            <w:tcW w:type="dxa" w:w="5592"/>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הכלל</w:t>
            </w:r>
          </w:p>
        </w:tc>
        <w:tc>
          <w:tcPr>
            <w:tcW w:type="dxa" w:w="2526"/>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מילות מפתח</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חוזה נכרת בדרך של הצעה וקיבול.</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חוזה = הצעה + קיבול</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2</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הצעה = פנייה המעידה על גמירת דעת + מסוימות (עיקרי הדברים). הפנייה יכולה להיות לציבור. חסר אחד מהיסודות — זו רק הזמנה להציע הצעות.</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פנייה, גמירת דעת, מסוימות</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3(א)</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המציע רשאי לחזור בו בהודעה לניצע, ובלבד שהודעת החזרה נמסרה לניצע לפני שנתן הודעת קיבול.</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חרטת מציע — עד הקיבול</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3(ב)</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הצעה "ללא חזרה" או עם מועד לקיבול — אין לחזור ממנה אחרי שנמסרה לניצע (לפני שנמסרה — אפשר).</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הצעה בלתי הדירה</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4</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ההצעה פוקעת: (1) דחייה מפורשת ואקטיבית (נוה עם נ׳ יעקבסון) או חלוף המועד/זמן סביר; (2) מות/פסלות דין/צו נכסים/צו פירוק של המציע או הניצע — לפני מתן הודעת הקיבול.</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פקיעת הצעה, מוות</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5</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קיבול = הודעת הניצע שנמסרה למציע והמעידה על גמירת דעתו — תואם להצעה ונעשה על יסוד ההצעה.</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קיבול בהודעה</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6(א)</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קיבול במעשה לביצוע החוזה או בהתנהגות אחרת — רק אם דרך זו נקבעה ע"י המציע או משתמעת מן ההצעה (שג"מ חניונים). לעניין ס׳ 3(א) ו-4(2) ההתנהגות דינה כהודעת קיבול.</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קיבול בהתנהגות</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6(ב)</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קביעת המציע שהעדר תגובה (שתיקה) ייחשב קיבול — אין לה תוקף. הברירה בידי הניצע להסכים.</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שתיקה אינה קיבול</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7</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הצעה מזכה (כל-כולה לטובת הניצע, נקייה מחיובים ומתנאים) — חזקת קיבול בשתיקה; הניצע מבטל את החזקה בהודעת התנגדות תוך זמן סביר.</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חזקת קיבול</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8(א)</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קיבול רק תוך התקופה שנקבעה, ובאין תקופה — תוך זמן סביר (לפי טיב ההצעה ונסיבותיה).</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מועד הקיבול</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8(ב)</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קיבול שנשלח בזמן אך איחר מסיבה שאינה תלויה בניצע — נכרת חוזה, אלא אם המציע הודיע מיד על דחיית הקיבול.</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תקלת תקשורת</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9</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קיבול לאחר פקיעה — כמוהו כהצעה חדשה.</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קיבול מאוחר</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10</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הניצע רשאי לחזור בו אם הודעת החזרה נמסרה למציע לא לאחר הודעת הקיבול (לפני או יחד — החזרה גוברת).</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חרטת ניצע</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11</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קיבול עם תוספת, הגבלה או שינוי — כמוהו כהצעה חדשה (הניצע הופך למציע). הוספת תנאים אחרי כריתה — רק בהסכמת שניהם.</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קיבול תוך שינוי</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12(א)</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תום לב במו"מ: מרגע הקשר הראשון ועד כריתה או סיום הקשר; חל על כל מי שנטל חלק במו"מ (צד, עובד, מתווך); סטנדרט אובייקטיבי.</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תום לב במו"מ</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12(ב)</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הסעד: פיצויי הסתמכות (שליליים); חריג — פיצויי קיום כשכל תנאי העסקה סוכמו (קל בניין); לעיתים אכיפה (זפניק). ניתן לתבוע גם בלי ביטול וגם כשנכרת חוזה.</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פיצויים — לא ביטול</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14(א)</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 ידועה: הצד השני ידע או היה עליו לדעת (ידיעה בפועל או בכוח) — הטועה רשאי לבטל בעצמו בהודעה.</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 ידועה</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14(ב)</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 לא ידועה: רק בית המשפט רשאי לבטל, משיקולי צדק (נזק מול תועלת, רשלנות, אשם תורם), ורשאי לחייב את הטועה בפיצויים.</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 לא ידועה</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14(ג)</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אין ביטול אם ניתן לקיים את החוזה בתיקון הטעות והצד השני הודיע לפני הביטול שמוכן לתקן.</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תיקון במקום ביטול</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14(ד)</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 = בעובדה או בחוק, למעט טעות שאינה אלא בכדאיות העסקה — סיכון שנטל צד במודע (מפורש או מכללא) והתממש. טעות מתייחסת להווה או לעבר; ציפייה לעתיד = כדאיות.</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כדאיות העסקה</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15</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הטעיה — מצג שווא/אי-גילוי שחובה לגלות (לפי דין, נוהג או נסיבות), ע"י הצד השני או מטעמו; קשר סיבתי כפול — ביטול עצמי. [צפוי להילמד ב-1.9]</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הטעיה</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19</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ביטול חלקי: חוזה הניתן להפרדה והעילה נוגעת לחלק — מבטלים אותו בלבד; אם לא היה מתקשר בלעדיו — ניתן לבטל הכול (די וורולי סיאני).</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ביטול חלקי</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20</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דרך הביטול: הודעה (אף משתמעת) תוך זמן סביר מגילוי העילה; בכפייה — משפסקה הכפייה.</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זמן סביר</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21</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השבה הדדית לאחר ביטול: השבה בעין, ואם בלתי אפשרית/בלתי סבירה — השבת שווי.</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השבה</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22</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שמירת תרופות: הביטול וההשבה אינם גורעים מתרופות אחרות — אפשר לצרף פיצויי ס׳ 12 על חוסר תום לב.</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שמירת תרופות</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23</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חופש הצורה: בכתב, בעל פה או בצורה אחרת — אלא אם חוק או הסכם קובעים צורה כתנאי לתוקף.</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חופש הצורה</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24</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חופש התוכן: תוכן החוזה ככל שהסכימו הצדדים.</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חופש התוכן</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26</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השלמת פרטים שאינם עיקרי הדברים: נוהג קיים בין הצדדים ← נוהג מקובל בחוזים מאותו סוג ← הוראות החוק המשלימות.</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השלמה</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41–50</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סעיפי ההשלמה שבחוק: 41 — מועד הקיום; 44 — מקום הקיום; 45 — השלמה בבינוניות (נכס/שירות מסוג בינוני); 46 — תמורה בסכום ראוי.</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השלמה מכוח חוק</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30</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חוזה שכריתתו, תוכנו או מטרתו בלתי חוקיים / בלתי מוסריים / נוגדים את תקנת הציבור — בטל (מעצמו, לא "ניתן לביטול").</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חוזה פסול — בטל</w:t>
            </w:r>
          </w:p>
        </w:tc>
      </w:tr>
      <w:tr>
        <w:tc>
          <w:tcPr>
            <w:tcW w:type="dxa" w:w="90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39</w:t>
            </w:r>
          </w:p>
        </w:tc>
        <w:tc>
          <w:tcPr>
            <w:tcW w:type="dxa" w:w="559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תום לב חל גם על קיום החוזה והשימוש בזכויות הנובעות ממנו (המשכו של ס׳ 12 לתוך תקופת החוזה).</w:t>
            </w:r>
          </w:p>
        </w:tc>
        <w:tc>
          <w:tcPr>
            <w:tcW w:type="dxa" w:w="252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תום לב בקיום</w:t>
            </w:r>
          </w:p>
        </w:tc>
      </w:tr>
      <w:tr>
        <w:tc>
          <w:tcPr>
            <w:tcW w:type="dxa" w:w="90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60</w:t>
            </w:r>
          </w:p>
        </w:tc>
        <w:tc>
          <w:tcPr>
            <w:tcW w:type="dxa" w:w="559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מתן הודעה: הודעה לפי החוק תינתן בדרך שקבעו הצדדים, ובאין קביעה — בדרך המקובלת בנסיבות. הודעה נמסרת בהגעתה לנמען או למענו.</w:t>
            </w:r>
          </w:p>
        </w:tc>
        <w:tc>
          <w:tcPr>
            <w:tcW w:type="dxa" w:w="252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הגעת הודעה</w:t>
            </w:r>
          </w:p>
        </w:tc>
      </w:tr>
    </w:tbl>
    <w:p>
      <w:pPr>
        <w:bidi/>
        <w:spacing w:after="80"/>
      </w:pPr>
    </w:p>
    <w:p>
      <w:pPr>
        <w:bidi/>
        <w:spacing w:after="80" w:before="0" w:line="276"/>
      </w:pPr>
      <w:r>
        <w:rPr>
          <w:rFonts w:ascii="Arial" w:cs="Arial" w:eastAsia="Arial" w:hAnsi="Arial"/>
          <w:b/>
          <w:bCs/>
          <w:i w:val="false"/>
          <w:iCs w:val="false"/>
          <w:color w:val="2E5395"/>
          <w:sz w:val="24"/>
          <w:szCs w:val="24"/>
          <w:rtl/>
        </w:rPr>
        <w:t xml:space="preserve">חוקים משיקים</w:t>
      </w:r>
    </w:p>
    <w:tbl>
      <w:tblPr>
        <w:bidiVisual/>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7036"/>
      </w:tblGrid>
      <w:tr>
        <w:trPr>
          <w:tblHeader/>
        </w:trPr>
        <w:tc>
          <w:tcPr>
            <w:tcW w:type="dxa" w:w="1984"/>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מקור</w:t>
            </w:r>
          </w:p>
        </w:tc>
        <w:tc>
          <w:tcPr>
            <w:tcW w:type="dxa" w:w="7036"/>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הכלל</w:t>
            </w:r>
          </w:p>
        </w:tc>
      </w:tr>
      <w:tr>
        <w:tc>
          <w:tcPr>
            <w:tcW w:type="dxa" w:w="198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ס׳ 8 לחוק המקרקעין</w:t>
            </w:r>
          </w:p>
        </w:tc>
        <w:tc>
          <w:tcPr>
            <w:tcW w:type="dxa" w:w="703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התחייבות לעשות עסקה במקרקעין טעונה מסמך בכתב (דרישת כתב מהותית — חריג לחופש הצורה).</w:t>
            </w:r>
          </w:p>
        </w:tc>
      </w:tr>
      <w:tr>
        <w:tc>
          <w:tcPr>
            <w:tcW w:type="dxa" w:w="198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ס׳ 5(א) לחוק המתנה</w:t>
            </w:r>
          </w:p>
        </w:tc>
        <w:tc>
          <w:tcPr>
            <w:tcW w:type="dxa" w:w="703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התחייבות לתת מתנה בעתיד טעונה מסמך בכתב.</w:t>
            </w:r>
          </w:p>
        </w:tc>
      </w:tr>
      <w:tr>
        <w:tc>
          <w:tcPr>
            <w:tcW w:type="dxa" w:w="198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חוק הכשרות ס׳ 2</w:t>
            </w:r>
          </w:p>
        </w:tc>
        <w:tc>
          <w:tcPr>
            <w:tcW w:type="dxa" w:w="703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כל אדם כשר לפעולות משפטיות, זולת אם נשללה/הוגבלה כשרותו בחוק או בפסק דין.</w:t>
            </w:r>
          </w:p>
        </w:tc>
      </w:tr>
      <w:tr>
        <w:tc>
          <w:tcPr>
            <w:tcW w:type="dxa" w:w="198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שם, ס׳ 3</w:t>
            </w:r>
          </w:p>
        </w:tc>
        <w:tc>
          <w:tcPr>
            <w:tcW w:type="dxa" w:w="703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קטין = מי שטרם מלאו לו 18; בגיר = מי שמלאו לו 18.</w:t>
            </w:r>
          </w:p>
        </w:tc>
      </w:tr>
      <w:tr>
        <w:tc>
          <w:tcPr>
            <w:tcW w:type="dxa" w:w="198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שם, ס׳ 4</w:t>
            </w:r>
          </w:p>
        </w:tc>
        <w:tc>
          <w:tcPr>
            <w:tcW w:type="dxa" w:w="7036"/>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פעולה משפטית של קטין טעונה הסכמת נציגו (מראש או למפרע).</w:t>
            </w:r>
          </w:p>
        </w:tc>
      </w:tr>
      <w:tr>
        <w:tc>
          <w:tcPr>
            <w:tcW w:type="dxa" w:w="198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שם, ס׳ 5</w:t>
            </w:r>
          </w:p>
        </w:tc>
        <w:tc>
          <w:tcPr>
            <w:tcW w:type="dxa" w:w="7036"/>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פעולה ללא הסכמה — ביטול ע"י הנציג/היועמ"ש תוך חודש מהיוודע, או ע"י הקטין תוך חודש מבגרותו.</w:t>
            </w:r>
          </w:p>
        </w:tc>
      </w:tr>
    </w:tbl>
    <w:p>
      <w:pPr>
        <w:bidi/>
        <w:spacing w:after="80"/>
      </w:pPr>
    </w:p>
    <w:p>
      <w:pPr>
        <w:shd w:fill="FFF6E0" w:val="clear"/>
        <w:bidi/>
        <w:spacing w:after="120" w:before="0" w:line="276"/>
        <w:ind w:left="150" w:right="150"/>
      </w:pPr>
      <w:r>
        <w:rPr>
          <w:rFonts w:ascii="Arial" w:cs="Arial" w:eastAsia="Arial" w:hAnsi="Arial"/>
          <w:b/>
          <w:bCs/>
          <w:i w:val="false"/>
          <w:iCs w:val="false"/>
          <w:color w:val="222222"/>
          <w:sz w:val="22"/>
          <w:szCs w:val="22"/>
          <w:rtl/>
        </w:rPr>
        <w:t xml:space="preserve">הגדרות מדויקות (משקפי החזרה של הקורס — חשוב להיגדי מועדים!): </w:t>
      </w:r>
      <w:r>
        <w:rPr>
          <w:rFonts w:ascii="Arial" w:cs="Arial" w:eastAsia="Arial" w:hAnsi="Arial"/>
          <w:b w:val="false"/>
          <w:bCs w:val="false"/>
          <w:i w:val="false"/>
          <w:iCs w:val="false"/>
          <w:color w:val="222222"/>
          <w:sz w:val="22"/>
          <w:szCs w:val="22"/>
          <w:rtl/>
        </w:rPr>
        <w:t xml:space="preserve">"מסירת הצעה" = רגע הגעת ההצעה לניצע או למענו; "מתן הודעת קיבול" = רגע אמירת ה"כן" או משלוח ה"כן"; "מסירת הודעת קיבול" = רגע הגעת ה"כן" למציע. ס׳ 3(א) חוסם חרטת מציע במתן הקיבול; ס׳ 10 דורש שהחזרה תימסר לא אחרי שנמסרה הודעת הקיבול.</w:t>
      </w:r>
    </w:p>
    <w:p>
      <w:r>
        <w:br w:type="page"/>
      </w:r>
    </w:p>
    <w:p>
      <w:pPr>
        <w:pStyle w:val="Heading1"/>
        <w:keepNext/>
        <w:bidi/>
        <w:spacing w:after="160" w:before="240" w:line="276"/>
      </w:pPr>
      <w:r>
        <w:rPr>
          <w:rFonts w:ascii="Arial" w:cs="Arial" w:eastAsia="Arial" w:hAnsi="Arial"/>
          <w:b/>
          <w:bCs/>
          <w:i w:val="false"/>
          <w:iCs w:val="false"/>
          <w:color w:val="1F3864"/>
          <w:sz w:val="32"/>
          <w:szCs w:val="32"/>
          <w:rtl/>
        </w:rPr>
        <w:t xml:space="preserve">חלק ג׳ — טבלאות פסקי דין</w:t>
      </w:r>
    </w:p>
    <w:p>
      <w:pPr>
        <w:bidi/>
        <w:spacing w:after="80" w:before="0" w:line="276"/>
      </w:pPr>
      <w:r>
        <w:rPr>
          <w:rFonts w:ascii="Arial" w:cs="Arial" w:eastAsia="Arial" w:hAnsi="Arial"/>
          <w:b/>
          <w:bCs/>
          <w:i w:val="false"/>
          <w:iCs w:val="false"/>
          <w:color w:val="2E5395"/>
          <w:sz w:val="24"/>
          <w:szCs w:val="24"/>
          <w:rtl/>
        </w:rPr>
        <w:t xml:space="preserve">פסקי הדין מהמצגות הרשמיות (אלה שצפוי לצטט בנימוק)</w:t>
      </w:r>
    </w:p>
    <w:tbl>
      <w:tblPr>
        <w:bidiVisual/>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5"/>
        <w:gridCol w:w="1624"/>
        <w:gridCol w:w="5232"/>
      </w:tblGrid>
      <w:tr>
        <w:trPr>
          <w:tblHeader/>
        </w:trPr>
        <w:tc>
          <w:tcPr>
            <w:tcW w:type="dxa" w:w="2165"/>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פסק דין</w:t>
            </w:r>
          </w:p>
        </w:tc>
        <w:tc>
          <w:tcPr>
            <w:tcW w:type="dxa" w:w="1624"/>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נושא</w:t>
            </w:r>
          </w:p>
        </w:tc>
        <w:tc>
          <w:tcPr>
            <w:tcW w:type="dxa" w:w="5232"/>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ההלכה בקצרה</w:t>
            </w:r>
          </w:p>
        </w:tc>
      </w:tr>
      <w:tr>
        <w:tc>
          <w:tcPr>
            <w:tcW w:type="dxa" w:w="216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ע"א 1932/90 פרץ בוני הנגב נ׳ בוחבוט</w:t>
            </w:r>
          </w:p>
        </w:tc>
        <w:tc>
          <w:tcPr>
            <w:tcW w:type="dxa" w:w="162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גמירת דעת</w:t>
            </w:r>
          </w:p>
        </w:tc>
        <w:tc>
          <w:tcPr>
            <w:tcW w:type="dxa" w:w="523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מבחן אובייקטיבי מרוכך: לא אדם זר, אלא "מתקשר סביר במעמדם" של הצדדים — האם ממעשיהם, דבריהם והתנהגותם היה מסיק שגמרו בדעתם לכרות חוזה.</w:t>
            </w:r>
          </w:p>
        </w:tc>
      </w:tr>
      <w:tr>
        <w:tc>
          <w:tcPr>
            <w:tcW w:type="dxa" w:w="216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ע"א 440/75 זנדבנק נ׳ דנציגר</w:t>
            </w:r>
          </w:p>
        </w:tc>
        <w:tc>
          <w:tcPr>
            <w:tcW w:type="dxa" w:w="162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מסוימות</w:t>
            </w:r>
          </w:p>
        </w:tc>
        <w:tc>
          <w:tcPr>
            <w:tcW w:type="dxa" w:w="523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ההצעה צריכה להיות מלאה ומדויקת במידה מספקת, כך שעם הקיבול ייכרת חוזה שניתן לקיימו.</w:t>
            </w:r>
          </w:p>
        </w:tc>
      </w:tr>
      <w:tr>
        <w:tc>
          <w:tcPr>
            <w:tcW w:type="dxa" w:w="216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נוה עם נ׳ יעקבסון</w:t>
            </w:r>
          </w:p>
        </w:tc>
        <w:tc>
          <w:tcPr>
            <w:tcW w:type="dxa" w:w="162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דחיית הצעה</w:t>
            </w:r>
          </w:p>
        </w:tc>
        <w:tc>
          <w:tcPr>
            <w:tcW w:type="dxa" w:w="523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דחייה מפקיעה הצעה רק אם היא מפורשת ואקטיבית; יש להבחין בינה לבין אמירות לבירור מידע או לשיפור ההצעה.</w:t>
            </w:r>
          </w:p>
        </w:tc>
      </w:tr>
      <w:tr>
        <w:tc>
          <w:tcPr>
            <w:tcW w:type="dxa" w:w="216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שג"מ חניונים</w:t>
            </w:r>
          </w:p>
        </w:tc>
        <w:tc>
          <w:tcPr>
            <w:tcW w:type="dxa" w:w="162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קיבול בהתנהגות</w:t>
            </w:r>
          </w:p>
        </w:tc>
        <w:tc>
          <w:tcPr>
            <w:tcW w:type="dxa" w:w="523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כניסה לחניון בתשלום = קיבול במעשה לביצוע החוזה (ס׳ 6(א)) — אין להתווכח על המחיר בדיעבד.</w:t>
            </w:r>
          </w:p>
        </w:tc>
      </w:tr>
      <w:tr>
        <w:tc>
          <w:tcPr>
            <w:tcW w:type="dxa" w:w="216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ע"א 7824/95 תשובה נ׳ בר נתן</w:t>
            </w:r>
          </w:p>
        </w:tc>
        <w:tc>
          <w:tcPr>
            <w:tcW w:type="dxa" w:w="162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חזרה מהצעה</w:t>
            </w:r>
          </w:p>
        </w:tc>
        <w:tc>
          <w:tcPr>
            <w:tcW w:type="dxa" w:w="523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המציע התחרט (בטלפון ובפקס) לפני שההצעה שנשלחה בדואר נמסרה לניצע — החזרה תופסת; קיבול מאוחר להצעה שנחזרה אינו כורת חוזה.</w:t>
            </w:r>
          </w:p>
        </w:tc>
      </w:tr>
      <w:tr>
        <w:tc>
          <w:tcPr>
            <w:tcW w:type="dxa" w:w="216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ע"א 158/77 רבינאי נ׳ מן שקד</w:t>
            </w:r>
          </w:p>
        </w:tc>
        <w:tc>
          <w:tcPr>
            <w:tcW w:type="dxa" w:w="162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זיכרון דברים</w:t>
            </w:r>
          </w:p>
        </w:tc>
        <w:tc>
          <w:tcPr>
            <w:tcW w:type="dxa" w:w="523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שני מבחנים מצטברים: כוונה ליצור קשר חוזי מחייב (גמירת דעת) + הסכמה על הפרטים המהותיים (מסוימות). מתקיימים — זיכרון הדברים הוא חוזה, וממלא את דרישת הכתב במקרקעין.</w:t>
            </w:r>
          </w:p>
        </w:tc>
      </w:tr>
      <w:tr>
        <w:tc>
          <w:tcPr>
            <w:tcW w:type="dxa" w:w="216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ע"א 6295/16 קוזלי נ׳ מדינת ישראל (פרשת מג׳די חלבי)</w:t>
            </w:r>
          </w:p>
        </w:tc>
        <w:tc>
          <w:tcPr>
            <w:tcW w:type="dxa" w:w="162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הצעת פרס לציבור</w:t>
            </w:r>
          </w:p>
        </w:tc>
        <w:tc>
          <w:tcPr>
            <w:tcW w:type="dxa" w:w="523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ראו מסגרת מפורטת בחלק ה׳ — 4 המשוכות: ידיעה על ההצעה; קישור בין המעשה לפרס; אין צורך בידיעה ודאית שההתנהגות תזכה; מציאה אקראית אינה שוללת (מבחן "הניצע הסביר"). ההצעה לא פקעה והמדינה לא חזרה בה כדין — הפרס שולם. דנ"א 4165/19 נדחה.</w:t>
            </w:r>
          </w:p>
        </w:tc>
      </w:tr>
      <w:tr>
        <w:tc>
          <w:tcPr>
            <w:tcW w:type="dxa" w:w="216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זעירא זבולון נ׳ קנית</w:t>
            </w:r>
          </w:p>
        </w:tc>
        <w:tc>
          <w:tcPr>
            <w:tcW w:type="dxa" w:w="162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מו"מ מקביל</w:t>
            </w:r>
          </w:p>
        </w:tc>
        <w:tc>
          <w:tcPr>
            <w:tcW w:type="dxa" w:w="523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ניהול מו"מ מקביל עם אחרים נבחן במסגרת חובת תום הלב — הפסול הוא בהסתרה וביצירת מצג כוזב, לא בעצם הקיום המקביל.</w:t>
            </w:r>
          </w:p>
        </w:tc>
      </w:tr>
      <w:tr>
        <w:tc>
          <w:tcPr>
            <w:tcW w:type="dxa" w:w="216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קוט נ׳ ארגון הדיירים</w:t>
            </w:r>
          </w:p>
        </w:tc>
        <w:tc>
          <w:tcPr>
            <w:tcW w:type="dxa" w:w="162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חוסר תום לב</w:t>
            </w:r>
          </w:p>
        </w:tc>
        <w:tc>
          <w:tcPr>
            <w:tcW w:type="dxa" w:w="523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עריכת חוזה בלי כוונה לקיימו, או תוך ידיעה שהחוזה יופר — חוסר תום לב במו"מ.</w:t>
            </w:r>
          </w:p>
        </w:tc>
      </w:tr>
      <w:tr>
        <w:tc>
          <w:tcPr>
            <w:tcW w:type="dxa" w:w="216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פנידר נ׳ קסטרו</w:t>
            </w:r>
          </w:p>
        </w:tc>
        <w:tc>
          <w:tcPr>
            <w:tcW w:type="dxa" w:w="162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חובת גילוי</w:t>
            </w:r>
          </w:p>
        </w:tc>
        <w:tc>
          <w:tcPr>
            <w:tcW w:type="dxa" w:w="523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חובת גילוי עובדות מהותיות במו"מ; היקפה נקבע לפי זהות הצדדים, קלות ועלות השגת המידע ומומחיות הצד השני.</w:t>
            </w:r>
          </w:p>
        </w:tc>
      </w:tr>
      <w:tr>
        <w:tc>
          <w:tcPr>
            <w:tcW w:type="dxa" w:w="216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קל בניין נ׳ ע.ר.מ. רעננה</w:t>
            </w:r>
          </w:p>
        </w:tc>
        <w:tc>
          <w:tcPr>
            <w:tcW w:type="dxa" w:w="162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פיצויי קיום</w:t>
            </w:r>
          </w:p>
        </w:tc>
        <w:tc>
          <w:tcPr>
            <w:tcW w:type="dxa" w:w="523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החריג: כשכל תנאי העסקה סוכמו והפרישה ברגע האחרון נעשתה בחוסר תום לב — נפסקים פיצויי קיום (כאילו נכרת החוזה).</w:t>
            </w:r>
          </w:p>
        </w:tc>
      </w:tr>
      <w:tr>
        <w:tc>
          <w:tcPr>
            <w:tcW w:type="dxa" w:w="216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שיכון עובדים נ׳ זפניק</w:t>
            </w:r>
          </w:p>
        </w:tc>
        <w:tc>
          <w:tcPr>
            <w:tcW w:type="dxa" w:w="162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אכיפה</w:t>
            </w:r>
          </w:p>
        </w:tc>
        <w:tc>
          <w:tcPr>
            <w:tcW w:type="dxa" w:w="523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במקרים נדירים של נסיגה בשלב מתקדם מאוד — בית המשפט עשוי להורות על השלמת העסקה.</w:t>
            </w:r>
          </w:p>
        </w:tc>
      </w:tr>
      <w:tr>
        <w:tc>
          <w:tcPr>
            <w:tcW w:type="dxa" w:w="216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פס"ד רבינוביץ</w:t>
            </w:r>
          </w:p>
        </w:tc>
        <w:tc>
          <w:tcPr>
            <w:tcW w:type="dxa" w:w="162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הגדרת טעות</w:t>
            </w:r>
          </w:p>
        </w:tc>
        <w:tc>
          <w:tcPr>
            <w:tcW w:type="dxa" w:w="523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 היא אמונה של צד לחוזה שאינה תואמת את המציאות" (פרופ׳ שלו, השופט שמגר). הטעות מתייחסת להווה או לעבר בלבד.</w:t>
            </w:r>
          </w:p>
        </w:tc>
      </w:tr>
      <w:tr>
        <w:tc>
          <w:tcPr>
            <w:tcW w:type="dxa" w:w="216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פס"ד בן לולו</w:t>
            </w:r>
          </w:p>
        </w:tc>
        <w:tc>
          <w:tcPr>
            <w:tcW w:type="dxa" w:w="162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כדאיות העסקה</w:t>
            </w:r>
          </w:p>
        </w:tc>
        <w:tc>
          <w:tcPr>
            <w:tcW w:type="dxa" w:w="523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הסכם פשרה עם ויתור על תביעות עתידיות = נטילת סיכון מודע; החמרה מאוחרת היא התממשות הסיכון — טעות בכדאיות בלבד, אין ביטול.</w:t>
            </w:r>
          </w:p>
        </w:tc>
      </w:tr>
      <w:tr>
        <w:tc>
          <w:tcPr>
            <w:tcW w:type="dxa" w:w="216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ע"א 7920/13 כרמל נ׳ טלמון (+דנ"א 2128/16)</w:t>
            </w:r>
          </w:p>
        </w:tc>
        <w:tc>
          <w:tcPr>
            <w:tcW w:type="dxa" w:w="162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כדאיות העסקה</w:t>
            </w:r>
          </w:p>
        </w:tc>
        <w:tc>
          <w:tcPr>
            <w:tcW w:type="dxa" w:w="523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מוכר שהצהיר כי מוכר "AS-IS" והוסיף שאין לו אחריות למצב הממכר — נטל על עצמו את הסיכון למצב התכנוני ולשווי; טעות בשווי = כדאיות, אין ביטול (השופטת חיות).</w:t>
            </w:r>
          </w:p>
        </w:tc>
      </w:tr>
      <w:tr>
        <w:tc>
          <w:tcPr>
            <w:tcW w:type="dxa" w:w="216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פס"ד ספקטור (נ׳ צרפתי)</w:t>
            </w:r>
          </w:p>
        </w:tc>
        <w:tc>
          <w:tcPr>
            <w:tcW w:type="dxa" w:w="162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טעות/גילוי</w:t>
            </w:r>
          </w:p>
        </w:tc>
        <w:tc>
          <w:tcPr>
            <w:tcW w:type="dxa" w:w="523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 עובדתית לגבי נתון אחר המשליכה על שווי הממכר (למשל הפקעה צפויה) איננה "טעות בכדאיות"; נדונה גם חובת הגילוי — ובמחלוקת נפסק שעל קבלן מקצועי היה לבדוק בעצמו.</w:t>
            </w:r>
          </w:p>
        </w:tc>
      </w:tr>
    </w:tbl>
    <w:p>
      <w:pPr>
        <w:bidi/>
        <w:spacing w:after="80"/>
      </w:pPr>
    </w:p>
    <w:p>
      <w:pPr>
        <w:bidi/>
        <w:spacing w:after="80" w:before="0" w:line="276"/>
      </w:pPr>
      <w:r>
        <w:rPr>
          <w:rFonts w:ascii="Arial" w:cs="Arial" w:eastAsia="Arial" w:hAnsi="Arial"/>
          <w:b/>
          <w:bCs/>
          <w:i w:val="false"/>
          <w:iCs w:val="false"/>
          <w:color w:val="666666"/>
          <w:sz w:val="22"/>
          <w:szCs w:val="22"/>
          <w:rtl/>
        </w:rPr>
        <w:t xml:space="preserve">פסקי דין נוספים שסופרו בשיעורים (הכיתה המקבילה) — תוספת העשרה לנימוק</w:t>
      </w:r>
    </w:p>
    <w:tbl>
      <w:tblPr>
        <w:bidiVisual/>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5"/>
        <w:gridCol w:w="1624"/>
        <w:gridCol w:w="5232"/>
      </w:tblGrid>
      <w:tr>
        <w:trPr>
          <w:tblHeader/>
        </w:trPr>
        <w:tc>
          <w:tcPr>
            <w:tcW w:type="dxa" w:w="2165"/>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פסק דין</w:t>
            </w:r>
          </w:p>
        </w:tc>
        <w:tc>
          <w:tcPr>
            <w:tcW w:type="dxa" w:w="1624"/>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נושא</w:t>
            </w:r>
          </w:p>
        </w:tc>
        <w:tc>
          <w:tcPr>
            <w:tcW w:type="dxa" w:w="5232"/>
            <w:shd w:fill="1F3864" w:val="clear"/>
            <w:tcMar>
              <w:top w:type="dxa" w:w="60"/>
              <w:left w:type="dxa" w:w="100"/>
              <w:bottom w:type="dxa" w:w="60"/>
              <w:right w:type="dxa" w:w="100"/>
            </w:tcMar>
            <w:vAlign w:val="center"/>
          </w:tcPr>
          <w:p>
            <w:pPr>
              <w:bidi/>
              <w:spacing w:after="0" w:before="0" w:line="276"/>
            </w:pPr>
            <w:r>
              <w:rPr>
                <w:rFonts w:ascii="Arial" w:cs="Arial" w:eastAsia="Arial" w:hAnsi="Arial"/>
                <w:b/>
                <w:bCs/>
                <w:i w:val="false"/>
                <w:iCs w:val="false"/>
                <w:color w:val="FFFFFF"/>
                <w:sz w:val="21"/>
                <w:szCs w:val="21"/>
                <w:rtl/>
              </w:rPr>
              <w:t xml:space="preserve">ההלכה בקצרה</w:t>
            </w:r>
          </w:p>
        </w:tc>
      </w:tr>
      <w:tr>
        <w:tc>
          <w:tcPr>
            <w:tcW w:type="dxa" w:w="216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סויסה נ׳ זגה</w:t>
            </w:r>
          </w:p>
        </w:tc>
        <w:tc>
          <w:tcPr>
            <w:tcW w:type="dxa" w:w="162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גילוי — איש מקצוע</w:t>
            </w:r>
          </w:p>
        </w:tc>
        <w:tc>
          <w:tcPr>
            <w:tcW w:type="dxa" w:w="523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מתווך שרכש בעצמו קרקע בלי לגלות שינוי ייעוד צפוי — חובת גילוי מוגברת על איש מקצוע; החוזה בוטל ונפסקו פיצויים.</w:t>
            </w:r>
          </w:p>
        </w:tc>
      </w:tr>
      <w:tr>
        <w:tc>
          <w:tcPr>
            <w:tcW w:type="dxa" w:w="216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קלמר נ׳ גיא</w:t>
            </w:r>
          </w:p>
        </w:tc>
        <w:tc>
          <w:tcPr>
            <w:tcW w:type="dxa" w:w="162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תו"ל מול דרישת הכתב</w:t>
            </w:r>
          </w:p>
        </w:tc>
        <w:tc>
          <w:tcPr>
            <w:tcW w:type="dxa" w:w="523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חוסר תום לב קיצוני ("זעקת ההגינות") יכול לגבור על דרישת הכתב שבס׳ 8 לחוק המקרקעין.</w:t>
            </w:r>
          </w:p>
        </w:tc>
      </w:tr>
      <w:tr>
        <w:tc>
          <w:tcPr>
            <w:tcW w:type="dxa" w:w="2165"/>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זהבה כנען נ׳ ממשלת ארה"ב</w:t>
            </w:r>
          </w:p>
        </w:tc>
        <w:tc>
          <w:tcPr>
            <w:tcW w:type="dxa" w:w="1624"/>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 משותפת</w:t>
            </w:r>
          </w:p>
        </w:tc>
        <w:tc>
          <w:tcPr>
            <w:tcW w:type="dxa" w:w="5232"/>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טעות משותפת של שני הצדדים (תמונות יקרות שנמכרו ב-250 ₪) מסווגת למסלול 14(ב) — ביטול בשיקול דעת בית המשפט.</w:t>
            </w:r>
          </w:p>
        </w:tc>
      </w:tr>
      <w:tr>
        <w:tc>
          <w:tcPr>
            <w:tcW w:type="dxa" w:w="2165"/>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שושנה קרן נ׳ דיור לעולה</w:t>
            </w:r>
          </w:p>
        </w:tc>
        <w:tc>
          <w:tcPr>
            <w:tcW w:type="dxa" w:w="1624"/>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כפייה — מקור הלחץ</w:t>
            </w:r>
          </w:p>
        </w:tc>
        <w:tc>
          <w:tcPr>
            <w:tcW w:type="dxa" w:w="5232"/>
            <w:shd w:fill="F2F6FC" w:val="clear"/>
            <w:tcMar>
              <w:top w:type="dxa" w:w="50"/>
              <w:left w:type="dxa" w:w="100"/>
              <w:bottom w:type="dxa" w:w="50"/>
              <w:right w:type="dxa" w:w="100"/>
            </w:tcMar>
          </w:tcPr>
          <w:p>
            <w:pPr>
              <w:bidi/>
              <w:spacing w:after="0" w:before="0" w:line="276"/>
            </w:pPr>
            <w:r>
              <w:rPr>
                <w:rFonts w:ascii="Arial" w:cs="Arial" w:eastAsia="Arial" w:hAnsi="Arial"/>
                <w:b w:val="false"/>
                <w:bCs w:val="false"/>
                <w:i w:val="false"/>
                <w:iCs w:val="false"/>
                <w:color w:val="222222"/>
                <w:sz w:val="20"/>
                <w:szCs w:val="20"/>
                <w:rtl/>
              </w:rPr>
              <w:t xml:space="preserve">לחץ מצד שלישי עצמאי (שכנים) אינו כפייה לפי ס׳ 17 — הכפייה חייבת לבוא מהצד השני או מי מטעמו. [נספח]</w:t>
            </w:r>
          </w:p>
        </w:tc>
      </w:tr>
    </w:tbl>
    <w:p>
      <w:r>
        <w:br w:type="page"/>
      </w:r>
    </w:p>
    <w:p>
      <w:pPr>
        <w:pStyle w:val="Heading1"/>
        <w:keepNext/>
        <w:bidi/>
        <w:spacing w:after="160" w:before="240" w:line="276"/>
      </w:pPr>
      <w:r>
        <w:rPr>
          <w:rFonts w:ascii="Arial" w:cs="Arial" w:eastAsia="Arial" w:hAnsi="Arial"/>
          <w:b/>
          <w:bCs/>
          <w:i w:val="false"/>
          <w:iCs w:val="false"/>
          <w:color w:val="1F3864"/>
          <w:sz w:val="32"/>
          <w:szCs w:val="32"/>
          <w:rtl/>
        </w:rPr>
        <w:t xml:space="preserve">חלק ד׳ — 14 מלכודות קלאסיות בהיגדים</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"בטל" לעומת "ניתן לביטול": </w:t>
      </w:r>
      <w:r>
        <w:rPr>
          <w:rFonts w:ascii="Arial" w:cs="Arial" w:eastAsia="Arial" w:hAnsi="Arial"/>
          <w:b w:val="false"/>
          <w:bCs w:val="false"/>
          <w:i w:val="false"/>
          <w:iCs w:val="false"/>
          <w:color w:val="222222"/>
          <w:sz w:val="22"/>
          <w:szCs w:val="22"/>
          <w:rtl/>
        </w:rPr>
        <w:t xml:space="preserve">חוזה פסול (ס׳ 30) — בטל מעצמו. פגמים ברצון (טעות, הטעיה, כפייה, עושק) — החוזה תקף אך ניתן לביטול ע"י הנפגע (או ביהמ"ש ב-14(ב)) בלבד.</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מילים מוחלטות: </w:t>
      </w:r>
      <w:r>
        <w:rPr>
          <w:rFonts w:ascii="Arial" w:cs="Arial" w:eastAsia="Arial" w:hAnsi="Arial"/>
          <w:b w:val="false"/>
          <w:bCs w:val="false"/>
          <w:i w:val="false"/>
          <w:iCs w:val="false"/>
          <w:color w:val="222222"/>
          <w:sz w:val="22"/>
          <w:szCs w:val="22"/>
          <w:rtl/>
        </w:rPr>
        <w:t xml:space="preserve">"תמיד", "רק", "בכל מקרה", "כל פרט" — ברוב המקרים ההיגד לא נכון; חפשו את החריג, והוא הנימוק.</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מתן מול מסירה: </w:t>
      </w:r>
      <w:r>
        <w:rPr>
          <w:rFonts w:ascii="Arial" w:cs="Arial" w:eastAsia="Arial" w:hAnsi="Arial"/>
          <w:b w:val="false"/>
          <w:bCs w:val="false"/>
          <w:i w:val="false"/>
          <w:iCs w:val="false"/>
          <w:color w:val="222222"/>
          <w:sz w:val="22"/>
          <w:szCs w:val="22"/>
          <w:rtl/>
        </w:rPr>
        <w:t xml:space="preserve">"מתן הודעת קיבול" = רגע אמירת/משלוח ה"כן"; "מסירת הודעת קיבול" = הגעתו למציע; "מסירת הצעה" = הגעתה לניצע/למענו. ההגעה לנמען או למענו נבחנת לפי ס׳ 60. היגד שמערבב בין הרגעים — לא נכון.</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חרטת מציע — שני מסלולים: </w:t>
      </w:r>
      <w:r>
        <w:rPr>
          <w:rFonts w:ascii="Arial" w:cs="Arial" w:eastAsia="Arial" w:hAnsi="Arial"/>
          <w:b w:val="false"/>
          <w:bCs w:val="false"/>
          <w:i w:val="false"/>
          <w:iCs w:val="false"/>
          <w:color w:val="222222"/>
          <w:sz w:val="22"/>
          <w:szCs w:val="22"/>
          <w:rtl/>
        </w:rPr>
        <w:t xml:space="preserve">הצעה רגילה: חזרה עד מתן הודעת הקיבול (3(א)). הצעה ללא חזרה / עם מועד קיבול: אין חזרה משנמסרה לניצע, אך כן אפשר לפני שנמסרה (3(ב)).</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חרטת ניצע: </w:t>
      </w:r>
      <w:r>
        <w:rPr>
          <w:rFonts w:ascii="Arial" w:cs="Arial" w:eastAsia="Arial" w:hAnsi="Arial"/>
          <w:b w:val="false"/>
          <w:bCs w:val="false"/>
          <w:i w:val="false"/>
          <w:iCs w:val="false"/>
          <w:color w:val="222222"/>
          <w:sz w:val="22"/>
          <w:szCs w:val="22"/>
          <w:rtl/>
        </w:rPr>
        <w:t xml:space="preserve">הודעת החזרה נמסרת למציע לא לאחר הודעת הקיבול — הגיעו יחד? החזרה גוברת ואין חוזה (ס׳ 10).</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מוות: </w:t>
      </w:r>
      <w:r>
        <w:rPr>
          <w:rFonts w:ascii="Arial" w:cs="Arial" w:eastAsia="Arial" w:hAnsi="Arial"/>
          <w:b w:val="false"/>
          <w:bCs w:val="false"/>
          <w:i w:val="false"/>
          <w:iCs w:val="false"/>
          <w:color w:val="222222"/>
          <w:sz w:val="22"/>
          <w:szCs w:val="22"/>
          <w:rtl/>
        </w:rPr>
        <w:t xml:space="preserve">לפני מתן הודעת הקיבול — ההצעה פוקעת (4(2)). אחרי — יש חוזה, והוא מחייב את היורשים/העיזבון.</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שתיקה: </w:t>
      </w:r>
      <w:r>
        <w:rPr>
          <w:rFonts w:ascii="Arial" w:cs="Arial" w:eastAsia="Arial" w:hAnsi="Arial"/>
          <w:b w:val="false"/>
          <w:bCs w:val="false"/>
          <w:i w:val="false"/>
          <w:iCs w:val="false"/>
          <w:color w:val="222222"/>
          <w:sz w:val="22"/>
          <w:szCs w:val="22"/>
          <w:rtl/>
        </w:rPr>
        <w:t xml:space="preserve">המציע לא כופה שתיקה כקיבול (6(ב)); הניצע רשאי להסכים לכך מיוזמתו — ואז זה מחייב את המציע. ובהצעה מזכה — חזקת קיבול (ס׳ 7).</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קיבול בהתנהגות: </w:t>
      </w:r>
      <w:r>
        <w:rPr>
          <w:rFonts w:ascii="Arial" w:cs="Arial" w:eastAsia="Arial" w:hAnsi="Arial"/>
          <w:b w:val="false"/>
          <w:bCs w:val="false"/>
          <w:i w:val="false"/>
          <w:iCs w:val="false"/>
          <w:color w:val="222222"/>
          <w:sz w:val="22"/>
          <w:szCs w:val="22"/>
          <w:rtl/>
        </w:rPr>
        <w:t xml:space="preserve">רק כשנקבע ע"י המציע או משתמע מההצעה (6(א), שג"מ חניונים); משבוצעה ההתנהגות — דינה כהודעת קיבול והמציע כבר אינו חוזר בו.</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דחיית הצעה: </w:t>
      </w:r>
      <w:r>
        <w:rPr>
          <w:rFonts w:ascii="Arial" w:cs="Arial" w:eastAsia="Arial" w:hAnsi="Arial"/>
          <w:b w:val="false"/>
          <w:bCs w:val="false"/>
          <w:i w:val="false"/>
          <w:iCs w:val="false"/>
          <w:color w:val="222222"/>
          <w:sz w:val="22"/>
          <w:szCs w:val="22"/>
          <w:rtl/>
        </w:rPr>
        <w:t xml:space="preserve">רק דחייה מפורשת ואקטיבית מפקיעה (נוה עם); שאלות הבהרה או ניסיון שיפור אינם דחייה.</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טעות — הווה/עבר בלבד: </w:t>
      </w:r>
      <w:r>
        <w:rPr>
          <w:rFonts w:ascii="Arial" w:cs="Arial" w:eastAsia="Arial" w:hAnsi="Arial"/>
          <w:b w:val="false"/>
          <w:bCs w:val="false"/>
          <w:i w:val="false"/>
          <w:iCs w:val="false"/>
          <w:color w:val="222222"/>
          <w:sz w:val="22"/>
          <w:szCs w:val="22"/>
          <w:rtl/>
        </w:rPr>
        <w:t xml:space="preserve">טעות (ס׳ 14) היא אמונה שאינה תואמת את המציאות הקיימת; ציפייה או תחזית לעתיד שהתבדתה = טעות בכדאיות (14(ד)) — לעולם לא עילה. וגם AS-IS ונטילת סיכון מפורשת — כדאיות (כרמל נ׳ טלמון).</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14(א) מול 14(ב): </w:t>
      </w:r>
      <w:r>
        <w:rPr>
          <w:rFonts w:ascii="Arial" w:cs="Arial" w:eastAsia="Arial" w:hAnsi="Arial"/>
          <w:b w:val="false"/>
          <w:bCs w:val="false"/>
          <w:i w:val="false"/>
          <w:iCs w:val="false"/>
          <w:color w:val="222222"/>
          <w:sz w:val="22"/>
          <w:szCs w:val="22"/>
          <w:rtl/>
        </w:rPr>
        <w:t xml:space="preserve">ההבדל היחיד — ידיעת הצד השני (בפועל או בכוח). ידע → ביטול עצמי; לא ידע → רק בית משפט משיקולי צדק + חשיפה לפיצויים. טעות משותפת → 14(ב).</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זיכרון דברים: </w:t>
      </w:r>
      <w:r>
        <w:rPr>
          <w:rFonts w:ascii="Arial" w:cs="Arial" w:eastAsia="Arial" w:hAnsi="Arial"/>
          <w:b w:val="false"/>
          <w:bCs w:val="false"/>
          <w:i w:val="false"/>
          <w:iCs w:val="false"/>
          <w:color w:val="222222"/>
          <w:sz w:val="22"/>
          <w:szCs w:val="22"/>
          <w:rtl/>
        </w:rPr>
        <w:t xml:space="preserve">בוחנים תוכן ולא כותרת. עיקרי הדברים חובה — בלעדיהם אין חוזה; פרטים משניים מושלמים לפי ס׳ 26 (נוהג צדדים ← נוהג מקובל ← הוראות חוק 41–50). "בכפוף לחוזה" = לא מחייב.</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סעד ס׳ 12: </w:t>
      </w:r>
      <w:r>
        <w:rPr>
          <w:rFonts w:ascii="Arial" w:cs="Arial" w:eastAsia="Arial" w:hAnsi="Arial"/>
          <w:b w:val="false"/>
          <w:bCs w:val="false"/>
          <w:i w:val="false"/>
          <w:iCs w:val="false"/>
          <w:color w:val="222222"/>
          <w:sz w:val="22"/>
          <w:szCs w:val="22"/>
          <w:rtl/>
        </w:rPr>
        <w:t xml:space="preserve">פיצויים (הסתמכות; ובחריג — קיום). לא ביטול. ניתן לתבוע בין אם נכרת חוזה ובין אם לאו, וגם כשהחוזה נשאר בתוקף. החובה חלה על כל משתתף במו"מ.</w:t>
      </w:r>
    </w:p>
    <w:p>
      <w:pPr>
        <w:pStyle w:val="ListParagraph"/>
        <w:numPr>
          <w:ilvl w:val="0"/>
          <w:numId w:val="4"/>
        </w:numPr>
        <w:bidi/>
        <w:spacing w:after="60" w:line="276"/>
      </w:pPr>
      <w:r>
        <w:rPr>
          <w:rFonts w:ascii="Arial" w:cs="Arial" w:eastAsia="Arial" w:hAnsi="Arial"/>
          <w:b/>
          <w:bCs/>
          <w:i w:val="false"/>
          <w:iCs w:val="false"/>
          <w:color w:val="222222"/>
          <w:sz w:val="22"/>
          <w:szCs w:val="22"/>
          <w:rtl/>
        </w:rPr>
        <w:t xml:space="preserve">השלמה "רק מנוהג": </w:t>
      </w:r>
      <w:r>
        <w:rPr>
          <w:rFonts w:ascii="Arial" w:cs="Arial" w:eastAsia="Arial" w:hAnsi="Arial"/>
          <w:b w:val="false"/>
          <w:bCs w:val="false"/>
          <w:i w:val="false"/>
          <w:iCs w:val="false"/>
          <w:color w:val="222222"/>
          <w:sz w:val="22"/>
          <w:szCs w:val="22"/>
          <w:rtl/>
        </w:rPr>
        <w:t xml:space="preserve">לא נכון — מקורות ההשלמה הם נוהג בין הצדדים, נוהג מקובל, וגם הוראות החוק המשלימות (ס׳ 41, 44, 45, 46).</w:t>
      </w:r>
    </w:p>
    <w:p>
      <w:r>
        <w:br w:type="page"/>
      </w:r>
    </w:p>
    <w:p>
      <w:pPr>
        <w:pStyle w:val="Heading1"/>
        <w:keepNext/>
        <w:bidi/>
        <w:spacing w:after="160" w:before="240" w:line="276"/>
      </w:pPr>
      <w:r>
        <w:rPr>
          <w:rFonts w:ascii="Arial" w:cs="Arial" w:eastAsia="Arial" w:hAnsi="Arial"/>
          <w:b/>
          <w:bCs/>
          <w:i w:val="false"/>
          <w:iCs w:val="false"/>
          <w:color w:val="1F3864"/>
          <w:sz w:val="32"/>
          <w:szCs w:val="32"/>
          <w:rtl/>
        </w:rPr>
        <w:t xml:space="preserve">חלק ה׳ — סיכום נושאים מלא</w:t>
      </w:r>
    </w:p>
    <w:p>
      <w:pPr>
        <w:pStyle w:val="Heading2"/>
        <w:keepNext/>
        <w:bidi/>
        <w:spacing w:after="120" w:before="200" w:line="276"/>
      </w:pPr>
      <w:r>
        <w:rPr>
          <w:rFonts w:ascii="Arial" w:cs="Arial" w:eastAsia="Arial" w:hAnsi="Arial"/>
          <w:b/>
          <w:bCs/>
          <w:i w:val="false"/>
          <w:iCs w:val="false"/>
          <w:color w:val="2E5395"/>
          <w:sz w:val="27"/>
          <w:szCs w:val="27"/>
          <w:rtl/>
        </w:rPr>
        <w:t xml:space="preserve">1 · מצגת מבוא — מפת המשפט ועקרונות היסוד</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ענפי המשפט: </w:t>
      </w:r>
      <w:r>
        <w:rPr>
          <w:rFonts w:ascii="Arial" w:cs="Arial" w:eastAsia="Arial" w:hAnsi="Arial"/>
          <w:b w:val="false"/>
          <w:bCs w:val="false"/>
          <w:i w:val="false"/>
          <w:iCs w:val="false"/>
          <w:color w:val="222222"/>
          <w:sz w:val="22"/>
          <w:szCs w:val="22"/>
          <w:rtl/>
        </w:rPr>
        <w:t xml:space="preserve">ציבורי (המדינה כריבון): עונשין, חוקתי, מנהלי, מסים, צבא. פרטי: דיני ממון (קניין, חיובים — חוזים, נזיקין, עשיית עושר), משפחה, עבודה, מסחרי (תאגידים, הגבלים, ניירות ערך). וכן משפט פרוצדורלי ובינלאומי. הקורס — משפט פרטי.</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חוזים יש לכבד: </w:t>
      </w:r>
      <w:r>
        <w:rPr>
          <w:rFonts w:ascii="Arial" w:cs="Arial" w:eastAsia="Arial" w:hAnsi="Arial"/>
          <w:b w:val="false"/>
          <w:bCs w:val="false"/>
          <w:i w:val="false"/>
          <w:iCs w:val="false"/>
          <w:color w:val="222222"/>
          <w:sz w:val="22"/>
          <w:szCs w:val="22"/>
          <w:rtl/>
        </w:rPr>
        <w:t xml:space="preserve">עיקרון-על; ביהמ"ש יעדיף קיום ואכיפה. "הפרה יעילה" אמריקאית אינה מוכרת בישראל; שידול צד ג׳ להפר = גרם הפרת חוזה (נזיקין).</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חופש החוזים — שלוש חירויות: </w:t>
      </w:r>
      <w:r>
        <w:rPr>
          <w:rFonts w:ascii="Arial" w:cs="Arial" w:eastAsia="Arial" w:hAnsi="Arial"/>
          <w:b w:val="false"/>
          <w:bCs w:val="false"/>
          <w:i w:val="false"/>
          <w:iCs w:val="false"/>
          <w:color w:val="222222"/>
          <w:sz w:val="22"/>
          <w:szCs w:val="22"/>
          <w:rtl/>
        </w:rPr>
        <w:t xml:space="preserve">צורה (ס׳ 23; חריגים: מקרקעין ס׳ 8, מתנה עתידית ס׳ 5(א)); תוכן (ס׳ 24, בכפוף לס׳ 30 — בטלות); התקשרות (כשרות משפטית — חוק הכשרות ס׳ 2–5).</w:t>
      </w:r>
    </w:p>
    <w:p>
      <w:pPr>
        <w:pStyle w:val="Heading2"/>
        <w:keepNext/>
        <w:bidi/>
        <w:spacing w:after="120" w:before="200" w:line="276"/>
      </w:pPr>
      <w:r>
        <w:rPr>
          <w:rFonts w:ascii="Arial" w:cs="Arial" w:eastAsia="Arial" w:hAnsi="Arial"/>
          <w:b/>
          <w:bCs/>
          <w:i w:val="false"/>
          <w:iCs w:val="false"/>
          <w:color w:val="2E5395"/>
          <w:sz w:val="27"/>
          <w:szCs w:val="27"/>
          <w:rtl/>
        </w:rPr>
        <w:t xml:space="preserve">2 · מצגת 1 — כריתת חוזה (ס׳ 1–12)</w:t>
      </w:r>
    </w:p>
    <w:p>
      <w:pPr>
        <w:bidi/>
        <w:spacing w:after="120" w:before="0" w:line="276"/>
      </w:pPr>
      <w:r>
        <w:rPr>
          <w:rFonts w:ascii="Arial" w:cs="Arial" w:eastAsia="Arial" w:hAnsi="Arial"/>
          <w:b/>
          <w:bCs/>
          <w:i w:val="false"/>
          <w:iCs w:val="false"/>
          <w:color w:val="222222"/>
          <w:sz w:val="22"/>
          <w:szCs w:val="22"/>
          <w:rtl/>
        </w:rPr>
        <w:t xml:space="preserve">חוזה = הצעה + קיבול (ס׳ 1). </w:t>
      </w:r>
      <w:r>
        <w:rPr>
          <w:rFonts w:ascii="Arial" w:cs="Arial" w:eastAsia="Arial" w:hAnsi="Arial"/>
          <w:b w:val="false"/>
          <w:bCs w:val="false"/>
          <w:i w:val="false"/>
          <w:iCs w:val="false"/>
          <w:color w:val="222222"/>
          <w:sz w:val="22"/>
          <w:szCs w:val="22"/>
          <w:rtl/>
        </w:rPr>
        <w:t xml:space="preserve">חוזה הוא הסכמה ליצור יחסים משפטיים מחייבים. בכל שאלה מזהים כרונולוגית: מי פנה? הצעה או הזמנה להציע הצעות? מה התגובה?</w:t>
      </w:r>
    </w:p>
    <w:p>
      <w:pPr>
        <w:pStyle w:val="Heading3"/>
        <w:keepNext/>
        <w:bidi/>
        <w:spacing w:after="80" w:before="140" w:line="276"/>
      </w:pPr>
      <w:r>
        <w:rPr>
          <w:rFonts w:ascii="Arial" w:cs="Arial" w:eastAsia="Arial" w:hAnsi="Arial"/>
          <w:b/>
          <w:bCs/>
          <w:i w:val="false"/>
          <w:iCs w:val="false"/>
          <w:color w:val="404040"/>
          <w:sz w:val="23"/>
          <w:szCs w:val="23"/>
          <w:rtl/>
        </w:rPr>
        <w:t xml:space="preserve">הצעה (ס׳ 2) — פנייה + גמירת דעת + מסוימות</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גמירת דעת: </w:t>
      </w:r>
      <w:r>
        <w:rPr>
          <w:rFonts w:ascii="Arial" w:cs="Arial" w:eastAsia="Arial" w:hAnsi="Arial"/>
          <w:b w:val="false"/>
          <w:bCs w:val="false"/>
          <w:i w:val="false"/>
          <w:iCs w:val="false"/>
          <w:color w:val="222222"/>
          <w:sz w:val="22"/>
          <w:szCs w:val="22"/>
          <w:rtl/>
        </w:rPr>
        <w:t xml:space="preserve">רצינות וכוונה ליצור יחסים משפטיים מחייבים. מבחן אובייקטיבי מרוכך (פרץ בוני הנגב נ׳ בוחבוט): מתקשר סביר במעמד הצדדים. העדה: אמירה מפורשת, נסיבות, מונחים משפטיים, מסוימות, התנהגות לפני ואחרי, חתימה, העברת כספים.</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מסוימות: </w:t>
      </w:r>
      <w:r>
        <w:rPr>
          <w:rFonts w:ascii="Arial" w:cs="Arial" w:eastAsia="Arial" w:hAnsi="Arial"/>
          <w:b w:val="false"/>
          <w:bCs w:val="false"/>
          <w:i w:val="false"/>
          <w:iCs w:val="false"/>
          <w:color w:val="222222"/>
          <w:sz w:val="22"/>
          <w:szCs w:val="22"/>
          <w:rtl/>
        </w:rPr>
        <w:t xml:space="preserve">עיקרי הדברים — הצעה מלאה ומדויקת במידה מספקת (זנדבנק נ׳ דנציגר). הפניה למחירון = מחיר. פרטים חסרים שאינם עיקר ניתנים להשלמה.</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חסר יסוד? </w:t>
      </w:r>
      <w:r>
        <w:rPr>
          <w:rFonts w:ascii="Arial" w:cs="Arial" w:eastAsia="Arial" w:hAnsi="Arial"/>
          <w:b w:val="false"/>
          <w:bCs w:val="false"/>
          <w:i w:val="false"/>
          <w:iCs w:val="false"/>
          <w:color w:val="222222"/>
          <w:sz w:val="22"/>
          <w:szCs w:val="22"/>
          <w:rtl/>
        </w:rPr>
        <w:t xml:space="preserve">הזמנה להציע הצעות בלבד (מודעה כללית: "מחפשת מורה לגיטרה") — התגובה אליה היא ההצעה.</w:t>
      </w:r>
    </w:p>
    <w:p>
      <w:pPr>
        <w:pStyle w:val="Heading3"/>
        <w:keepNext/>
        <w:bidi/>
        <w:spacing w:after="80" w:before="140" w:line="276"/>
      </w:pPr>
      <w:r>
        <w:rPr>
          <w:rFonts w:ascii="Arial" w:cs="Arial" w:eastAsia="Arial" w:hAnsi="Arial"/>
          <w:b/>
          <w:bCs/>
          <w:i w:val="false"/>
          <w:iCs w:val="false"/>
          <w:color w:val="404040"/>
          <w:sz w:val="23"/>
          <w:szCs w:val="23"/>
          <w:rtl/>
        </w:rPr>
        <w:t xml:space="preserve">השלמת פרטים (ס׳ 26 + 41–50)</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מקורות ההשלמה בסדר: נוהג קיים בין הצדדים ← נוהג מקובל בחוזים מאותו סוג ← הוראות החוק המשלימות: מועד הקיום (41), מקום הקיום (44), השלמה בבינוניות (45), תמורה בסכום ראוי (46). עיקרי הדברים — לעולם לא מושלמים.</w:t>
      </w:r>
    </w:p>
    <w:p>
      <w:pPr>
        <w:pStyle w:val="Heading3"/>
        <w:keepNext/>
        <w:bidi/>
        <w:spacing w:after="80" w:before="140" w:line="276"/>
      </w:pPr>
      <w:r>
        <w:rPr>
          <w:rFonts w:ascii="Arial" w:cs="Arial" w:eastAsia="Arial" w:hAnsi="Arial"/>
          <w:b/>
          <w:bCs/>
          <w:i w:val="false"/>
          <w:iCs w:val="false"/>
          <w:color w:val="404040"/>
          <w:sz w:val="23"/>
          <w:szCs w:val="23"/>
          <w:rtl/>
        </w:rPr>
        <w:t xml:space="preserve">חיי ההצעה: חזרה (ס׳ 3) ופקיעה (ס׳ 4)</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חזרת המציע (3(א)): </w:t>
      </w:r>
      <w:r>
        <w:rPr>
          <w:rFonts w:ascii="Arial" w:cs="Arial" w:eastAsia="Arial" w:hAnsi="Arial"/>
          <w:b w:val="false"/>
          <w:bCs w:val="false"/>
          <w:i w:val="false"/>
          <w:iCs w:val="false"/>
          <w:color w:val="222222"/>
          <w:sz w:val="22"/>
          <w:szCs w:val="22"/>
          <w:rtl/>
        </w:rPr>
        <w:t xml:space="preserve">בהודעה לניצע, שנמסרה לפני שנתן הניצע הודעת קיבול. שלושה שלבים (מפ"ד קוזלי): כוונה לחזור + הודעה לניצע + מרוץ הפעולות.</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הצעה בלתי הדירה (3(ב)): </w:t>
      </w:r>
      <w:r>
        <w:rPr>
          <w:rFonts w:ascii="Arial" w:cs="Arial" w:eastAsia="Arial" w:hAnsi="Arial"/>
          <w:b w:val="false"/>
          <w:bCs w:val="false"/>
          <w:i w:val="false"/>
          <w:iCs w:val="false"/>
          <w:color w:val="222222"/>
          <w:sz w:val="22"/>
          <w:szCs w:val="22"/>
          <w:rtl/>
        </w:rPr>
        <w:t xml:space="preserve">"ללא חזרה" או עם מועד לקיבול — משנמסרה לניצע אין חזרה; לפני מסירתה אפשר (תשובה נ׳ בר נתן: חרטה בטלפון/פקס לפני הגעת המכתב — תפסה).</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פקיעה (ס׳ 4): </w:t>
      </w:r>
      <w:r>
        <w:rPr>
          <w:rFonts w:ascii="Arial" w:cs="Arial" w:eastAsia="Arial" w:hAnsi="Arial"/>
          <w:b w:val="false"/>
          <w:bCs w:val="false"/>
          <w:i w:val="false"/>
          <w:iCs w:val="false"/>
          <w:color w:val="222222"/>
          <w:sz w:val="22"/>
          <w:szCs w:val="22"/>
          <w:rtl/>
        </w:rPr>
        <w:t xml:space="preserve">(1) דחייה מפורשת ואקטיבית (נוה עם) או חלוף המועד/זמן סביר (ס׳ 8(א)) — הזמן הסביר לפי טיב ההצעה: פרחים — שעות; נכס יקר — חודשים; פרס על נעדרים — שנים. (2) גורם מסכל: מוות, פסלות דין, צו נכסים, פירוק — לפני מתן הודעת הקיבול.</w:t>
      </w:r>
    </w:p>
    <w:p>
      <w:pPr>
        <w:pStyle w:val="Heading3"/>
        <w:keepNext/>
        <w:bidi/>
        <w:spacing w:after="80" w:before="140" w:line="276"/>
      </w:pPr>
      <w:r>
        <w:rPr>
          <w:rFonts w:ascii="Arial" w:cs="Arial" w:eastAsia="Arial" w:hAnsi="Arial"/>
          <w:b/>
          <w:bCs/>
          <w:i w:val="false"/>
          <w:iCs w:val="false"/>
          <w:color w:val="404040"/>
          <w:sz w:val="23"/>
          <w:szCs w:val="23"/>
          <w:rtl/>
        </w:rPr>
        <w:t xml:space="preserve">קיבול (ס׳ 5–11)</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קיבול (5): </w:t>
      </w:r>
      <w:r>
        <w:rPr>
          <w:rFonts w:ascii="Arial" w:cs="Arial" w:eastAsia="Arial" w:hAnsi="Arial"/>
          <w:b w:val="false"/>
          <w:bCs w:val="false"/>
          <w:i w:val="false"/>
          <w:iCs w:val="false"/>
          <w:color w:val="222222"/>
          <w:sz w:val="22"/>
          <w:szCs w:val="22"/>
          <w:rtl/>
        </w:rPr>
        <w:t xml:space="preserve">הודעת הניצע שנמסרה למציע + גמירת דעת + נעשה על יסוד ההצעה ותואם אותה; קיבול = התנהגות אקטיבית.</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בהתנהגות (6(א)): </w:t>
      </w:r>
      <w:r>
        <w:rPr>
          <w:rFonts w:ascii="Arial" w:cs="Arial" w:eastAsia="Arial" w:hAnsi="Arial"/>
          <w:b w:val="false"/>
          <w:bCs w:val="false"/>
          <w:i w:val="false"/>
          <w:iCs w:val="false"/>
          <w:color w:val="222222"/>
          <w:sz w:val="22"/>
          <w:szCs w:val="22"/>
          <w:rtl/>
        </w:rPr>
        <w:t xml:space="preserve">מעשה לביצוע החוזה — רק אם נקבע או משתמע מההצעה (שג"מ חניונים; הצעות פרס). ההתנהגות כדין הודעת קיבול לעניין 3(א) ו-4(2).</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שתיקה (6(ב)): </w:t>
      </w:r>
      <w:r>
        <w:rPr>
          <w:rFonts w:ascii="Arial" w:cs="Arial" w:eastAsia="Arial" w:hAnsi="Arial"/>
          <w:b w:val="false"/>
          <w:bCs w:val="false"/>
          <w:i w:val="false"/>
          <w:iCs w:val="false"/>
          <w:color w:val="222222"/>
          <w:sz w:val="22"/>
          <w:szCs w:val="22"/>
          <w:rtl/>
        </w:rPr>
        <w:t xml:space="preserve">קביעת מציע שהעדר תגובה = קיבול — אין לה תוקף; הברירה בידי הניצע.</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הצעה מזכה (7): </w:t>
      </w:r>
      <w:r>
        <w:rPr>
          <w:rFonts w:ascii="Arial" w:cs="Arial" w:eastAsia="Arial" w:hAnsi="Arial"/>
          <w:b w:val="false"/>
          <w:bCs w:val="false"/>
          <w:i w:val="false"/>
          <w:iCs w:val="false"/>
          <w:color w:val="222222"/>
          <w:sz w:val="22"/>
          <w:szCs w:val="22"/>
          <w:rtl/>
        </w:rPr>
        <w:t xml:space="preserve">כל-כולה לטובת הניצע, נקייה מחיובים ותנאים — חזקת קיבול בשתיקה; ביטול החזקה בהודעת התנגדות תוך זמן סביר. "מתנה" עם נטל (לזכור לבטל, לטפל בגור) — אינה מזכה.</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מועד ואיחור (8): </w:t>
      </w:r>
      <w:r>
        <w:rPr>
          <w:rFonts w:ascii="Arial" w:cs="Arial" w:eastAsia="Arial" w:hAnsi="Arial"/>
          <w:b w:val="false"/>
          <w:bCs w:val="false"/>
          <w:i w:val="false"/>
          <w:iCs w:val="false"/>
          <w:color w:val="222222"/>
          <w:sz w:val="22"/>
          <w:szCs w:val="22"/>
          <w:rtl/>
        </w:rPr>
        <w:t xml:space="preserve">קיבול תוך התקופה/זמן סביר; איחור מתקלה שאינה תלויה בניצע — נכרת חוזה אלא אם המציע דחה מיד (8(ב)).</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אחרי פקיעה (9): </w:t>
      </w:r>
      <w:r>
        <w:rPr>
          <w:rFonts w:ascii="Arial" w:cs="Arial" w:eastAsia="Arial" w:hAnsi="Arial"/>
          <w:b w:val="false"/>
          <w:bCs w:val="false"/>
          <w:i w:val="false"/>
          <w:iCs w:val="false"/>
          <w:color w:val="222222"/>
          <w:sz w:val="22"/>
          <w:szCs w:val="22"/>
          <w:rtl/>
        </w:rPr>
        <w:t xml:space="preserve">כמוהו כהצעה חדשה.</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חרטת ניצע (10): </w:t>
      </w:r>
      <w:r>
        <w:rPr>
          <w:rFonts w:ascii="Arial" w:cs="Arial" w:eastAsia="Arial" w:hAnsi="Arial"/>
          <w:b w:val="false"/>
          <w:bCs w:val="false"/>
          <w:i w:val="false"/>
          <w:iCs w:val="false"/>
          <w:color w:val="222222"/>
          <w:sz w:val="22"/>
          <w:szCs w:val="22"/>
          <w:rtl/>
        </w:rPr>
        <w:t xml:space="preserve">החזרה נמסרת למציע לא לאחר הודעת הקיבול (או משנודע לו על קיבול בהתנהגות) — לפני או יחד, החזרה גוברת.</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קיבול תוך שינוי (11): </w:t>
      </w:r>
      <w:r>
        <w:rPr>
          <w:rFonts w:ascii="Arial" w:cs="Arial" w:eastAsia="Arial" w:hAnsi="Arial"/>
          <w:b w:val="false"/>
          <w:bCs w:val="false"/>
          <w:i w:val="false"/>
          <w:iCs w:val="false"/>
          <w:color w:val="222222"/>
          <w:sz w:val="22"/>
          <w:szCs w:val="22"/>
          <w:rtl/>
        </w:rPr>
        <w:t xml:space="preserve">"כן, אבל..." = הצעה חדשה; התפקידים מתהפכים. הוספת תנאים לאחר הכריתה — רק בהסכמת שני הצדדים.</w:t>
      </w:r>
    </w:p>
    <w:p>
      <w:pPr>
        <w:pStyle w:val="Heading3"/>
        <w:keepNext/>
        <w:bidi/>
        <w:spacing w:after="80" w:before="140" w:line="276"/>
      </w:pPr>
      <w:r>
        <w:rPr>
          <w:rFonts w:ascii="Arial" w:cs="Arial" w:eastAsia="Arial" w:hAnsi="Arial"/>
          <w:b/>
          <w:bCs/>
          <w:i w:val="false"/>
          <w:iCs w:val="false"/>
          <w:color w:val="404040"/>
          <w:sz w:val="23"/>
          <w:szCs w:val="23"/>
          <w:rtl/>
        </w:rPr>
        <w:t xml:space="preserve">פ"ד קוזלי (ע"א 6295/16) — פרשת מג׳די חלבי: הצעת פרס לציבור</w:t>
      </w:r>
    </w:p>
    <w:p>
      <w:pPr>
        <w:bidi/>
        <w:spacing w:after="120" w:before="0" w:line="276"/>
      </w:pPr>
      <w:r>
        <w:rPr>
          <w:rFonts w:ascii="Arial" w:cs="Arial" w:eastAsia="Arial" w:hAnsi="Arial"/>
          <w:b w:val="false"/>
          <w:bCs w:val="false"/>
          <w:i w:val="false"/>
          <w:iCs w:val="false"/>
          <w:color w:val="222222"/>
          <w:sz w:val="22"/>
          <w:szCs w:val="22"/>
          <w:rtl/>
        </w:rPr>
        <w:t xml:space="preserve">מצגת שלמה בקורס מוקדשת לפסק הדין — צפוי מאוד בהיגדים. המדינה פרסמה פרס של 10 מיליון דולר למידע על נעדרים; המערערים נתקלו בשרידי גופה ביערות הכרמל ודיווחו. העליון חייב את המדינה לשלם:</w:t>
      </w:r>
    </w:p>
    <w:p>
      <w:pPr>
        <w:pStyle w:val="ListParagraph"/>
        <w:numPr>
          <w:ilvl w:val="0"/>
          <w:numId w:val="5"/>
        </w:numPr>
        <w:bidi/>
        <w:spacing w:after="60" w:line="276"/>
      </w:pPr>
      <w:r>
        <w:rPr>
          <w:rFonts w:ascii="Arial" w:cs="Arial" w:eastAsia="Arial" w:hAnsi="Arial"/>
          <w:b/>
          <w:bCs/>
          <w:i w:val="false"/>
          <w:iCs w:val="false"/>
          <w:color w:val="222222"/>
          <w:sz w:val="22"/>
          <w:szCs w:val="22"/>
          <w:rtl/>
        </w:rPr>
        <w:t xml:space="preserve">משוכה 1 — ידיעה על ההצעה: </w:t>
      </w:r>
      <w:r>
        <w:rPr>
          <w:rFonts w:ascii="Arial" w:cs="Arial" w:eastAsia="Arial" w:hAnsi="Arial"/>
          <w:b w:val="false"/>
          <w:bCs w:val="false"/>
          <w:i w:val="false"/>
          <w:iCs w:val="false"/>
          <w:color w:val="222222"/>
          <w:sz w:val="22"/>
          <w:szCs w:val="22"/>
          <w:rtl/>
        </w:rPr>
        <w:t xml:space="preserve">הוכח שהמערערים ידעו על הפרס.</w:t>
      </w:r>
    </w:p>
    <w:p>
      <w:pPr>
        <w:pStyle w:val="ListParagraph"/>
        <w:numPr>
          <w:ilvl w:val="0"/>
          <w:numId w:val="5"/>
        </w:numPr>
        <w:bidi/>
        <w:spacing w:after="60" w:line="276"/>
      </w:pPr>
      <w:r>
        <w:rPr>
          <w:rFonts w:ascii="Arial" w:cs="Arial" w:eastAsia="Arial" w:hAnsi="Arial"/>
          <w:b/>
          <w:bCs/>
          <w:i w:val="false"/>
          <w:iCs w:val="false"/>
          <w:color w:val="222222"/>
          <w:sz w:val="22"/>
          <w:szCs w:val="22"/>
          <w:rtl/>
        </w:rPr>
        <w:t xml:space="preserve">משוכה 2 — סימולטניות: </w:t>
      </w:r>
      <w:r>
        <w:rPr>
          <w:rFonts w:ascii="Arial" w:cs="Arial" w:eastAsia="Arial" w:hAnsi="Arial"/>
          <w:b w:val="false"/>
          <w:bCs w:val="false"/>
          <w:i w:val="false"/>
          <w:iCs w:val="false"/>
          <w:color w:val="222222"/>
          <w:sz w:val="22"/>
          <w:szCs w:val="22"/>
          <w:rtl/>
        </w:rPr>
        <w:t xml:space="preserve">העלו על דעתם שמדובר בנעדר ופנו למשטרה מתוך תקווה לזכות — נדרשת מודעות להצעה בעת פעולת הקיבול.</w:t>
      </w:r>
    </w:p>
    <w:p>
      <w:pPr>
        <w:pStyle w:val="ListParagraph"/>
        <w:numPr>
          <w:ilvl w:val="0"/>
          <w:numId w:val="5"/>
        </w:numPr>
        <w:bidi/>
        <w:spacing w:after="60" w:line="276"/>
      </w:pPr>
      <w:r>
        <w:rPr>
          <w:rFonts w:ascii="Arial" w:cs="Arial" w:eastAsia="Arial" w:hAnsi="Arial"/>
          <w:b/>
          <w:bCs/>
          <w:i w:val="false"/>
          <w:iCs w:val="false"/>
          <w:color w:val="222222"/>
          <w:sz w:val="22"/>
          <w:szCs w:val="22"/>
          <w:rtl/>
        </w:rPr>
        <w:t xml:space="preserve">משוכה 3 — אין צורך בידיעה ודאית: </w:t>
      </w:r>
      <w:r>
        <w:rPr>
          <w:rFonts w:ascii="Arial" w:cs="Arial" w:eastAsia="Arial" w:hAnsi="Arial"/>
          <w:b w:val="false"/>
          <w:bCs w:val="false"/>
          <w:i w:val="false"/>
          <w:iCs w:val="false"/>
          <w:color w:val="222222"/>
          <w:sz w:val="22"/>
          <w:szCs w:val="22"/>
          <w:rtl/>
        </w:rPr>
        <w:t xml:space="preserve">די בביצוע ההתנהגות מתוך כוונה ותקווה לזכות, גם ללא ודאות שההתנהגות תתברר כקיבול. מפגש רצונות — לא הסתברות אובייקטיבית.</w:t>
      </w:r>
    </w:p>
    <w:p>
      <w:pPr>
        <w:pStyle w:val="ListParagraph"/>
        <w:numPr>
          <w:ilvl w:val="0"/>
          <w:numId w:val="5"/>
        </w:numPr>
        <w:bidi/>
        <w:spacing w:after="60" w:line="276"/>
      </w:pPr>
      <w:r>
        <w:rPr>
          <w:rFonts w:ascii="Arial" w:cs="Arial" w:eastAsia="Arial" w:hAnsi="Arial"/>
          <w:b/>
          <w:bCs/>
          <w:i w:val="false"/>
          <w:iCs w:val="false"/>
          <w:color w:val="222222"/>
          <w:sz w:val="22"/>
          <w:szCs w:val="22"/>
          <w:rtl/>
        </w:rPr>
        <w:t xml:space="preserve">משוכה 4 — מציאה אקראית אינה שוללת: </w:t>
      </w:r>
      <w:r>
        <w:rPr>
          <w:rFonts w:ascii="Arial" w:cs="Arial" w:eastAsia="Arial" w:hAnsi="Arial"/>
          <w:b w:val="false"/>
          <w:bCs w:val="false"/>
          <w:i w:val="false"/>
          <w:iCs w:val="false"/>
          <w:color w:val="222222"/>
          <w:sz w:val="22"/>
          <w:szCs w:val="22"/>
          <w:rtl/>
        </w:rPr>
        <w:t xml:space="preserve">פרשנות ההצעה לפי "הניצע הסביר": "פרס תמורת מידע אמין שיוביל אל הנעדרים" — אינו מותנה במאמצי חיפוש (משל מוצא הכלבלב בכניסה לבניין).</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פקיעה: </w:t>
      </w:r>
      <w:r>
        <w:rPr>
          <w:rFonts w:ascii="Arial" w:cs="Arial" w:eastAsia="Arial" w:hAnsi="Arial"/>
          <w:b w:val="false"/>
          <w:bCs w:val="false"/>
          <w:i w:val="false"/>
          <w:iCs w:val="false"/>
          <w:color w:val="222222"/>
          <w:sz w:val="22"/>
          <w:szCs w:val="22"/>
          <w:rtl/>
        </w:rPr>
        <w:t xml:space="preserve">תשעה חודשים ללא פרסום אקטיבי אינם "זמן סביר" לפקיעה — סבירות הזמן נגזרת מרקע ההצעה ותוכנה (מניות — פוקעת מהר; מידע על נעדרים/עבריין — תקפה זמן רב, פרידמן וכהן).</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חזרה מהצעה: </w:t>
      </w:r>
      <w:r>
        <w:rPr>
          <w:rFonts w:ascii="Arial" w:cs="Arial" w:eastAsia="Arial" w:hAnsi="Arial"/>
          <w:b w:val="false"/>
          <w:bCs w:val="false"/>
          <w:i w:val="false"/>
          <w:iCs w:val="false"/>
          <w:color w:val="222222"/>
          <w:sz w:val="22"/>
          <w:szCs w:val="22"/>
          <w:rtl/>
        </w:rPr>
        <w:t xml:space="preserve">הפסקת מימון העמותה והורדת שלטים ≠ חזרה; חזרה דורשת כוונה + הודעה לניצעים בדרך מקבילה לפרסום המקורי (אתר, מוקד טלפוני) + לפני הקיבול. דנ"א 4165/19 — נדחה.</w:t>
      </w:r>
    </w:p>
    <w:p>
      <w:pPr>
        <w:pStyle w:val="Heading3"/>
        <w:keepNext/>
        <w:bidi/>
        <w:spacing w:after="80" w:before="140" w:line="276"/>
      </w:pPr>
      <w:r>
        <w:rPr>
          <w:rFonts w:ascii="Arial" w:cs="Arial" w:eastAsia="Arial" w:hAnsi="Arial"/>
          <w:b/>
          <w:bCs/>
          <w:i w:val="false"/>
          <w:iCs w:val="false"/>
          <w:color w:val="404040"/>
          <w:sz w:val="23"/>
          <w:szCs w:val="23"/>
          <w:rtl/>
        </w:rPr>
        <w:t xml:space="preserve">זיכרון דברים (רבינאי נ׳ מן שקד, ע"א 158/77)</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שתי נקודות מבט: </w:t>
      </w:r>
      <w:r>
        <w:rPr>
          <w:rFonts w:ascii="Arial" w:cs="Arial" w:eastAsia="Arial" w:hAnsi="Arial"/>
          <w:b w:val="false"/>
          <w:bCs w:val="false"/>
          <w:i w:val="false"/>
          <w:iCs w:val="false"/>
          <w:color w:val="222222"/>
          <w:sz w:val="22"/>
          <w:szCs w:val="22"/>
          <w:rtl/>
        </w:rPr>
        <w:t xml:space="preserve">שלב ביניים במו"מ ("חומר גלמי" ללא גמירת דעת סופית) — או חוזה גמור שהצדדים מבקשים לתת לו לבוש פורמלי בהמשך.</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שני מבחנים מצטברים: </w:t>
      </w:r>
      <w:r>
        <w:rPr>
          <w:rFonts w:ascii="Arial" w:cs="Arial" w:eastAsia="Arial" w:hAnsi="Arial"/>
          <w:b w:val="false"/>
          <w:bCs w:val="false"/>
          <w:i w:val="false"/>
          <w:iCs w:val="false"/>
          <w:color w:val="222222"/>
          <w:sz w:val="22"/>
          <w:szCs w:val="22"/>
          <w:rtl/>
        </w:rPr>
        <w:t xml:space="preserve">(1) כוונה ליצור קשר חוזי מחייב כבר עתה (חתימות, ניסוח, התנהגות, מקדמה); (2) מסוימות — הפרטים המהותיים והחיוניים. התקיימו — חוזה מחייב, גם אם תוכנן "חוזה מפורט", והמסמך ממלא את דרישת הכתב במקרקעין.</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נוסחאות קישור: </w:t>
      </w:r>
      <w:r>
        <w:rPr>
          <w:rFonts w:ascii="Arial" w:cs="Arial" w:eastAsia="Arial" w:hAnsi="Arial"/>
          <w:b w:val="false"/>
          <w:bCs w:val="false"/>
          <w:i w:val="false"/>
          <w:iCs w:val="false"/>
          <w:color w:val="222222"/>
          <w:sz w:val="22"/>
          <w:szCs w:val="22"/>
          <w:rtl/>
        </w:rPr>
        <w:t xml:space="preserve">"בכפוף לחוזה שייחתם" — מעיד על העדר גמירת דעת; "חוזה מפורט ייערך תוך שבוע" — מחייב גם אם לא נחתם.</w:t>
      </w:r>
    </w:p>
    <w:p>
      <w:pPr>
        <w:pStyle w:val="Heading3"/>
        <w:keepNext/>
        <w:bidi/>
        <w:spacing w:after="80" w:before="140" w:line="276"/>
      </w:pPr>
      <w:r>
        <w:rPr>
          <w:rFonts w:ascii="Arial" w:cs="Arial" w:eastAsia="Arial" w:hAnsi="Arial"/>
          <w:b/>
          <w:bCs/>
          <w:i w:val="false"/>
          <w:iCs w:val="false"/>
          <w:color w:val="404040"/>
          <w:sz w:val="23"/>
          <w:szCs w:val="23"/>
          <w:rtl/>
        </w:rPr>
        <w:t xml:space="preserve">תום לב במשא ומתן (ס׳ 12)</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מהות ותחולה: </w:t>
      </w:r>
      <w:r>
        <w:rPr>
          <w:rFonts w:ascii="Arial" w:cs="Arial" w:eastAsia="Arial" w:hAnsi="Arial"/>
          <w:b w:val="false"/>
          <w:bCs w:val="false"/>
          <w:i w:val="false"/>
          <w:iCs w:val="false"/>
          <w:color w:val="222222"/>
          <w:sz w:val="22"/>
          <w:szCs w:val="22"/>
          <w:rtl/>
        </w:rPr>
        <w:t xml:space="preserve">"בדרך מקובלת ובתום לב" — מושג רחב ודינמי, סטנדרט אובייקטיבי (האדם הסביר בנסיבות). חל מרגע הקשר הראשון ועד הכריתה או סיום הקשר בלעדיה; על כל מי שנטל חלק במו"מ — צד, עובד חברה, מתווך; וממשיך בתקופת החוזה מכוח ס׳ 39.</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ניתן לתבוע: </w:t>
      </w:r>
      <w:r>
        <w:rPr>
          <w:rFonts w:ascii="Arial" w:cs="Arial" w:eastAsia="Arial" w:hAnsi="Arial"/>
          <w:b w:val="false"/>
          <w:bCs w:val="false"/>
          <w:i w:val="false"/>
          <w:iCs w:val="false"/>
          <w:color w:val="222222"/>
          <w:sz w:val="22"/>
          <w:szCs w:val="22"/>
          <w:rtl/>
        </w:rPr>
        <w:t xml:space="preserve">בין אם נכרת חוזה ובין אם לאו — וגם אם הנפגע בוחר להשאיר את החוזה בתוקפו.</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מצבים של חוסר תום לב: </w:t>
      </w:r>
      <w:r>
        <w:rPr>
          <w:rFonts w:ascii="Arial" w:cs="Arial" w:eastAsia="Arial" w:hAnsi="Arial"/>
          <w:b w:val="false"/>
          <w:bCs w:val="false"/>
          <w:i w:val="false"/>
          <w:iCs w:val="false"/>
          <w:color w:val="222222"/>
          <w:sz w:val="22"/>
          <w:szCs w:val="22"/>
          <w:rtl/>
        </w:rPr>
        <w:t xml:space="preserve">מו"מ מקביל תוך הסתרה (זעירא נ׳ קנית); כניסה למו"מ או ניהולו ללא כוונת התקשרות; פרישה ממו"מ שלא בתום לב; עריכת חוזה בלי לקיימו או בידיעה שיופר (קוט נ׳ ארגון הדיירים); הפרת חובת גילוי (פנידר נ׳ קסטרו).</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היקף חובת הגילוי — פרמטרים: </w:t>
      </w:r>
      <w:r>
        <w:rPr>
          <w:rFonts w:ascii="Arial" w:cs="Arial" w:eastAsia="Arial" w:hAnsi="Arial"/>
          <w:b w:val="false"/>
          <w:bCs w:val="false"/>
          <w:i w:val="false"/>
          <w:iCs w:val="false"/>
          <w:color w:val="222222"/>
          <w:sz w:val="22"/>
          <w:szCs w:val="22"/>
          <w:rtl/>
        </w:rPr>
        <w:t xml:space="preserve">זהות הצדדים, קלות השגת המידע, עלות השגתו, מומחיות הצד השני (מקביל להוראת ס׳ 15).</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הסעד (12(ב)): </w:t>
      </w:r>
      <w:r>
        <w:rPr>
          <w:rFonts w:ascii="Arial" w:cs="Arial" w:eastAsia="Arial" w:hAnsi="Arial"/>
          <w:b w:val="false"/>
          <w:bCs w:val="false"/>
          <w:i w:val="false"/>
          <w:iCs w:val="false"/>
          <w:color w:val="222222"/>
          <w:sz w:val="22"/>
          <w:szCs w:val="22"/>
          <w:rtl/>
        </w:rPr>
        <w:t xml:space="preserve">פיצויי הסתמכות (שליליים) — הוצאות המו"מ, שכ"ט עו"ד ורו"ח. חריג: פיצויים חיוביים (קיום) כשכל תנאי העסקה ידועים לחלוטין (קל בניין); לעיתים אכיפה (שיכון עובדים נ׳ זפניק). [מהשיעורים: קלמר נ׳ גיא — תו"ל קיצוני גובר על דרישת הכתב.]</w:t>
      </w:r>
    </w:p>
    <w:p>
      <w:pPr>
        <w:pStyle w:val="Heading2"/>
        <w:keepNext/>
        <w:bidi/>
        <w:spacing w:after="120" w:before="200" w:line="276"/>
      </w:pPr>
      <w:r>
        <w:rPr>
          <w:rFonts w:ascii="Arial" w:cs="Arial" w:eastAsia="Arial" w:hAnsi="Arial"/>
          <w:b/>
          <w:bCs/>
          <w:i w:val="false"/>
          <w:iCs w:val="false"/>
          <w:color w:val="2E5395"/>
          <w:sz w:val="27"/>
          <w:szCs w:val="27"/>
          <w:rtl/>
        </w:rPr>
        <w:t xml:space="preserve">3 · מצגת 2 — פגמים בכריתה (עד ס׳ 14(ב) + ס׳ 19–21)</w:t>
      </w:r>
    </w:p>
    <w:p>
      <w:pPr>
        <w:bidi/>
        <w:spacing w:after="120" w:before="0" w:line="276"/>
      </w:pPr>
      <w:r>
        <w:rPr>
          <w:rFonts w:ascii="Arial" w:cs="Arial" w:eastAsia="Arial" w:hAnsi="Arial"/>
          <w:b/>
          <w:bCs/>
          <w:i w:val="false"/>
          <w:iCs w:val="false"/>
          <w:color w:val="222222"/>
          <w:sz w:val="22"/>
          <w:szCs w:val="22"/>
          <w:rtl/>
        </w:rPr>
        <w:t xml:space="preserve">המסגרת: </w:t>
      </w:r>
      <w:r>
        <w:rPr>
          <w:rFonts w:ascii="Arial" w:cs="Arial" w:eastAsia="Arial" w:hAnsi="Arial"/>
          <w:b w:val="false"/>
          <w:bCs w:val="false"/>
          <w:i w:val="false"/>
          <w:iCs w:val="false"/>
          <w:color w:val="222222"/>
          <w:sz w:val="22"/>
          <w:szCs w:val="22"/>
          <w:rtl/>
        </w:rPr>
        <w:t xml:space="preserve">ארבע עילות — טעות (14), הטעיה (15), כפייה (17), עושק (18). הפגם מתגלה אחרי הכריתה; הסעד — ביטול חד-צדדי (14(א), 15, 17, 18) או באישור בית המשפט (14(ב)) + השבה (21). החוזה ניתן לביטול — לא בטל.</w:t>
      </w:r>
    </w:p>
    <w:p>
      <w:pPr>
        <w:pStyle w:val="Heading3"/>
        <w:keepNext/>
        <w:bidi/>
        <w:spacing w:after="80" w:before="140" w:line="276"/>
      </w:pPr>
      <w:r>
        <w:rPr>
          <w:rFonts w:ascii="Arial" w:cs="Arial" w:eastAsia="Arial" w:hAnsi="Arial"/>
          <w:b/>
          <w:bCs/>
          <w:i w:val="false"/>
          <w:iCs w:val="false"/>
          <w:color w:val="404040"/>
          <w:sz w:val="23"/>
          <w:szCs w:val="23"/>
          <w:rtl/>
        </w:rPr>
        <w:t xml:space="preserve">טעות (ס׳ 14) — נלמד</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הגדרה: </w:t>
      </w:r>
      <w:r>
        <w:rPr>
          <w:rFonts w:ascii="Arial" w:cs="Arial" w:eastAsia="Arial" w:hAnsi="Arial"/>
          <w:b w:val="false"/>
          <w:bCs w:val="false"/>
          <w:i w:val="false"/>
          <w:iCs w:val="false"/>
          <w:color w:val="222222"/>
          <w:sz w:val="22"/>
          <w:szCs w:val="22"/>
          <w:rtl/>
        </w:rPr>
        <w:t xml:space="preserve">"אמונה של צד לחוזה שאינה תואמת את המציאות" (שלו/שמגר, פס"ד רבינוביץ). מתייחסת להווה או לעבר — לא לעתיד.</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14(א) — טעות ידועה: </w:t>
      </w:r>
      <w:r>
        <w:rPr>
          <w:rFonts w:ascii="Arial" w:cs="Arial" w:eastAsia="Arial" w:hAnsi="Arial"/>
          <w:b w:val="false"/>
          <w:bCs w:val="false"/>
          <w:i w:val="false"/>
          <w:iCs w:val="false"/>
          <w:color w:val="222222"/>
          <w:sz w:val="22"/>
          <w:szCs w:val="22"/>
          <w:rtl/>
        </w:rPr>
        <w:t xml:space="preserve">יסודות: חוזה תקף; טעות (לא בכדאיות); קשר סיבתי; יסודיות (מבחן אובייקטיבי — "ניתן להניח שלולא הטעות לא היה מתקשר"); ידיעת הצד השני — בפועל (סובייקטיבית) או בכוח (אובייקטיבית, "היה עליו לדעת"). הסעד: ביטול עצמי בהודעה תוך זמן סביר (ס׳ 20) + השבה (ס׳ 21); כפוף לביטול חלקי (19) ולתיקון (14(ג)).</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14(ב) — טעות לא ידועה: </w:t>
      </w:r>
      <w:r>
        <w:rPr>
          <w:rFonts w:ascii="Arial" w:cs="Arial" w:eastAsia="Arial" w:hAnsi="Arial"/>
          <w:b w:val="false"/>
          <w:bCs w:val="false"/>
          <w:i w:val="false"/>
          <w:iCs w:val="false"/>
          <w:color w:val="222222"/>
          <w:sz w:val="22"/>
          <w:szCs w:val="22"/>
          <w:rtl/>
        </w:rPr>
        <w:t xml:space="preserve">אותם יסודות, אך הצד השני לא ידע ולא היה עליו לדעת. אין ביטול עצמי — רק ביהמ"ש, משיקולי צדק (נזק מול תועלת, רשלנות, אשם תורם), ורשאי לחייב את הטועה בפיצויים לצד השני. [מהשיעורים: טעות משותפת → 14(ב), זהבה כנען.]</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14(ג) — תיקון: </w:t>
      </w:r>
      <w:r>
        <w:rPr>
          <w:rFonts w:ascii="Arial" w:cs="Arial" w:eastAsia="Arial" w:hAnsi="Arial"/>
          <w:b w:val="false"/>
          <w:bCs w:val="false"/>
          <w:i w:val="false"/>
          <w:iCs w:val="false"/>
          <w:color w:val="222222"/>
          <w:sz w:val="22"/>
          <w:szCs w:val="22"/>
          <w:rtl/>
        </w:rPr>
        <w:t xml:space="preserve">אין ביטול אם ניתן לקיים בתיקון הטעות והצד השני הודיע לפני הביטול שמוכן לתקן.</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14(ד) — כדאיות העסקה: </w:t>
      </w:r>
      <w:r>
        <w:rPr>
          <w:rFonts w:ascii="Arial" w:cs="Arial" w:eastAsia="Arial" w:hAnsi="Arial"/>
          <w:b w:val="false"/>
          <w:bCs w:val="false"/>
          <w:i w:val="false"/>
          <w:iCs w:val="false"/>
          <w:color w:val="222222"/>
          <w:sz w:val="22"/>
          <w:szCs w:val="22"/>
          <w:rtl/>
        </w:rPr>
        <w:t xml:space="preserve">טעות שהיא אך ורק בכדאיות — אינה עילה: סיכון שנטל צד במודע, במפורש או מכללא, והתממש (פרידמן וכהן: מי שיודע שאין לו ידיעה על נתון ובכל זאת מתקשר — נטל את הסיכון). דוגמאות: תשואה/שווי עתידיים, קרקע שלא הופשרה, הסכם פשרה (בן לולו), מכר AS-IS (כרמל נ׳ טלמון). אבל טעות עובדתית על נתון קיים המשליך על שווי — כן טעות (ספקטור).</w:t>
      </w:r>
    </w:p>
    <w:p>
      <w:pPr>
        <w:pStyle w:val="Heading3"/>
        <w:keepNext/>
        <w:bidi/>
        <w:spacing w:after="80" w:before="140" w:line="276"/>
      </w:pPr>
      <w:r>
        <w:rPr>
          <w:rFonts w:ascii="Arial" w:cs="Arial" w:eastAsia="Arial" w:hAnsi="Arial"/>
          <w:b/>
          <w:bCs/>
          <w:i w:val="false"/>
          <w:iCs w:val="false"/>
          <w:color w:val="404040"/>
          <w:sz w:val="23"/>
          <w:szCs w:val="23"/>
          <w:rtl/>
        </w:rPr>
        <w:t xml:space="preserve">סעדים בשל פגם בכריתה (ס׳ 19–22) — נלמד</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ביטול חלקי (19): </w:t>
      </w:r>
      <w:r>
        <w:rPr>
          <w:rFonts w:ascii="Arial" w:cs="Arial" w:eastAsia="Arial" w:hAnsi="Arial"/>
          <w:b w:val="false"/>
          <w:bCs w:val="false"/>
          <w:i w:val="false"/>
          <w:iCs w:val="false"/>
          <w:color w:val="222222"/>
          <w:sz w:val="22"/>
          <w:szCs w:val="22"/>
          <w:rtl/>
        </w:rPr>
        <w:t xml:space="preserve">חוזה הניתן להפרדה והעילה בחלק אחד — מבטלים אותו בלבד; אם המתקשר לא היה נכנס לעסקה בלעדיו — רשאי לבטל הכול. אם אין יחידה שלמה הניתנת להפרדה — הברירה היא ביטול החוזה כולו (די וורולי סיאני נ׳ מינהל מקרקעי ישראל).</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דרך הביטול (20): </w:t>
      </w:r>
      <w:r>
        <w:rPr>
          <w:rFonts w:ascii="Arial" w:cs="Arial" w:eastAsia="Arial" w:hAnsi="Arial"/>
          <w:b w:val="false"/>
          <w:bCs w:val="false"/>
          <w:i w:val="false"/>
          <w:iCs w:val="false"/>
          <w:color w:val="222222"/>
          <w:sz w:val="22"/>
          <w:szCs w:val="22"/>
          <w:rtl/>
        </w:rPr>
        <w:t xml:space="preserve">הודעה — אף משתמעת — תוך זמן סביר מגילוי העילה (בכפייה: משפסקה הכפייה).</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השבה (21): </w:t>
      </w:r>
      <w:r>
        <w:rPr>
          <w:rFonts w:ascii="Arial" w:cs="Arial" w:eastAsia="Arial" w:hAnsi="Arial"/>
          <w:b w:val="false"/>
          <w:bCs w:val="false"/>
          <w:i w:val="false"/>
          <w:iCs w:val="false"/>
          <w:color w:val="222222"/>
          <w:sz w:val="22"/>
          <w:szCs w:val="22"/>
          <w:rtl/>
        </w:rPr>
        <w:t xml:space="preserve">הדדית; בעין, ואם בלתי אפשרית או בלתי סבירה — השבת שווי.</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שמירת תרופות (22): </w:t>
      </w:r>
      <w:r>
        <w:rPr>
          <w:rFonts w:ascii="Arial" w:cs="Arial" w:eastAsia="Arial" w:hAnsi="Arial"/>
          <w:b w:val="false"/>
          <w:bCs w:val="false"/>
          <w:i w:val="false"/>
          <w:iCs w:val="false"/>
          <w:color w:val="222222"/>
          <w:sz w:val="22"/>
          <w:szCs w:val="22"/>
          <w:rtl/>
        </w:rPr>
        <w:t xml:space="preserve">אפשר לצרף סעדים — למשל פיצויי הסתמכות מכוח ס׳ 12 בנוסף לביטול ולהשבה.</w:t>
      </w:r>
    </w:p>
    <w:p>
      <w:pPr>
        <w:shd w:fill="FFF6E0" w:val="clear"/>
        <w:bidi/>
        <w:spacing w:after="120" w:before="0" w:line="276"/>
        <w:ind w:left="150" w:right="150"/>
      </w:pPr>
      <w:r>
        <w:rPr>
          <w:rFonts w:ascii="Arial" w:cs="Arial" w:eastAsia="Arial" w:hAnsi="Arial"/>
          <w:b/>
          <w:bCs/>
          <w:i w:val="false"/>
          <w:iCs w:val="false"/>
          <w:color w:val="222222"/>
          <w:sz w:val="22"/>
          <w:szCs w:val="22"/>
          <w:rtl/>
        </w:rPr>
        <w:t xml:space="preserve">הטעיה (ס׳ 15) — צפוי להילמד ב-1.9: </w:t>
      </w:r>
      <w:r>
        <w:rPr>
          <w:rFonts w:ascii="Arial" w:cs="Arial" w:eastAsia="Arial" w:hAnsi="Arial"/>
          <w:b w:val="false"/>
          <w:bCs w:val="false"/>
          <w:i w:val="false"/>
          <w:iCs w:val="false"/>
          <w:color w:val="222222"/>
          <w:sz w:val="22"/>
          <w:szCs w:val="22"/>
          <w:rtl/>
        </w:rPr>
        <w:t xml:space="preserve">מצג שווא, העלמת מידע או הצהרה כוזבת בשלב הטרום-חוזי (בכתב, בע"פ או בהתנהגות), ע"י הצד השני או מטעמו. יסודות: חוזה; הטעיה אקטיבית ("שתילת מידע מוטעה") או פסיבית (אי-גילוי שחובה לגלות לפי דין, נסיבות או נוהג); טעות אצל המתקשר (לא בכדאיות); קשר סיבתי כפול (הטעיה ← טעות ← התקשרות). הסעד: ביטול עצמי (20) + השבה (21); כפוף לביטול חלקי (19). אי-גילוי מהותי = גם חוסר תו"ל (12) וגם הטעיה (15). פירוט נוסף — בנספח.</w:t>
      </w:r>
    </w:p>
    <w:p>
      <w:r>
        <w:br w:type="page"/>
      </w:r>
    </w:p>
    <w:p>
      <w:pPr>
        <w:pStyle w:val="Heading1"/>
        <w:keepNext/>
        <w:bidi/>
        <w:spacing w:after="160" w:before="240" w:line="276"/>
      </w:pPr>
      <w:r>
        <w:rPr>
          <w:rFonts w:ascii="Arial" w:cs="Arial" w:eastAsia="Arial" w:hAnsi="Arial"/>
          <w:b/>
          <w:bCs/>
          <w:i w:val="false"/>
          <w:iCs w:val="false"/>
          <w:color w:val="1F3864"/>
          <w:sz w:val="32"/>
          <w:szCs w:val="32"/>
          <w:rtl/>
        </w:rPr>
        <w:t xml:space="preserve">חלק ו׳ — הבוחן של הכיתה המקבילה (20.5) + פתרון מלא</w:t>
      </w:r>
    </w:p>
    <w:p>
      <w:pPr>
        <w:bidi/>
        <w:spacing w:after="120" w:before="0" w:line="276"/>
      </w:pPr>
      <w:r>
        <w:rPr>
          <w:rFonts w:ascii="Arial" w:cs="Arial" w:eastAsia="Arial" w:hAnsi="Arial"/>
          <w:b w:val="false"/>
          <w:bCs w:val="false"/>
          <w:i/>
          <w:iCs/>
          <w:color w:val="222222"/>
          <w:sz w:val="22"/>
          <w:szCs w:val="22"/>
          <w:rtl/>
        </w:rPr>
        <w:t xml:space="preserve">חמשת ההיגדים שנשאלו בפועל. נסו לענות לפני שמציצים בפתרון:</w:t>
      </w:r>
    </w:p>
    <w:p>
      <w:pPr>
        <w:bidi/>
        <w:spacing w:after="40" w:before="120" w:line="276"/>
      </w:pPr>
      <w:r>
        <w:rPr>
          <w:rFonts w:ascii="Arial" w:cs="Arial" w:eastAsia="Arial" w:hAnsi="Arial"/>
          <w:b/>
          <w:bCs/>
          <w:i w:val="false"/>
          <w:iCs w:val="false"/>
          <w:color w:val="222222"/>
          <w:sz w:val="22"/>
          <w:szCs w:val="22"/>
          <w:rtl/>
        </w:rPr>
        <w:t xml:space="preserve">1. </w:t>
      </w:r>
      <w:r>
        <w:rPr>
          <w:rFonts w:ascii="Arial" w:cs="Arial" w:eastAsia="Arial" w:hAnsi="Arial"/>
          <w:b/>
          <w:bCs/>
          <w:i w:val="false"/>
          <w:iCs w:val="false"/>
          <w:color w:val="222222"/>
          <w:sz w:val="22"/>
          <w:szCs w:val="22"/>
          <w:rtl/>
        </w:rPr>
        <w:t xml:space="preserve">הסעד של הפרת חובת תום לב במשא ומתן הוא ביטול החוזה או פיצויים לבחירת הנפגע.</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הסעד הקבוע בס׳ 12(ב) הוא פיצויים — ככלל פיצויי הסתמכות, ובחריגים פיצויי קיום (קל בניין) או אכיפה (זפניק). ביטול חוזה אינו הסעד — פעמים רבות כלל לא נכרת חוזה, וניתן לתבוע גם כשהחוזה נשאר בתוקף.</w:t>
      </w:r>
    </w:p>
    <w:p>
      <w:pPr>
        <w:bidi/>
        <w:spacing w:after="40" w:before="120" w:line="276"/>
      </w:pPr>
      <w:r>
        <w:rPr>
          <w:rFonts w:ascii="Arial" w:cs="Arial" w:eastAsia="Arial" w:hAnsi="Arial"/>
          <w:b/>
          <w:bCs/>
          <w:i w:val="false"/>
          <w:iCs w:val="false"/>
          <w:color w:val="222222"/>
          <w:sz w:val="22"/>
          <w:szCs w:val="22"/>
          <w:rtl/>
        </w:rPr>
        <w:t xml:space="preserve">2. </w:t>
      </w:r>
      <w:r>
        <w:rPr>
          <w:rFonts w:ascii="Arial" w:cs="Arial" w:eastAsia="Arial" w:hAnsi="Arial"/>
          <w:b/>
          <w:bCs/>
          <w:i w:val="false"/>
          <w:iCs w:val="false"/>
          <w:color w:val="222222"/>
          <w:sz w:val="22"/>
          <w:szCs w:val="22"/>
          <w:rtl/>
        </w:rPr>
        <w:t xml:space="preserve">שלומי הציע פרס למי שימצא את העגיל שאיבד בכיתה בבר אילן. יוסי יצא לחפש את העגיל. שלומי אינו רשאי כבר להתחרט מההצעה.</w:t>
      </w:r>
    </w:p>
    <w:p>
      <w:pPr>
        <w:shd w:fill="F5F5F0" w:val="clear"/>
        <w:bidi/>
        <w:spacing w:after="20" w:before="0" w:line="276"/>
        <w:ind w:left="150" w:right="150"/>
      </w:pPr>
      <w:r>
        <w:rPr>
          <w:rFonts w:ascii="Arial" w:cs="Arial" w:eastAsia="Arial" w:hAnsi="Arial"/>
          <w:b/>
          <w:bCs/>
          <w:i w:val="false"/>
          <w:iCs w:val="false"/>
          <w:color w:val="1E7B34"/>
          <w:sz w:val="22"/>
          <w:szCs w:val="22"/>
          <w:rtl/>
        </w:rPr>
        <w:t xml:space="preserve">נכון — </w:t>
      </w:r>
      <w:r>
        <w:rPr>
          <w:rFonts w:ascii="Arial" w:cs="Arial" w:eastAsia="Arial" w:hAnsi="Arial"/>
          <w:b w:val="false"/>
          <w:bCs w:val="false"/>
          <w:i w:val="false"/>
          <w:iCs w:val="false"/>
          <w:color w:val="222222"/>
          <w:sz w:val="22"/>
          <w:szCs w:val="22"/>
          <w:rtl/>
        </w:rPr>
        <w:t xml:space="preserve">הצעה לציבור (ס׳ 2 סיפא) שקיבולה במעשה לביצוע החוזה (ס׳ 6(א)). לפי סיפת ס׳ 6(א), לעניין ס׳ 3(א) דין ההתנהגות כדין הודעת קיבול — משהחל יוסי בביצוע (יצא לחפש), שלומי אינו רשאי עוד לחזור בו כלפיו.</w:t>
      </w:r>
    </w:p>
    <w:p>
      <w:pPr>
        <w:shd w:fill="F5F5F0" w:val="clear"/>
        <w:bidi/>
        <w:spacing w:after="140" w:before="0" w:line="276"/>
        <w:ind w:left="150" w:right="150"/>
      </w:pPr>
      <w:r>
        <w:rPr>
          <w:rFonts w:ascii="Arial" w:cs="Arial" w:eastAsia="Arial" w:hAnsi="Arial"/>
          <w:b w:val="false"/>
          <w:bCs w:val="false"/>
          <w:i w:val="false"/>
          <w:iCs w:val="false"/>
          <w:color w:val="555555"/>
          <w:sz w:val="20"/>
          <w:szCs w:val="20"/>
          <w:rtl/>
        </w:rPr>
        <w:t xml:space="preserve">השוו פ"ד קוזלי: חזרה מהצעת פרס דורשת כוונה + הודעה שפורסמה בדרך מקבילה לפרסום ההצעה — וכלפי מי שכבר החל לפעול, מאוחר מדי.</w:t>
      </w:r>
    </w:p>
    <w:p>
      <w:pPr>
        <w:bidi/>
        <w:spacing w:after="40" w:before="120" w:line="276"/>
      </w:pPr>
      <w:r>
        <w:rPr>
          <w:rFonts w:ascii="Arial" w:cs="Arial" w:eastAsia="Arial" w:hAnsi="Arial"/>
          <w:b/>
          <w:bCs/>
          <w:i w:val="false"/>
          <w:iCs w:val="false"/>
          <w:color w:val="222222"/>
          <w:sz w:val="22"/>
          <w:szCs w:val="22"/>
          <w:rtl/>
        </w:rPr>
        <w:t xml:space="preserve">3. </w:t>
      </w:r>
      <w:r>
        <w:rPr>
          <w:rFonts w:ascii="Arial" w:cs="Arial" w:eastAsia="Arial" w:hAnsi="Arial"/>
          <w:b/>
          <w:bCs/>
          <w:i w:val="false"/>
          <w:iCs w:val="false"/>
          <w:color w:val="222222"/>
          <w:sz w:val="22"/>
          <w:szCs w:val="22"/>
          <w:rtl/>
        </w:rPr>
        <w:t xml:space="preserve">זיכרון דברים יכול להיחשב לחוזה במקרקעין.</w:t>
      </w:r>
    </w:p>
    <w:p>
      <w:pPr>
        <w:shd w:fill="F5F5F0" w:val="clear"/>
        <w:bidi/>
        <w:spacing w:after="140" w:before="0" w:line="276"/>
        <w:ind w:left="150" w:right="150"/>
      </w:pPr>
      <w:r>
        <w:rPr>
          <w:rFonts w:ascii="Arial" w:cs="Arial" w:eastAsia="Arial" w:hAnsi="Arial"/>
          <w:b/>
          <w:bCs/>
          <w:i w:val="false"/>
          <w:iCs w:val="false"/>
          <w:color w:val="1E7B34"/>
          <w:sz w:val="22"/>
          <w:szCs w:val="22"/>
          <w:rtl/>
        </w:rPr>
        <w:t xml:space="preserve">נכון — </w:t>
      </w:r>
      <w:r>
        <w:rPr>
          <w:rFonts w:ascii="Arial" w:cs="Arial" w:eastAsia="Arial" w:hAnsi="Arial"/>
          <w:b w:val="false"/>
          <w:bCs w:val="false"/>
          <w:i w:val="false"/>
          <w:iCs w:val="false"/>
          <w:color w:val="222222"/>
          <w:sz w:val="22"/>
          <w:szCs w:val="22"/>
          <w:rtl/>
        </w:rPr>
        <w:t xml:space="preserve">לפי הלכת רבינאי נ׳ מן שקד (ע"א 158/77), זיכרון דברים שיש בו גמירת דעת של שני הצדדים ומסוימות (הפרטים המהותיים) הוא חוזה מחייב, והמסמך הכתוב ממלא גם את דרישת הכתב שבס׳ 8 לחוק המקרקעין.</w:t>
      </w:r>
    </w:p>
    <w:p>
      <w:pPr>
        <w:bidi/>
        <w:spacing w:after="40" w:before="120" w:line="276"/>
      </w:pPr>
      <w:r>
        <w:rPr>
          <w:rFonts w:ascii="Arial" w:cs="Arial" w:eastAsia="Arial" w:hAnsi="Arial"/>
          <w:b/>
          <w:bCs/>
          <w:i w:val="false"/>
          <w:iCs w:val="false"/>
          <w:color w:val="222222"/>
          <w:sz w:val="22"/>
          <w:szCs w:val="22"/>
          <w:rtl/>
        </w:rPr>
        <w:t xml:space="preserve">4. </w:t>
      </w:r>
      <w:r>
        <w:rPr>
          <w:rFonts w:ascii="Arial" w:cs="Arial" w:eastAsia="Arial" w:hAnsi="Arial"/>
          <w:b/>
          <w:bCs/>
          <w:i w:val="false"/>
          <w:iCs w:val="false"/>
          <w:color w:val="222222"/>
          <w:sz w:val="22"/>
          <w:szCs w:val="22"/>
          <w:rtl/>
        </w:rPr>
        <w:t xml:space="preserve">כאשר מציע מת לפני מתן הודעת קיבול ההצעה פוקעת.</w:t>
      </w:r>
    </w:p>
    <w:p>
      <w:pPr>
        <w:shd w:fill="F5F5F0" w:val="clear"/>
        <w:bidi/>
        <w:spacing w:after="140" w:before="0" w:line="276"/>
        <w:ind w:left="150" w:right="150"/>
      </w:pPr>
      <w:r>
        <w:rPr>
          <w:rFonts w:ascii="Arial" w:cs="Arial" w:eastAsia="Arial" w:hAnsi="Arial"/>
          <w:b/>
          <w:bCs/>
          <w:i w:val="false"/>
          <w:iCs w:val="false"/>
          <w:color w:val="1E7B34"/>
          <w:sz w:val="22"/>
          <w:szCs w:val="22"/>
          <w:rtl/>
        </w:rPr>
        <w:t xml:space="preserve">נכון — </w:t>
      </w:r>
      <w:r>
        <w:rPr>
          <w:rFonts w:ascii="Arial" w:cs="Arial" w:eastAsia="Arial" w:hAnsi="Arial"/>
          <w:b w:val="false"/>
          <w:bCs w:val="false"/>
          <w:i w:val="false"/>
          <w:iCs w:val="false"/>
          <w:color w:val="222222"/>
          <w:sz w:val="22"/>
          <w:szCs w:val="22"/>
          <w:rtl/>
        </w:rPr>
        <w:t xml:space="preserve">ס׳ 4(2) לחוק החוזים: ההצעה פוקעת כשמת המציע או הניצע לפני מתן הודעת הקיבול. (אם המוות אחרי מתן ההודעה — החוזה נכרת ומחייב את היורשים.)</w:t>
      </w:r>
    </w:p>
    <w:p>
      <w:pPr>
        <w:bidi/>
        <w:spacing w:after="40" w:before="120" w:line="276"/>
      </w:pPr>
      <w:r>
        <w:rPr>
          <w:rFonts w:ascii="Arial" w:cs="Arial" w:eastAsia="Arial" w:hAnsi="Arial"/>
          <w:b/>
          <w:bCs/>
          <w:i w:val="false"/>
          <w:iCs w:val="false"/>
          <w:color w:val="222222"/>
          <w:sz w:val="22"/>
          <w:szCs w:val="22"/>
          <w:rtl/>
        </w:rPr>
        <w:t xml:space="preserve">5. </w:t>
      </w:r>
      <w:r>
        <w:rPr>
          <w:rFonts w:ascii="Arial" w:cs="Arial" w:eastAsia="Arial" w:hAnsi="Arial"/>
          <w:b/>
          <w:bCs/>
          <w:i w:val="false"/>
          <w:iCs w:val="false"/>
          <w:color w:val="222222"/>
          <w:sz w:val="22"/>
          <w:szCs w:val="22"/>
          <w:rtl/>
        </w:rPr>
        <w:t xml:space="preserve">ניתן להשלים מכוח הנוהג כל פרט חסר בזיכרון דברים.</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השלמה (ס׳ 26) אפשרית רק לפרטים שאינם מעיקרי הדברים — מכוח נוהג בין הצדדים, נוהג מקובל או הוראות החוק המשלימות (ס׳ 41–46). בהעדר עיקרי הדברים אין מסוימות ואין חוזה כלל — ואין מה להשלים. המילה "כל" היא המלכודת.</w:t>
      </w:r>
    </w:p>
    <w:p>
      <w:r>
        <w:br w:type="page"/>
      </w:r>
    </w:p>
    <w:p>
      <w:pPr>
        <w:pStyle w:val="Heading1"/>
        <w:keepNext/>
        <w:bidi/>
        <w:spacing w:after="160" w:before="240" w:line="276"/>
      </w:pPr>
      <w:r>
        <w:rPr>
          <w:rFonts w:ascii="Arial" w:cs="Arial" w:eastAsia="Arial" w:hAnsi="Arial"/>
          <w:b/>
          <w:bCs/>
          <w:i w:val="false"/>
          <w:iCs w:val="false"/>
          <w:color w:val="1F3864"/>
          <w:sz w:val="32"/>
          <w:szCs w:val="32"/>
          <w:rtl/>
        </w:rPr>
        <w:t xml:space="preserve">חלק ז׳ — מאגר תרגול: 30 היגדים עם פתרונות</w:t>
      </w:r>
    </w:p>
    <w:p>
      <w:pPr>
        <w:bidi/>
        <w:spacing w:after="120" w:before="0" w:line="276"/>
      </w:pPr>
      <w:r>
        <w:rPr>
          <w:rFonts w:ascii="Arial" w:cs="Arial" w:eastAsia="Arial" w:hAnsi="Arial"/>
          <w:b w:val="false"/>
          <w:bCs w:val="false"/>
          <w:i/>
          <w:iCs/>
          <w:color w:val="222222"/>
          <w:sz w:val="22"/>
          <w:szCs w:val="22"/>
          <w:rtl/>
        </w:rPr>
        <w:t xml:space="preserve">היגדים 1–10 מקבצי התרגול הרשמיים ומשאלות הבונוס באתר; 11–26 נכתבו באותו סגנון על החומר שבהיקף; 27–30 על חומר הנספח (מסומנים). מומלץ לענות בכתב לפי התבנית ורק אז לבדוק.</w:t>
      </w:r>
    </w:p>
    <w:p>
      <w:pPr>
        <w:pStyle w:val="Heading2"/>
        <w:keepNext/>
        <w:bidi/>
        <w:spacing w:after="120" w:before="200" w:line="276"/>
      </w:pPr>
      <w:r>
        <w:rPr>
          <w:rFonts w:ascii="Arial" w:cs="Arial" w:eastAsia="Arial" w:hAnsi="Arial"/>
          <w:b/>
          <w:bCs/>
          <w:i w:val="false"/>
          <w:iCs w:val="false"/>
          <w:color w:val="2E5395"/>
          <w:sz w:val="27"/>
          <w:szCs w:val="27"/>
          <w:rtl/>
        </w:rPr>
        <w:t xml:space="preserve">מהתרגולים ומאתר הקורס</w:t>
      </w:r>
    </w:p>
    <w:p>
      <w:pPr>
        <w:bidi/>
        <w:spacing w:after="40" w:before="120" w:line="276"/>
      </w:pPr>
      <w:r>
        <w:rPr>
          <w:rFonts w:ascii="Arial" w:cs="Arial" w:eastAsia="Arial" w:hAnsi="Arial"/>
          <w:b/>
          <w:bCs/>
          <w:i w:val="false"/>
          <w:iCs w:val="false"/>
          <w:color w:val="222222"/>
          <w:sz w:val="22"/>
          <w:szCs w:val="22"/>
          <w:rtl/>
        </w:rPr>
        <w:t xml:space="preserve">1. </w:t>
      </w:r>
      <w:r>
        <w:rPr>
          <w:rFonts w:ascii="Arial" w:cs="Arial" w:eastAsia="Arial" w:hAnsi="Arial"/>
          <w:b/>
          <w:bCs/>
          <w:i w:val="false"/>
          <w:iCs w:val="false"/>
          <w:color w:val="222222"/>
          <w:sz w:val="22"/>
          <w:szCs w:val="22"/>
          <w:rtl/>
        </w:rPr>
        <w:t xml:space="preserve">החובה לנהוג בתום לב במשא ומתן חלה על כל מי שמשתתף במשא ומתן, גם אם בסוף הוא לא יהיה צד לחוזה הצפוי.</w:t>
      </w:r>
    </w:p>
    <w:p>
      <w:pPr>
        <w:shd w:fill="F5F5F0" w:val="clear"/>
        <w:bidi/>
        <w:spacing w:after="140" w:before="0" w:line="276"/>
        <w:ind w:left="150" w:right="150"/>
      </w:pPr>
      <w:r>
        <w:rPr>
          <w:rFonts w:ascii="Arial" w:cs="Arial" w:eastAsia="Arial" w:hAnsi="Arial"/>
          <w:b/>
          <w:bCs/>
          <w:i w:val="false"/>
          <w:iCs w:val="false"/>
          <w:color w:val="1E7B34"/>
          <w:sz w:val="22"/>
          <w:szCs w:val="22"/>
          <w:rtl/>
        </w:rPr>
        <w:t xml:space="preserve">נכון — </w:t>
      </w:r>
      <w:r>
        <w:rPr>
          <w:rFonts w:ascii="Arial" w:cs="Arial" w:eastAsia="Arial" w:hAnsi="Arial"/>
          <w:b w:val="false"/>
          <w:bCs w:val="false"/>
          <w:i w:val="false"/>
          <w:iCs w:val="false"/>
          <w:color w:val="222222"/>
          <w:sz w:val="22"/>
          <w:szCs w:val="22"/>
          <w:rtl/>
        </w:rPr>
        <w:t xml:space="preserve">ס׳ 12(א) מחיל את החובה על כל מי שנטל חלק במו"מ — צד להסכם, עובד חברה, מתווך וכדומה — ללא תלות בשאלה אם יהיה צד לחוזה או אם ייכרת חוזה בכלל.</w:t>
      </w:r>
    </w:p>
    <w:p>
      <w:pPr>
        <w:bidi/>
        <w:spacing w:after="40" w:before="120" w:line="276"/>
      </w:pPr>
      <w:r>
        <w:rPr>
          <w:rFonts w:ascii="Arial" w:cs="Arial" w:eastAsia="Arial" w:hAnsi="Arial"/>
          <w:b/>
          <w:bCs/>
          <w:i w:val="false"/>
          <w:iCs w:val="false"/>
          <w:color w:val="222222"/>
          <w:sz w:val="22"/>
          <w:szCs w:val="22"/>
          <w:rtl/>
        </w:rPr>
        <w:t xml:space="preserve">2. </w:t>
      </w:r>
      <w:r>
        <w:rPr>
          <w:rFonts w:ascii="Arial" w:cs="Arial" w:eastAsia="Arial" w:hAnsi="Arial"/>
          <w:b/>
          <w:bCs/>
          <w:i w:val="false"/>
          <w:iCs w:val="false"/>
          <w:color w:val="222222"/>
          <w:sz w:val="22"/>
          <w:szCs w:val="22"/>
          <w:rtl/>
        </w:rPr>
        <w:t xml:space="preserve">מודעה הקובעת כי התמורה עבור רכב היא בהתאם למחירון לוי יצחק אינה נחשבת הצעה כיוון שאין מסוימות.</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דרישת המסוימות מסתפקת בעיקרי הדברים (זנדבנק נ׳ דנציגר), והפניה למחירון שקולה לנקיבת מחיר. מדובר בהצעה לפי ס׳ 2.</w:t>
      </w:r>
    </w:p>
    <w:p>
      <w:pPr>
        <w:bidi/>
        <w:spacing w:after="40" w:before="120" w:line="276"/>
      </w:pPr>
      <w:r>
        <w:rPr>
          <w:rFonts w:ascii="Arial" w:cs="Arial" w:eastAsia="Arial" w:hAnsi="Arial"/>
          <w:b/>
          <w:bCs/>
          <w:i w:val="false"/>
          <w:iCs w:val="false"/>
          <w:color w:val="222222"/>
          <w:sz w:val="22"/>
          <w:szCs w:val="22"/>
          <w:rtl/>
        </w:rPr>
        <w:t xml:space="preserve">3. </w:t>
      </w:r>
      <w:r>
        <w:rPr>
          <w:rFonts w:ascii="Arial" w:cs="Arial" w:eastAsia="Arial" w:hAnsi="Arial"/>
          <w:b/>
          <w:bCs/>
          <w:i w:val="false"/>
          <w:iCs w:val="false"/>
          <w:color w:val="222222"/>
          <w:sz w:val="22"/>
          <w:szCs w:val="22"/>
          <w:rtl/>
        </w:rPr>
        <w:t xml:space="preserve">הצעה שניתן לקבל בהתנהגות אינה מאפשרת למציע להתחרט.</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גם בהצעה כזו המציע רשאי לחזור בו לפי ס׳ 3(א) — כל עוד לא ניתן קיבול. ס׳ 6(א) קובע רק שמשבוצעה ההתנהגות דינה כהודעת קיבול, ומאותו רגע (ולא לפניו) נחסמת החרטה.</w:t>
      </w:r>
    </w:p>
    <w:p>
      <w:pPr>
        <w:bidi/>
        <w:spacing w:after="40" w:before="120" w:line="276"/>
      </w:pPr>
      <w:r>
        <w:rPr>
          <w:rFonts w:ascii="Arial" w:cs="Arial" w:eastAsia="Arial" w:hAnsi="Arial"/>
          <w:b/>
          <w:bCs/>
          <w:i w:val="false"/>
          <w:iCs w:val="false"/>
          <w:color w:val="222222"/>
          <w:sz w:val="22"/>
          <w:szCs w:val="22"/>
          <w:rtl/>
        </w:rPr>
        <w:t xml:space="preserve">4. </w:t>
      </w:r>
      <w:r>
        <w:rPr>
          <w:rFonts w:ascii="Arial" w:cs="Arial" w:eastAsia="Arial" w:hAnsi="Arial"/>
          <w:b/>
          <w:bCs/>
          <w:i w:val="false"/>
          <w:iCs w:val="false"/>
          <w:color w:val="222222"/>
          <w:sz w:val="22"/>
          <w:szCs w:val="22"/>
          <w:rtl/>
        </w:rPr>
        <w:t xml:space="preserve">זיכרון דברים יכול לחייב את הצדדים גם אם הם תכננו לערוך חוזה מחייב בהמשך.</w:t>
      </w:r>
    </w:p>
    <w:p>
      <w:pPr>
        <w:shd w:fill="F5F5F0" w:val="clear"/>
        <w:bidi/>
        <w:spacing w:after="140" w:before="0" w:line="276"/>
        <w:ind w:left="150" w:right="150"/>
      </w:pPr>
      <w:r>
        <w:rPr>
          <w:rFonts w:ascii="Arial" w:cs="Arial" w:eastAsia="Arial" w:hAnsi="Arial"/>
          <w:b/>
          <w:bCs/>
          <w:i w:val="false"/>
          <w:iCs w:val="false"/>
          <w:color w:val="1E7B34"/>
          <w:sz w:val="22"/>
          <w:szCs w:val="22"/>
          <w:rtl/>
        </w:rPr>
        <w:t xml:space="preserve">נכון — </w:t>
      </w:r>
      <w:r>
        <w:rPr>
          <w:rFonts w:ascii="Arial" w:cs="Arial" w:eastAsia="Arial" w:hAnsi="Arial"/>
          <w:b w:val="false"/>
          <w:bCs w:val="false"/>
          <w:i w:val="false"/>
          <w:iCs w:val="false"/>
          <w:color w:val="222222"/>
          <w:sz w:val="22"/>
          <w:szCs w:val="22"/>
          <w:rtl/>
        </w:rPr>
        <w:t xml:space="preserve">לפי הלכת רבינאי, בהתקיים שתי דרישות מצטברות — גמירת דעת של שני הצדדים ומסוימות — זיכרון הדברים מחייב כחוזה, אף אם תוכנן חוזה מפורט שלא נחתם לבסוף.</w:t>
      </w:r>
    </w:p>
    <w:p>
      <w:pPr>
        <w:bidi/>
        <w:spacing w:after="40" w:before="120" w:line="276"/>
      </w:pPr>
      <w:r>
        <w:rPr>
          <w:rFonts w:ascii="Arial" w:cs="Arial" w:eastAsia="Arial" w:hAnsi="Arial"/>
          <w:b/>
          <w:bCs/>
          <w:i w:val="false"/>
          <w:iCs w:val="false"/>
          <w:color w:val="222222"/>
          <w:sz w:val="22"/>
          <w:szCs w:val="22"/>
          <w:rtl/>
        </w:rPr>
        <w:t xml:space="preserve">5. </w:t>
      </w:r>
      <w:r>
        <w:rPr>
          <w:rFonts w:ascii="Arial" w:cs="Arial" w:eastAsia="Arial" w:hAnsi="Arial"/>
          <w:b/>
          <w:bCs/>
          <w:i w:val="false"/>
          <w:iCs w:val="false"/>
          <w:color w:val="222222"/>
          <w:sz w:val="22"/>
          <w:szCs w:val="22"/>
          <w:rtl/>
        </w:rPr>
        <w:t xml:space="preserve">הודעת חרטה של ניצע הגיעה למציע בדיוק באותו רגע עם הודעת הקיבול שלו — בנסיבות אלו אין חוזה.</w:t>
      </w:r>
    </w:p>
    <w:p>
      <w:pPr>
        <w:shd w:fill="F5F5F0" w:val="clear"/>
        <w:bidi/>
        <w:spacing w:after="140" w:before="0" w:line="276"/>
        <w:ind w:left="150" w:right="150"/>
      </w:pPr>
      <w:r>
        <w:rPr>
          <w:rFonts w:ascii="Arial" w:cs="Arial" w:eastAsia="Arial" w:hAnsi="Arial"/>
          <w:b/>
          <w:bCs/>
          <w:i w:val="false"/>
          <w:iCs w:val="false"/>
          <w:color w:val="1E7B34"/>
          <w:sz w:val="22"/>
          <w:szCs w:val="22"/>
          <w:rtl/>
        </w:rPr>
        <w:t xml:space="preserve">נכון — </w:t>
      </w:r>
      <w:r>
        <w:rPr>
          <w:rFonts w:ascii="Arial" w:cs="Arial" w:eastAsia="Arial" w:hAnsi="Arial"/>
          <w:b w:val="false"/>
          <w:bCs w:val="false"/>
          <w:i w:val="false"/>
          <w:iCs w:val="false"/>
          <w:color w:val="222222"/>
          <w:sz w:val="22"/>
          <w:szCs w:val="22"/>
          <w:rtl/>
        </w:rPr>
        <w:t xml:space="preserve">לפי ס׳ 10, הניצע רשאי לחזור בו אם הודעת החזרה נמסרה למציע "לא לאחר" הודעת הקיבול — כלומר לפני או יחד איתה. בהגעה בו-זמנית החזרה גוברת ואין חוזה.</w:t>
      </w:r>
    </w:p>
    <w:p>
      <w:pPr>
        <w:bidi/>
        <w:spacing w:after="40" w:before="120" w:line="276"/>
      </w:pPr>
      <w:r>
        <w:rPr>
          <w:rFonts w:ascii="Arial" w:cs="Arial" w:eastAsia="Arial" w:hAnsi="Arial"/>
          <w:b/>
          <w:bCs/>
          <w:i w:val="false"/>
          <w:iCs w:val="false"/>
          <w:color w:val="222222"/>
          <w:sz w:val="22"/>
          <w:szCs w:val="22"/>
          <w:rtl/>
        </w:rPr>
        <w:t xml:space="preserve">6. </w:t>
      </w:r>
      <w:r>
        <w:rPr>
          <w:rFonts w:ascii="Arial" w:cs="Arial" w:eastAsia="Arial" w:hAnsi="Arial"/>
          <w:b/>
          <w:bCs/>
          <w:i w:val="false"/>
          <w:iCs w:val="false"/>
          <w:color w:val="222222"/>
          <w:sz w:val="22"/>
          <w:szCs w:val="22"/>
          <w:rtl/>
        </w:rPr>
        <w:t xml:space="preserve">הצעה מזכה ניתן לקבל רק באמצעות קיבול מפורש.</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ס׳ 7 קובע חזקת קיבול בשתיקה בהצעה מזכה; דווקא ההתנגדות היא הטעונה הודעה תוך זמן סביר.</w:t>
      </w:r>
    </w:p>
    <w:p>
      <w:pPr>
        <w:bidi/>
        <w:spacing w:after="40" w:before="120" w:line="276"/>
      </w:pPr>
      <w:r>
        <w:rPr>
          <w:rFonts w:ascii="Arial" w:cs="Arial" w:eastAsia="Arial" w:hAnsi="Arial"/>
          <w:b/>
          <w:bCs/>
          <w:i w:val="false"/>
          <w:iCs w:val="false"/>
          <w:color w:val="222222"/>
          <w:sz w:val="22"/>
          <w:szCs w:val="22"/>
          <w:rtl/>
        </w:rPr>
        <w:t xml:space="preserve">7. </w:t>
      </w:r>
      <w:r>
        <w:rPr>
          <w:rFonts w:ascii="Arial" w:cs="Arial" w:eastAsia="Arial" w:hAnsi="Arial"/>
          <w:b/>
          <w:bCs/>
          <w:i w:val="false"/>
          <w:iCs w:val="false"/>
          <w:color w:val="222222"/>
          <w:sz w:val="22"/>
          <w:szCs w:val="22"/>
          <w:rtl/>
        </w:rPr>
        <w:t xml:space="preserve">אם חסרים עיקרי הפרטים בזיכרון דברים, בית המשפט רשאי להשלימם.</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ניתן להשלים (ס׳ 26) רק פרטים שאינם עיקר; בלי עיקרי הדברים אין מסוימות ואין חוזה בכלל — ואין מה להשלים.</w:t>
      </w:r>
    </w:p>
    <w:p>
      <w:pPr>
        <w:bidi/>
        <w:spacing w:after="40" w:before="120" w:line="276"/>
      </w:pPr>
      <w:r>
        <w:rPr>
          <w:rFonts w:ascii="Arial" w:cs="Arial" w:eastAsia="Arial" w:hAnsi="Arial"/>
          <w:b/>
          <w:bCs/>
          <w:i w:val="false"/>
          <w:iCs w:val="false"/>
          <w:color w:val="222222"/>
          <w:sz w:val="22"/>
          <w:szCs w:val="22"/>
          <w:rtl/>
        </w:rPr>
        <w:t xml:space="preserve">8. </w:t>
      </w:r>
      <w:r>
        <w:rPr>
          <w:rFonts w:ascii="Arial" w:cs="Arial" w:eastAsia="Arial" w:hAnsi="Arial"/>
          <w:b/>
          <w:bCs/>
          <w:i w:val="false"/>
          <w:iCs w:val="false"/>
          <w:color w:val="222222"/>
          <w:sz w:val="22"/>
          <w:szCs w:val="22"/>
          <w:rtl/>
        </w:rPr>
        <w:t xml:space="preserve">קיבול בהתנהגות אפשרי בכל סוג של הצעה.</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לפי ס׳ 6(א), קיבול בהתנהגות אפשרי רק כשנקבע ע"י המציע או משתמע מן ההצעה (שג"מ חניונים — כניסה לחניון; מודעת פרס) — לא בכל הצעה.</w:t>
      </w:r>
    </w:p>
    <w:p>
      <w:pPr>
        <w:bidi/>
        <w:spacing w:after="40" w:before="120" w:line="276"/>
      </w:pPr>
      <w:r>
        <w:rPr>
          <w:rFonts w:ascii="Arial" w:cs="Arial" w:eastAsia="Arial" w:hAnsi="Arial"/>
          <w:b/>
          <w:bCs/>
          <w:i w:val="false"/>
          <w:iCs w:val="false"/>
          <w:color w:val="222222"/>
          <w:sz w:val="22"/>
          <w:szCs w:val="22"/>
          <w:rtl/>
        </w:rPr>
        <w:t xml:space="preserve">9. </w:t>
      </w:r>
      <w:r>
        <w:rPr>
          <w:rFonts w:ascii="Arial" w:cs="Arial" w:eastAsia="Arial" w:hAnsi="Arial"/>
          <w:b/>
          <w:bCs/>
          <w:i w:val="false"/>
          <w:iCs w:val="false"/>
          <w:color w:val="222222"/>
          <w:sz w:val="22"/>
          <w:szCs w:val="22"/>
          <w:rtl/>
        </w:rPr>
        <w:t xml:space="preserve">בנימין שלח לאיתמר הצעה בדואר רשום ובה נכתב שההצעה פתוחה ליומיים מיום הגעתה. כעבור שעה התחרט בנימין. בנימין יוכל לחזור בו רק אם יודיע לאיתמר לפני הגעת המכתב עם ההצעה.</w:t>
      </w:r>
    </w:p>
    <w:p>
      <w:pPr>
        <w:shd w:fill="F5F5F0" w:val="clear"/>
        <w:bidi/>
        <w:spacing w:after="140" w:before="0" w:line="276"/>
        <w:ind w:left="150" w:right="150"/>
      </w:pPr>
      <w:r>
        <w:rPr>
          <w:rFonts w:ascii="Arial" w:cs="Arial" w:eastAsia="Arial" w:hAnsi="Arial"/>
          <w:b/>
          <w:bCs/>
          <w:i w:val="false"/>
          <w:iCs w:val="false"/>
          <w:color w:val="1E7B34"/>
          <w:sz w:val="22"/>
          <w:szCs w:val="22"/>
          <w:rtl/>
        </w:rPr>
        <w:t xml:space="preserve">נכון — </w:t>
      </w:r>
      <w:r>
        <w:rPr>
          <w:rFonts w:ascii="Arial" w:cs="Arial" w:eastAsia="Arial" w:hAnsi="Arial"/>
          <w:b w:val="false"/>
          <w:bCs w:val="false"/>
          <w:i w:val="false"/>
          <w:iCs w:val="false"/>
          <w:color w:val="222222"/>
          <w:sz w:val="22"/>
          <w:szCs w:val="22"/>
          <w:rtl/>
        </w:rPr>
        <w:t xml:space="preserve">משנקבע מועד לקיבול, ההצעה בלתי הדירה לפי ס׳ 3(ב) — אין לחזור ממנה לאחר שנמסרה לניצע. חלון החרטה היחיד הוא עד מסירת ההצעה (השוו תשובה נ׳ בר נתן).</w:t>
      </w:r>
    </w:p>
    <w:p>
      <w:pPr>
        <w:bidi/>
        <w:spacing w:after="40" w:before="120" w:line="276"/>
      </w:pPr>
      <w:r>
        <w:rPr>
          <w:rFonts w:ascii="Arial" w:cs="Arial" w:eastAsia="Arial" w:hAnsi="Arial"/>
          <w:b/>
          <w:bCs/>
          <w:i w:val="false"/>
          <w:iCs w:val="false"/>
          <w:color w:val="222222"/>
          <w:sz w:val="22"/>
          <w:szCs w:val="22"/>
          <w:rtl/>
        </w:rPr>
        <w:t xml:space="preserve">10. </w:t>
      </w:r>
      <w:r>
        <w:rPr>
          <w:rFonts w:ascii="Arial" w:cs="Arial" w:eastAsia="Arial" w:hAnsi="Arial"/>
          <w:b/>
          <w:bCs/>
          <w:i w:val="false"/>
          <w:iCs w:val="false"/>
          <w:color w:val="222222"/>
          <w:sz w:val="22"/>
          <w:szCs w:val="22"/>
          <w:rtl/>
        </w:rPr>
        <w:t xml:space="preserve">רמי מעוניין לבטל חוזה שהתקשר בו עקב כפייה — עליו לעשות זאת תוך זמן סביר מרגע שנכרת החוזה.</w:t>
      </w:r>
      <w:r>
        <w:rPr>
          <w:rFonts w:ascii="Arial" w:cs="Arial" w:eastAsia="Arial" w:hAnsi="Arial"/>
          <w:b/>
          <w:bCs/>
          <w:i w:val="false"/>
          <w:iCs w:val="false"/>
          <w:color w:val="B26B00"/>
          <w:sz w:val="19"/>
          <w:szCs w:val="19"/>
          <w:rtl/>
        </w:rPr>
        <w:t xml:space="preserve">   [שאלת בונוס — נספח]</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לפי ס׳ 20, בכפייה מרוץ הזמן הסביר מתחיל מרגע שפסקה הכפייה — לא מרגע הכריתה — שכן כל עוד הכפייה נמשכת הנכפה אינו חופשי לבטל.</w:t>
      </w:r>
    </w:p>
    <w:p>
      <w:pPr>
        <w:pStyle w:val="Heading2"/>
        <w:keepNext/>
        <w:bidi/>
        <w:spacing w:after="120" w:before="200" w:line="276"/>
      </w:pPr>
      <w:r>
        <w:rPr>
          <w:rFonts w:ascii="Arial" w:cs="Arial" w:eastAsia="Arial" w:hAnsi="Arial"/>
          <w:b/>
          <w:bCs/>
          <w:i w:val="false"/>
          <w:iCs w:val="false"/>
          <w:color w:val="2E5395"/>
          <w:sz w:val="27"/>
          <w:szCs w:val="27"/>
          <w:rtl/>
        </w:rPr>
        <w:t xml:space="preserve">היגדים נוספים על החומר שבהיקף</w:t>
      </w:r>
    </w:p>
    <w:p>
      <w:pPr>
        <w:bidi/>
        <w:spacing w:after="40" w:before="120" w:line="276"/>
      </w:pPr>
      <w:r>
        <w:rPr>
          <w:rFonts w:ascii="Arial" w:cs="Arial" w:eastAsia="Arial" w:hAnsi="Arial"/>
          <w:b/>
          <w:bCs/>
          <w:i w:val="false"/>
          <w:iCs w:val="false"/>
          <w:color w:val="222222"/>
          <w:sz w:val="22"/>
          <w:szCs w:val="22"/>
          <w:rtl/>
        </w:rPr>
        <w:t xml:space="preserve">11. </w:t>
      </w:r>
      <w:r>
        <w:rPr>
          <w:rFonts w:ascii="Arial" w:cs="Arial" w:eastAsia="Arial" w:hAnsi="Arial"/>
          <w:b/>
          <w:bCs/>
          <w:i w:val="false"/>
          <w:iCs w:val="false"/>
          <w:color w:val="222222"/>
          <w:sz w:val="22"/>
          <w:szCs w:val="22"/>
          <w:rtl/>
        </w:rPr>
        <w:t xml:space="preserve">חוזה למכירת רכב שנעשה בעל פה בלבד — אין לו תוקף משפטי.</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ס׳ 23 קובע חופש צורה: חוזה נעשה בעל פה, בכתב או בצורה אחרת. דרישת כתב קיימת רק כשחוק או הסכם קובעים אותה כתנאי לתוקף (מקרקעין — ס׳ 8; מתנה עתידית — ס׳ 5(א) לחוק המתנה). מכר רכב אינו כזה.</w:t>
      </w:r>
    </w:p>
    <w:p>
      <w:pPr>
        <w:bidi/>
        <w:spacing w:after="40" w:before="120" w:line="276"/>
      </w:pPr>
      <w:r>
        <w:rPr>
          <w:rFonts w:ascii="Arial" w:cs="Arial" w:eastAsia="Arial" w:hAnsi="Arial"/>
          <w:b/>
          <w:bCs/>
          <w:i w:val="false"/>
          <w:iCs w:val="false"/>
          <w:color w:val="222222"/>
          <w:sz w:val="22"/>
          <w:szCs w:val="22"/>
          <w:rtl/>
        </w:rPr>
        <w:t xml:space="preserve">12. </w:t>
      </w:r>
      <w:r>
        <w:rPr>
          <w:rFonts w:ascii="Arial" w:cs="Arial" w:eastAsia="Arial" w:hAnsi="Arial"/>
          <w:b/>
          <w:bCs/>
          <w:i w:val="false"/>
          <w:iCs w:val="false"/>
          <w:color w:val="222222"/>
          <w:sz w:val="22"/>
          <w:szCs w:val="22"/>
          <w:rtl/>
        </w:rPr>
        <w:t xml:space="preserve">חוזה שתוכנו נוגד את תקנת הציבור ניתן לביטול על ידי הצד הנפגע.</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לפי ס׳ 30, חוזה כזה בטל — בטלות מעצמה ומלכתחילה, ללא צורך בהודעת ביטול. ההבחנה בין "בטל" ל"ניתן לביטול" היא לב ההיגד.</w:t>
      </w:r>
    </w:p>
    <w:p>
      <w:pPr>
        <w:bidi/>
        <w:spacing w:after="40" w:before="120" w:line="276"/>
      </w:pPr>
      <w:r>
        <w:rPr>
          <w:rFonts w:ascii="Arial" w:cs="Arial" w:eastAsia="Arial" w:hAnsi="Arial"/>
          <w:b/>
          <w:bCs/>
          <w:i w:val="false"/>
          <w:iCs w:val="false"/>
          <w:color w:val="222222"/>
          <w:sz w:val="22"/>
          <w:szCs w:val="22"/>
          <w:rtl/>
        </w:rPr>
        <w:t xml:space="preserve">13. </w:t>
      </w:r>
      <w:r>
        <w:rPr>
          <w:rFonts w:ascii="Arial" w:cs="Arial" w:eastAsia="Arial" w:hAnsi="Arial"/>
          <w:b/>
          <w:bCs/>
          <w:i w:val="false"/>
          <w:iCs w:val="false"/>
          <w:color w:val="222222"/>
          <w:sz w:val="22"/>
          <w:szCs w:val="22"/>
          <w:rtl/>
        </w:rPr>
        <w:t xml:space="preserve">קטין בן 17 אינו כשיר להתקשר בחוזה.</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לפי ס׳ 2 לחוק הכשרות המשפטית, כל אדם כשר לפעולות משפטיות. פעולת קטין טעונה הסכמת נציגו (ס׳ 4) וניתנת לביטול בתנאי ס׳ 5 — אך הקטין אינו נטול כשרות.</w:t>
      </w:r>
    </w:p>
    <w:p>
      <w:pPr>
        <w:bidi/>
        <w:spacing w:after="40" w:before="120" w:line="276"/>
      </w:pPr>
      <w:r>
        <w:rPr>
          <w:rFonts w:ascii="Arial" w:cs="Arial" w:eastAsia="Arial" w:hAnsi="Arial"/>
          <w:b/>
          <w:bCs/>
          <w:i w:val="false"/>
          <w:iCs w:val="false"/>
          <w:color w:val="222222"/>
          <w:sz w:val="22"/>
          <w:szCs w:val="22"/>
          <w:rtl/>
        </w:rPr>
        <w:t xml:space="preserve">14. </w:t>
      </w:r>
      <w:r>
        <w:rPr>
          <w:rFonts w:ascii="Arial" w:cs="Arial" w:eastAsia="Arial" w:hAnsi="Arial"/>
          <w:b/>
          <w:bCs/>
          <w:i w:val="false"/>
          <w:iCs w:val="false"/>
          <w:color w:val="222222"/>
          <w:sz w:val="22"/>
          <w:szCs w:val="22"/>
          <w:rtl/>
        </w:rPr>
        <w:t xml:space="preserve">מציע רשאי לקבוע בהצעתו כי אם הניצע לא יגיב תוך שבוע — ייחשב הדבר כהסכמה.</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ס׳ 6(ב): קביעת המציע שהעדר תגובה ייחשב לקיבול — אין לה תוקף. שתיקה כקיבול אפשרית רק ביוזמת הניצע או בהסכמתו (או בהצעה מזכה — ס׳ 7).</w:t>
      </w:r>
    </w:p>
    <w:p>
      <w:pPr>
        <w:bidi/>
        <w:spacing w:after="40" w:before="120" w:line="276"/>
      </w:pPr>
      <w:r>
        <w:rPr>
          <w:rFonts w:ascii="Arial" w:cs="Arial" w:eastAsia="Arial" w:hAnsi="Arial"/>
          <w:b/>
          <w:bCs/>
          <w:i w:val="false"/>
          <w:iCs w:val="false"/>
          <w:color w:val="222222"/>
          <w:sz w:val="22"/>
          <w:szCs w:val="22"/>
          <w:rtl/>
        </w:rPr>
        <w:t xml:space="preserve">15. </w:t>
      </w:r>
      <w:r>
        <w:rPr>
          <w:rFonts w:ascii="Arial" w:cs="Arial" w:eastAsia="Arial" w:hAnsi="Arial"/>
          <w:b/>
          <w:bCs/>
          <w:i w:val="false"/>
          <w:iCs w:val="false"/>
          <w:color w:val="222222"/>
          <w:sz w:val="22"/>
          <w:szCs w:val="22"/>
          <w:rtl/>
        </w:rPr>
        <w:t xml:space="preserve">ניצע שהשיב "מסכים, בתנאי שהמסירה תוקדם בשבוע" — קיבל את ההצעה ונכרת חוזה.</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קיבול חייב לתאום את ההצעה. תשובה עם תוספת, הגבלה או שינוי היא קיבול תוך שינוי — שדינו הצעה חדשה (ס׳ 11), והתפקידים מתהפכים.</w:t>
      </w:r>
    </w:p>
    <w:p>
      <w:pPr>
        <w:bidi/>
        <w:spacing w:after="40" w:before="120" w:line="276"/>
      </w:pPr>
      <w:r>
        <w:rPr>
          <w:rFonts w:ascii="Arial" w:cs="Arial" w:eastAsia="Arial" w:hAnsi="Arial"/>
          <w:b/>
          <w:bCs/>
          <w:i w:val="false"/>
          <w:iCs w:val="false"/>
          <w:color w:val="222222"/>
          <w:sz w:val="22"/>
          <w:szCs w:val="22"/>
          <w:rtl/>
        </w:rPr>
        <w:t xml:space="preserve">16. </w:t>
      </w:r>
      <w:r>
        <w:rPr>
          <w:rFonts w:ascii="Arial" w:cs="Arial" w:eastAsia="Arial" w:hAnsi="Arial"/>
          <w:b/>
          <w:bCs/>
          <w:i w:val="false"/>
          <w:iCs w:val="false"/>
          <w:color w:val="222222"/>
          <w:sz w:val="22"/>
          <w:szCs w:val="22"/>
          <w:rtl/>
        </w:rPr>
        <w:t xml:space="preserve">הודעת קיבול שנשלחה במועד אך הגיעה למציע באיחור בשל תקלת תקשורת שאינה תלויה בניצע — אינה יוצרת חוזה.</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לפי ס׳ 8(ב), במקרה כזה נכרת חוזה — אלא אם המציע הודיע לניצע על דחיית הקיבול מיד עם קבלת ההודעה המאוחרת.</w:t>
      </w:r>
    </w:p>
    <w:p>
      <w:pPr>
        <w:bidi/>
        <w:spacing w:after="40" w:before="120" w:line="276"/>
      </w:pPr>
      <w:r>
        <w:rPr>
          <w:rFonts w:ascii="Arial" w:cs="Arial" w:eastAsia="Arial" w:hAnsi="Arial"/>
          <w:b/>
          <w:bCs/>
          <w:i w:val="false"/>
          <w:iCs w:val="false"/>
          <w:color w:val="222222"/>
          <w:sz w:val="22"/>
          <w:szCs w:val="22"/>
          <w:rtl/>
        </w:rPr>
        <w:t xml:space="preserve">17. </w:t>
      </w:r>
      <w:r>
        <w:rPr>
          <w:rFonts w:ascii="Arial" w:cs="Arial" w:eastAsia="Arial" w:hAnsi="Arial"/>
          <w:b/>
          <w:bCs/>
          <w:i w:val="false"/>
          <w:iCs w:val="false"/>
          <w:color w:val="222222"/>
          <w:sz w:val="22"/>
          <w:szCs w:val="22"/>
          <w:rtl/>
        </w:rPr>
        <w:t xml:space="preserve">קיבול של הצעה שפקעה הוא חסר כל נפקות משפטית.</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לפי ס׳ 9, קיבול לאחר פקיעה כמוהו כהצעה חדשה — המציע המקורי (שהפך ניצע) רשאי לקבלה וליצור חוזה.</w:t>
      </w:r>
    </w:p>
    <w:p>
      <w:pPr>
        <w:bidi/>
        <w:spacing w:after="40" w:before="120" w:line="276"/>
      </w:pPr>
      <w:r>
        <w:rPr>
          <w:rFonts w:ascii="Arial" w:cs="Arial" w:eastAsia="Arial" w:hAnsi="Arial"/>
          <w:b/>
          <w:bCs/>
          <w:i w:val="false"/>
          <w:iCs w:val="false"/>
          <w:color w:val="222222"/>
          <w:sz w:val="22"/>
          <w:szCs w:val="22"/>
          <w:rtl/>
        </w:rPr>
        <w:t xml:space="preserve">18. </w:t>
      </w:r>
      <w:r>
        <w:rPr>
          <w:rFonts w:ascii="Arial" w:cs="Arial" w:eastAsia="Arial" w:hAnsi="Arial"/>
          <w:b/>
          <w:bCs/>
          <w:i w:val="false"/>
          <w:iCs w:val="false"/>
          <w:color w:val="222222"/>
          <w:sz w:val="22"/>
          <w:szCs w:val="22"/>
          <w:rtl/>
        </w:rPr>
        <w:t xml:space="preserve">א׳ הציע לב׳ לקנות את רכבו, וב׳ השיב "כן" במייל. שעה לאחר מכן, בטרם נקרא המייל, מת ב׳ — ההצעה פקעה ואין חוזה.</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ס׳ 4(2) מפקיע את ההצעה רק במות צד לפני מתן הודעת הקיבול. "מתן" = אמירת/משלוח ה"כן" — וזה כבר נעשה. החוזה נכרת ומחייב את העיזבון.</w:t>
      </w:r>
    </w:p>
    <w:p>
      <w:pPr>
        <w:bidi/>
        <w:spacing w:after="40" w:before="120" w:line="276"/>
      </w:pPr>
      <w:r>
        <w:rPr>
          <w:rFonts w:ascii="Arial" w:cs="Arial" w:eastAsia="Arial" w:hAnsi="Arial"/>
          <w:b/>
          <w:bCs/>
          <w:i w:val="false"/>
          <w:iCs w:val="false"/>
          <w:color w:val="222222"/>
          <w:sz w:val="22"/>
          <w:szCs w:val="22"/>
          <w:rtl/>
        </w:rPr>
        <w:t xml:space="preserve">19. </w:t>
      </w:r>
      <w:r>
        <w:rPr>
          <w:rFonts w:ascii="Arial" w:cs="Arial" w:eastAsia="Arial" w:hAnsi="Arial"/>
          <w:b/>
          <w:bCs/>
          <w:i w:val="false"/>
          <w:iCs w:val="false"/>
          <w:color w:val="222222"/>
          <w:sz w:val="22"/>
          <w:szCs w:val="22"/>
          <w:rtl/>
        </w:rPr>
        <w:t xml:space="preserve">"מתן הודעת קיבול" הוא הרגע שבו הודעת הקיבול מגיעה לידי המציע.</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מתן הודעת קיבול = רגע אמירת ה"כן" או משלוחו; הרגע שבו ההודעה מגיעה למציע הוא "מסירת" ההודעה. ההבחנה קריטית: ס׳ 3(א) ו-4(2) נבחנים לפי מתן; ס׳ 10 — לפי מסירה.</w:t>
      </w:r>
    </w:p>
    <w:p>
      <w:pPr>
        <w:bidi/>
        <w:spacing w:after="40" w:before="120" w:line="276"/>
      </w:pPr>
      <w:r>
        <w:rPr>
          <w:rFonts w:ascii="Arial" w:cs="Arial" w:eastAsia="Arial" w:hAnsi="Arial"/>
          <w:b/>
          <w:bCs/>
          <w:i w:val="false"/>
          <w:iCs w:val="false"/>
          <w:color w:val="222222"/>
          <w:sz w:val="22"/>
          <w:szCs w:val="22"/>
          <w:rtl/>
        </w:rPr>
        <w:t xml:space="preserve">20. </w:t>
      </w:r>
      <w:r>
        <w:rPr>
          <w:rFonts w:ascii="Arial" w:cs="Arial" w:eastAsia="Arial" w:hAnsi="Arial"/>
          <w:b/>
          <w:bCs/>
          <w:i w:val="false"/>
          <w:iCs w:val="false"/>
          <w:color w:val="222222"/>
          <w:sz w:val="22"/>
          <w:szCs w:val="22"/>
          <w:rtl/>
        </w:rPr>
        <w:t xml:space="preserve">ניהול משא ומתן במקביל עם כמה רוכשים מהווה כשלעצמו חוסר תום לב.</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מו"מ מקביל הוא לגיטימי (זעירא נ׳ קנית); חוסר תום הלב (ס׳ 12) נוצר בהסתרה וביצירת מצג של בלעדיות — חובת השיקוף היא ההופכת את ההתנהגות לפסולה.</w:t>
      </w:r>
    </w:p>
    <w:p>
      <w:pPr>
        <w:bidi/>
        <w:spacing w:after="40" w:before="120" w:line="276"/>
      </w:pPr>
      <w:r>
        <w:rPr>
          <w:rFonts w:ascii="Arial" w:cs="Arial" w:eastAsia="Arial" w:hAnsi="Arial"/>
          <w:b/>
          <w:bCs/>
          <w:i w:val="false"/>
          <w:iCs w:val="false"/>
          <w:color w:val="222222"/>
          <w:sz w:val="22"/>
          <w:szCs w:val="22"/>
          <w:rtl/>
        </w:rPr>
        <w:t xml:space="preserve">21. </w:t>
      </w:r>
      <w:r>
        <w:rPr>
          <w:rFonts w:ascii="Arial" w:cs="Arial" w:eastAsia="Arial" w:hAnsi="Arial"/>
          <w:b/>
          <w:bCs/>
          <w:i w:val="false"/>
          <w:iCs w:val="false"/>
          <w:color w:val="222222"/>
          <w:sz w:val="22"/>
          <w:szCs w:val="22"/>
          <w:rtl/>
        </w:rPr>
        <w:t xml:space="preserve">מי שפרש ממשא ומתן מבלי שנכרת חוזה אינו חשוף לתביעה, שהרי אין חוזה ביניהם.</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חובת תום הלב (ס׳ 12) חלה בשלב הטרום-חוזי, והסעד (12(ב)) אינו תלוי בכריתה. פרישה שלא בתום לב בשלב מתקדם מזכה בפיצויי הסתמכות, ובחריגים אף בפיצויי קיום (קל בניין).</w:t>
      </w:r>
    </w:p>
    <w:p>
      <w:pPr>
        <w:bidi/>
        <w:spacing w:after="40" w:before="120" w:line="276"/>
      </w:pPr>
      <w:r>
        <w:rPr>
          <w:rFonts w:ascii="Arial" w:cs="Arial" w:eastAsia="Arial" w:hAnsi="Arial"/>
          <w:b/>
          <w:bCs/>
          <w:i w:val="false"/>
          <w:iCs w:val="false"/>
          <w:color w:val="222222"/>
          <w:sz w:val="22"/>
          <w:szCs w:val="22"/>
          <w:rtl/>
        </w:rPr>
        <w:t xml:space="preserve">22. </w:t>
      </w:r>
      <w:r>
        <w:rPr>
          <w:rFonts w:ascii="Arial" w:cs="Arial" w:eastAsia="Arial" w:hAnsi="Arial"/>
          <w:b/>
          <w:bCs/>
          <w:i w:val="false"/>
          <w:iCs w:val="false"/>
          <w:color w:val="222222"/>
          <w:sz w:val="22"/>
          <w:szCs w:val="22"/>
          <w:rtl/>
        </w:rPr>
        <w:t xml:space="preserve">צד שנפגע מחוסר תום לב במשא ומתן חייב לבטל את החוזה שנכרת כדי לזכות בפיצויים לפי ס׳ 12(ב).</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ניתן לתבוע פיצויים בגין הפרת חובת תום הלב בין אם נכרת חוזה ובין אם לאו — וגם אם הנפגע בוחר להשאיר את החוזה בתוקפו.</w:t>
      </w:r>
    </w:p>
    <w:p>
      <w:pPr>
        <w:bidi/>
        <w:spacing w:after="40" w:before="120" w:line="276"/>
      </w:pPr>
      <w:r>
        <w:rPr>
          <w:rFonts w:ascii="Arial" w:cs="Arial" w:eastAsia="Arial" w:hAnsi="Arial"/>
          <w:b/>
          <w:bCs/>
          <w:i w:val="false"/>
          <w:iCs w:val="false"/>
          <w:color w:val="222222"/>
          <w:sz w:val="22"/>
          <w:szCs w:val="22"/>
          <w:rtl/>
        </w:rPr>
        <w:t xml:space="preserve">23. </w:t>
      </w:r>
      <w:r>
        <w:rPr>
          <w:rFonts w:ascii="Arial" w:cs="Arial" w:eastAsia="Arial" w:hAnsi="Arial"/>
          <w:b/>
          <w:bCs/>
          <w:i w:val="false"/>
          <w:iCs w:val="false"/>
          <w:color w:val="222222"/>
          <w:sz w:val="22"/>
          <w:szCs w:val="22"/>
          <w:rtl/>
        </w:rPr>
        <w:t xml:space="preserve">רוכשת קרקע חקלאית שקיוותה להפשרה קרובה, וההפשרה לא הגיעה — רשאית לבטל את החוזה בעילת טעות.</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טעות (ס׳ 14) מתייחסת להווה או לעבר בלבד (פס"ד רבינוביץ); ציפייה עתידית שהתבדתה היא סיכון מודע שהתממש — טעות בכדאיות העסקה המוחרגת בס׳ 14(ד) (בן לולו).</w:t>
      </w:r>
    </w:p>
    <w:p>
      <w:pPr>
        <w:bidi/>
        <w:spacing w:after="40" w:before="120" w:line="276"/>
      </w:pPr>
      <w:r>
        <w:rPr>
          <w:rFonts w:ascii="Arial" w:cs="Arial" w:eastAsia="Arial" w:hAnsi="Arial"/>
          <w:b/>
          <w:bCs/>
          <w:i w:val="false"/>
          <w:iCs w:val="false"/>
          <w:color w:val="222222"/>
          <w:sz w:val="22"/>
          <w:szCs w:val="22"/>
          <w:rtl/>
        </w:rPr>
        <w:t xml:space="preserve">24. </w:t>
      </w:r>
      <w:r>
        <w:rPr>
          <w:rFonts w:ascii="Arial" w:cs="Arial" w:eastAsia="Arial" w:hAnsi="Arial"/>
          <w:b/>
          <w:bCs/>
          <w:i w:val="false"/>
          <w:iCs w:val="false"/>
          <w:color w:val="222222"/>
          <w:sz w:val="22"/>
          <w:szCs w:val="22"/>
          <w:rtl/>
        </w:rPr>
        <w:t xml:space="preserve">קונה שרכש נכס לאחר שהמוכר הצהיר בחוזה כי הנכס נמכר "AS-IS" וללא אחריות למצבו, וגילה שטעה בשווי הזכויות — רשאי לבטל בעילת טעות.</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לפי כרמל נ׳ טלמון (ע"א 7920/13), תניית AS-IS ונסיבות הכריתה מלמדות שהקונה נטל על עצמו את הסיכון — טעות בשווי היא טעות בכדאיות העסקה (14(ד)) ואינה עילת ביטול.</w:t>
      </w:r>
    </w:p>
    <w:p>
      <w:pPr>
        <w:bidi/>
        <w:spacing w:after="40" w:before="120" w:line="276"/>
      </w:pPr>
      <w:r>
        <w:rPr>
          <w:rFonts w:ascii="Arial" w:cs="Arial" w:eastAsia="Arial" w:hAnsi="Arial"/>
          <w:b/>
          <w:bCs/>
          <w:i w:val="false"/>
          <w:iCs w:val="false"/>
          <w:color w:val="222222"/>
          <w:sz w:val="22"/>
          <w:szCs w:val="22"/>
          <w:rtl/>
        </w:rPr>
        <w:t xml:space="preserve">25. </w:t>
      </w:r>
      <w:r>
        <w:rPr>
          <w:rFonts w:ascii="Arial" w:cs="Arial" w:eastAsia="Arial" w:hAnsi="Arial"/>
          <w:b/>
          <w:bCs/>
          <w:i w:val="false"/>
          <w:iCs w:val="false"/>
          <w:color w:val="222222"/>
          <w:sz w:val="22"/>
          <w:szCs w:val="22"/>
          <w:rtl/>
        </w:rPr>
        <w:t xml:space="preserve">שני הצדדים טעו יחד לגבי טיב הנכס. הצד שנפגע רשאי לבטל את החוזה בהודעה לצד השני לפי ס׳ 14(א).</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בטעות משותפת הצד השני לא ידע ולא היה עליו לדעת על הטעות, ולכן חל מסלול 14(ב): רק בית המשפט רשאי לבטל, משיקולי צדק, ורשאי אף לחייב את המבקש בפיצויים (זהבה כנען).</w:t>
      </w:r>
    </w:p>
    <w:p>
      <w:pPr>
        <w:bidi/>
        <w:spacing w:after="40" w:before="120" w:line="276"/>
      </w:pPr>
      <w:r>
        <w:rPr>
          <w:rFonts w:ascii="Arial" w:cs="Arial" w:eastAsia="Arial" w:hAnsi="Arial"/>
          <w:b/>
          <w:bCs/>
          <w:i w:val="false"/>
          <w:iCs w:val="false"/>
          <w:color w:val="222222"/>
          <w:sz w:val="22"/>
          <w:szCs w:val="22"/>
          <w:rtl/>
        </w:rPr>
        <w:t xml:space="preserve">26. </w:t>
      </w:r>
      <w:r>
        <w:rPr>
          <w:rFonts w:ascii="Arial" w:cs="Arial" w:eastAsia="Arial" w:hAnsi="Arial"/>
          <w:b/>
          <w:bCs/>
          <w:i w:val="false"/>
          <w:iCs w:val="false"/>
          <w:color w:val="222222"/>
          <w:sz w:val="22"/>
          <w:szCs w:val="22"/>
          <w:rtl/>
        </w:rPr>
        <w:t xml:space="preserve">מי שמצא נעדר באקראי, בלי שחיפש אותו באופן פעיל, אינו זכאי לפרס שהובטח למוסרי מידע.</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לפי פ"ד קוזלי (ע"א 6295/16), הצעת הפרס מתפרשת לפי "הניצע הסביר" — די במסירת מידע העונה לדרישות ההצעה, ואקראיות המציאה אינה שוללת את הפרס; אף אין צורך בידיעה ודאית שההתנהגות תזכה — די בכוונה ובתקווה.</w:t>
      </w:r>
    </w:p>
    <w:p>
      <w:pPr>
        <w:pStyle w:val="Heading2"/>
        <w:keepNext/>
        <w:bidi/>
        <w:spacing w:after="120" w:before="200" w:line="276"/>
      </w:pPr>
      <w:r>
        <w:rPr>
          <w:rFonts w:ascii="Arial" w:cs="Arial" w:eastAsia="Arial" w:hAnsi="Arial"/>
          <w:b/>
          <w:bCs/>
          <w:i w:val="false"/>
          <w:iCs w:val="false"/>
          <w:color w:val="2E5395"/>
          <w:sz w:val="27"/>
          <w:szCs w:val="27"/>
          <w:rtl/>
        </w:rPr>
        <w:t xml:space="preserve">היגדים על חומר הנספח (אם יילמד עד הבוחן)</w:t>
      </w:r>
    </w:p>
    <w:p>
      <w:pPr>
        <w:bidi/>
        <w:spacing w:after="40" w:before="120" w:line="276"/>
      </w:pPr>
      <w:r>
        <w:rPr>
          <w:rFonts w:ascii="Arial" w:cs="Arial" w:eastAsia="Arial" w:hAnsi="Arial"/>
          <w:b/>
          <w:bCs/>
          <w:i w:val="false"/>
          <w:iCs w:val="false"/>
          <w:color w:val="222222"/>
          <w:sz w:val="22"/>
          <w:szCs w:val="22"/>
          <w:rtl/>
        </w:rPr>
        <w:t xml:space="preserve">27. </w:t>
      </w:r>
      <w:r>
        <w:rPr>
          <w:rFonts w:ascii="Arial" w:cs="Arial" w:eastAsia="Arial" w:hAnsi="Arial"/>
          <w:b/>
          <w:bCs/>
          <w:i w:val="false"/>
          <w:iCs w:val="false"/>
          <w:color w:val="222222"/>
          <w:sz w:val="22"/>
          <w:szCs w:val="22"/>
          <w:rtl/>
        </w:rPr>
        <w:t xml:space="preserve">אי-גילוי פרט שחובה לגלותו הינו חוסר תום לב, וגם הטעיה אם נכרת חוזה.</w:t>
      </w:r>
      <w:r>
        <w:rPr>
          <w:rFonts w:ascii="Arial" w:cs="Arial" w:eastAsia="Arial" w:hAnsi="Arial"/>
          <w:b/>
          <w:bCs/>
          <w:i w:val="false"/>
          <w:iCs w:val="false"/>
          <w:color w:val="B26B00"/>
          <w:sz w:val="19"/>
          <w:szCs w:val="19"/>
          <w:rtl/>
        </w:rPr>
        <w:t xml:space="preserve">   [ס׳ 15]</w:t>
      </w:r>
    </w:p>
    <w:p>
      <w:pPr>
        <w:shd w:fill="F5F5F0" w:val="clear"/>
        <w:bidi/>
        <w:spacing w:after="140" w:before="0" w:line="276"/>
        <w:ind w:left="150" w:right="150"/>
      </w:pPr>
      <w:r>
        <w:rPr>
          <w:rFonts w:ascii="Arial" w:cs="Arial" w:eastAsia="Arial" w:hAnsi="Arial"/>
          <w:b/>
          <w:bCs/>
          <w:i w:val="false"/>
          <w:iCs w:val="false"/>
          <w:color w:val="1E7B34"/>
          <w:sz w:val="22"/>
          <w:szCs w:val="22"/>
          <w:rtl/>
        </w:rPr>
        <w:t xml:space="preserve">נכון — </w:t>
      </w:r>
      <w:r>
        <w:rPr>
          <w:rFonts w:ascii="Arial" w:cs="Arial" w:eastAsia="Arial" w:hAnsi="Arial"/>
          <w:b w:val="false"/>
          <w:bCs w:val="false"/>
          <w:i w:val="false"/>
          <w:iCs w:val="false"/>
          <w:color w:val="222222"/>
          <w:sz w:val="22"/>
          <w:szCs w:val="22"/>
          <w:rtl/>
        </w:rPr>
        <w:t xml:space="preserve">אי-גילוי עובדה שחובה לגלותה לפי דין, נוהג או נסיבות מפר את חובת תום הלב (ס׳ 12), ואם נכרת חוזה בעקבותיו — מהווה גם הטעיה פסיבית לפי ס׳ 15 ומקנה זכות ביטול.</w:t>
      </w:r>
    </w:p>
    <w:p>
      <w:pPr>
        <w:bidi/>
        <w:spacing w:after="40" w:before="120" w:line="276"/>
      </w:pPr>
      <w:r>
        <w:rPr>
          <w:rFonts w:ascii="Arial" w:cs="Arial" w:eastAsia="Arial" w:hAnsi="Arial"/>
          <w:b/>
          <w:bCs/>
          <w:i w:val="false"/>
          <w:iCs w:val="false"/>
          <w:color w:val="222222"/>
          <w:sz w:val="22"/>
          <w:szCs w:val="22"/>
          <w:rtl/>
        </w:rPr>
        <w:t xml:space="preserve">28. </w:t>
      </w:r>
      <w:r>
        <w:rPr>
          <w:rFonts w:ascii="Arial" w:cs="Arial" w:eastAsia="Arial" w:hAnsi="Arial"/>
          <w:b/>
          <w:bCs/>
          <w:i w:val="false"/>
          <w:iCs w:val="false"/>
          <w:color w:val="222222"/>
          <w:sz w:val="22"/>
          <w:szCs w:val="22"/>
          <w:rtl/>
        </w:rPr>
        <w:t xml:space="preserve">מי שהוטעה על ידי מתווך שפעל מטעם המוכר — אינו יכול לבטל את החוזה מול המוכר, שכן המוכר עצמו לא הטעה.</w:t>
      </w:r>
      <w:r>
        <w:rPr>
          <w:rFonts w:ascii="Arial" w:cs="Arial" w:eastAsia="Arial" w:hAnsi="Arial"/>
          <w:b/>
          <w:bCs/>
          <w:i w:val="false"/>
          <w:iCs w:val="false"/>
          <w:color w:val="B26B00"/>
          <w:sz w:val="19"/>
          <w:szCs w:val="19"/>
          <w:rtl/>
        </w:rPr>
        <w:t xml:space="preserve">   [ס׳ 15]</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ס׳ 15 חל על הטעיה שהטעה "הצד השני או אחר מטעמו" — הטעיית שלוח או נציג מקנה זכות ביטול מול הצד עצמו.</w:t>
      </w:r>
    </w:p>
    <w:p>
      <w:pPr>
        <w:bidi/>
        <w:spacing w:after="40" w:before="120" w:line="276"/>
      </w:pPr>
      <w:r>
        <w:rPr>
          <w:rFonts w:ascii="Arial" w:cs="Arial" w:eastAsia="Arial" w:hAnsi="Arial"/>
          <w:b/>
          <w:bCs/>
          <w:i w:val="false"/>
          <w:iCs w:val="false"/>
          <w:color w:val="222222"/>
          <w:sz w:val="22"/>
          <w:szCs w:val="22"/>
          <w:rtl/>
        </w:rPr>
        <w:t xml:space="preserve">29. </w:t>
      </w:r>
      <w:r>
        <w:rPr>
          <w:rFonts w:ascii="Arial" w:cs="Arial" w:eastAsia="Arial" w:hAnsi="Arial"/>
          <w:b/>
          <w:bCs/>
          <w:i w:val="false"/>
          <w:iCs w:val="false"/>
          <w:color w:val="222222"/>
          <w:sz w:val="22"/>
          <w:szCs w:val="22"/>
          <w:rtl/>
        </w:rPr>
        <w:t xml:space="preserve">בחוזה נכתב בטעות "573 מ"ר" במקום "375 מ"ר" שסוכמו. הצד המעוניין רשאי לבטל את החוזה בשל כך.</w:t>
      </w:r>
      <w:r>
        <w:rPr>
          <w:rFonts w:ascii="Arial" w:cs="Arial" w:eastAsia="Arial" w:hAnsi="Arial"/>
          <w:b/>
          <w:bCs/>
          <w:i w:val="false"/>
          <w:iCs w:val="false"/>
          <w:color w:val="B26B00"/>
          <w:sz w:val="19"/>
          <w:szCs w:val="19"/>
          <w:rtl/>
        </w:rPr>
        <w:t xml:space="preserve">   [ס׳ 16]</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טעות סופר (ס׳ 16) אינה עילת ביטול — החוזה מתוקן לפי אומד דעת הצדדים; ההתכחשות לטעות מהווה חוסר תום לב.</w:t>
      </w:r>
    </w:p>
    <w:p>
      <w:pPr>
        <w:bidi/>
        <w:spacing w:after="40" w:before="120" w:line="276"/>
      </w:pPr>
      <w:r>
        <w:rPr>
          <w:rFonts w:ascii="Arial" w:cs="Arial" w:eastAsia="Arial" w:hAnsi="Arial"/>
          <w:b/>
          <w:bCs/>
          <w:i w:val="false"/>
          <w:iCs w:val="false"/>
          <w:color w:val="222222"/>
          <w:sz w:val="22"/>
          <w:szCs w:val="22"/>
          <w:rtl/>
        </w:rPr>
        <w:t xml:space="preserve">30. </w:t>
      </w:r>
      <w:r>
        <w:rPr>
          <w:rFonts w:ascii="Arial" w:cs="Arial" w:eastAsia="Arial" w:hAnsi="Arial"/>
          <w:b/>
          <w:bCs/>
          <w:i w:val="false"/>
          <w:iCs w:val="false"/>
          <w:color w:val="222222"/>
          <w:sz w:val="22"/>
          <w:szCs w:val="22"/>
          <w:rtl/>
        </w:rPr>
        <w:t xml:space="preserve">ספק שאמר ללקוח החייב לו כסף: "אם לא תשלם עד מחר — אגיש נגדך תביעה", והלקוח חתם עקב כך על הסדר — הלקוח רשאי לבטל את ההסדר בעילת כפייה.</w:t>
      </w:r>
      <w:r>
        <w:rPr>
          <w:rFonts w:ascii="Arial" w:cs="Arial" w:eastAsia="Arial" w:hAnsi="Arial"/>
          <w:b/>
          <w:bCs/>
          <w:i w:val="false"/>
          <w:iCs w:val="false"/>
          <w:color w:val="B26B00"/>
          <w:sz w:val="19"/>
          <w:szCs w:val="19"/>
          <w:rtl/>
        </w:rPr>
        <w:t xml:space="preserve">   [ס׳ 17]</w:t>
      </w:r>
    </w:p>
    <w:p>
      <w:pPr>
        <w:shd w:fill="F5F5F0" w:val="clear"/>
        <w:bidi/>
        <w:spacing w:after="140" w:before="0" w:line="276"/>
        <w:ind w:left="150" w:right="150"/>
      </w:pPr>
      <w:r>
        <w:rPr>
          <w:rFonts w:ascii="Arial" w:cs="Arial" w:eastAsia="Arial" w:hAnsi="Arial"/>
          <w:b/>
          <w:bCs/>
          <w:i w:val="false"/>
          <w:iCs w:val="false"/>
          <w:color w:val="B02A2A"/>
          <w:sz w:val="22"/>
          <w:szCs w:val="22"/>
          <w:rtl/>
        </w:rPr>
        <w:t xml:space="preserve">לא נכון — </w:t>
      </w:r>
      <w:r>
        <w:rPr>
          <w:rFonts w:ascii="Arial" w:cs="Arial" w:eastAsia="Arial" w:hAnsi="Arial"/>
          <w:b w:val="false"/>
          <w:bCs w:val="false"/>
          <w:i w:val="false"/>
          <w:iCs w:val="false"/>
          <w:color w:val="222222"/>
          <w:sz w:val="22"/>
          <w:szCs w:val="22"/>
          <w:rtl/>
        </w:rPr>
        <w:t xml:space="preserve">לפי ס׳ 17(ב), אזהרה בתום לב על הפעלת זכות (תביעה על חוב אמיתי) אינה איום. כפייה מצריכה לחץ בלתי לגיטימי — איום מפתיע, חמור ובלתי הפיך (רחמים נ׳ אקספומדיה).</w:t>
      </w:r>
    </w:p>
    <w:p>
      <w:r>
        <w:br w:type="page"/>
      </w:r>
    </w:p>
    <w:p>
      <w:pPr>
        <w:pStyle w:val="Heading1"/>
        <w:keepNext/>
        <w:bidi/>
        <w:spacing w:after="160" w:before="240" w:line="276"/>
      </w:pPr>
      <w:r>
        <w:rPr>
          <w:rFonts w:ascii="Arial" w:cs="Arial" w:eastAsia="Arial" w:hAnsi="Arial"/>
          <w:b/>
          <w:bCs/>
          <w:i w:val="false"/>
          <w:iCs w:val="false"/>
          <w:color w:val="1F3864"/>
          <w:sz w:val="32"/>
          <w:szCs w:val="32"/>
          <w:rtl/>
        </w:rPr>
        <w:t xml:space="preserve">חלק ח׳ — קייסים רשמיים עם פתרון</w:t>
      </w:r>
    </w:p>
    <w:p>
      <w:pPr>
        <w:bidi/>
        <w:spacing w:after="120" w:before="0" w:line="276"/>
      </w:pPr>
      <w:r>
        <w:rPr>
          <w:rFonts w:ascii="Arial" w:cs="Arial" w:eastAsia="Arial" w:hAnsi="Arial"/>
          <w:b/>
          <w:bCs/>
          <w:i w:val="false"/>
          <w:iCs w:val="false"/>
          <w:color w:val="222222"/>
          <w:sz w:val="22"/>
          <w:szCs w:val="22"/>
          <w:rtl/>
        </w:rPr>
        <w:t xml:space="preserve">שיטת פתרון קייס: </w:t>
      </w:r>
      <w:r>
        <w:rPr>
          <w:rFonts w:ascii="Arial" w:cs="Arial" w:eastAsia="Arial" w:hAnsi="Arial"/>
          <w:b w:val="false"/>
          <w:bCs w:val="false"/>
          <w:i w:val="false"/>
          <w:iCs w:val="false"/>
          <w:color w:val="222222"/>
          <w:sz w:val="22"/>
          <w:szCs w:val="22"/>
          <w:rtl/>
        </w:rPr>
        <w:t xml:space="preserve">מזהים את שלבי הכריתה כרונולוגית (הזמנה להציע? הצעה? קיבול / קיבול תוך שינוי / דחייה?), ואז עילות (תום לב? טעות?) וסעדים — עם סעיף לכל שלב.</w:t>
      </w:r>
    </w:p>
    <w:p>
      <w:pPr>
        <w:pStyle w:val="Heading3"/>
        <w:keepNext/>
        <w:bidi/>
        <w:spacing w:after="80" w:before="140" w:line="276"/>
      </w:pPr>
      <w:r>
        <w:rPr>
          <w:rFonts w:ascii="Arial" w:cs="Arial" w:eastAsia="Arial" w:hAnsi="Arial"/>
          <w:b/>
          <w:bCs/>
          <w:i w:val="false"/>
          <w:iCs w:val="false"/>
          <w:color w:val="404040"/>
          <w:sz w:val="23"/>
          <w:szCs w:val="23"/>
          <w:rtl/>
        </w:rPr>
        <w:t xml:space="preserve">קייס 1 — תמרי הנגר (מתוך "שקפי חזרה" הרשמיים של הקורס)</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תמרי, נגר בעל שם, הציב כוננית מיוחדת בחלון הראווה של הסטודיו והצמיד תווית מחיר של 6,000 ₪. ניר נכנס, אמר שהוא מעוניין והציע 5,000 ₪ במזומן כולל הובלה והרכבה על חשבון תמרי. תמרי סירב בנימוס. למחרת שלח ניר אימייל: מוכן לשלם 5,000 ₪ ולשאת בעצמו בהובלה ובהרכבה, "ואם לא אשמע ממך עד מחר — אראה בכך הסכמה". תמרי לא ענה והפיק לניר חשבונית על 5,000 ₪. ניר לא הגיע לאסוף את הכוננית, ותמרי דורש ממנו לכבד את החוזה.</w:t>
      </w:r>
    </w:p>
    <w:p>
      <w:pPr>
        <w:pStyle w:val="ListParagraph"/>
        <w:numPr>
          <w:ilvl w:val="0"/>
          <w:numId w:val="6"/>
        </w:numPr>
        <w:bidi/>
        <w:spacing w:after="60" w:line="276"/>
      </w:pPr>
      <w:r>
        <w:rPr>
          <w:rFonts w:ascii="Arial" w:cs="Arial" w:eastAsia="Arial" w:hAnsi="Arial"/>
          <w:b/>
          <w:bCs/>
          <w:i w:val="false"/>
          <w:iCs w:val="false"/>
          <w:color w:val="222222"/>
          <w:sz w:val="22"/>
          <w:szCs w:val="22"/>
          <w:rtl/>
        </w:rPr>
        <w:t xml:space="preserve">הכוננית בחלון עם תווית מחיר: </w:t>
      </w:r>
      <w:r>
        <w:rPr>
          <w:rFonts w:ascii="Arial" w:cs="Arial" w:eastAsia="Arial" w:hAnsi="Arial"/>
          <w:b w:val="false"/>
          <w:bCs w:val="false"/>
          <w:i w:val="false"/>
          <w:iCs w:val="false"/>
          <w:color w:val="222222"/>
          <w:sz w:val="22"/>
          <w:szCs w:val="22"/>
          <w:rtl/>
        </w:rPr>
        <w:t xml:space="preserve">הצעה לציבור (ס׳ 2) — פנייה, גמירת דעת ומסוימות (מחיר נקוב).</w:t>
      </w:r>
    </w:p>
    <w:p>
      <w:pPr>
        <w:pStyle w:val="ListParagraph"/>
        <w:numPr>
          <w:ilvl w:val="0"/>
          <w:numId w:val="6"/>
        </w:numPr>
        <w:bidi/>
        <w:spacing w:after="60" w:line="276"/>
      </w:pPr>
      <w:r>
        <w:rPr>
          <w:rFonts w:ascii="Arial" w:cs="Arial" w:eastAsia="Arial" w:hAnsi="Arial"/>
          <w:b/>
          <w:bCs/>
          <w:i w:val="false"/>
          <w:iCs w:val="false"/>
          <w:color w:val="222222"/>
          <w:sz w:val="22"/>
          <w:szCs w:val="22"/>
          <w:rtl/>
        </w:rPr>
        <w:t xml:space="preserve">הצעת ניר (5,000 ₪ + הובלה על תמרי): </w:t>
      </w:r>
      <w:r>
        <w:rPr>
          <w:rFonts w:ascii="Arial" w:cs="Arial" w:eastAsia="Arial" w:hAnsi="Arial"/>
          <w:b w:val="false"/>
          <w:bCs w:val="false"/>
          <w:i w:val="false"/>
          <w:iCs w:val="false"/>
          <w:color w:val="222222"/>
          <w:sz w:val="22"/>
          <w:szCs w:val="22"/>
          <w:rtl/>
        </w:rPr>
        <w:t xml:space="preserve">קיבול תוך שינוי — הצעה חדשה (ס׳ 11); ניר נעשה מציע.</w:t>
      </w:r>
    </w:p>
    <w:p>
      <w:pPr>
        <w:pStyle w:val="ListParagraph"/>
        <w:numPr>
          <w:ilvl w:val="0"/>
          <w:numId w:val="6"/>
        </w:numPr>
        <w:bidi/>
        <w:spacing w:after="60" w:line="276"/>
      </w:pPr>
      <w:r>
        <w:rPr>
          <w:rFonts w:ascii="Arial" w:cs="Arial" w:eastAsia="Arial" w:hAnsi="Arial"/>
          <w:b/>
          <w:bCs/>
          <w:i w:val="false"/>
          <w:iCs w:val="false"/>
          <w:color w:val="222222"/>
          <w:sz w:val="22"/>
          <w:szCs w:val="22"/>
          <w:rtl/>
        </w:rPr>
        <w:t xml:space="preserve">סירוב תמרי: </w:t>
      </w:r>
      <w:r>
        <w:rPr>
          <w:rFonts w:ascii="Arial" w:cs="Arial" w:eastAsia="Arial" w:hAnsi="Arial"/>
          <w:b w:val="false"/>
          <w:bCs w:val="false"/>
          <w:i w:val="false"/>
          <w:iCs w:val="false"/>
          <w:color w:val="222222"/>
          <w:sz w:val="22"/>
          <w:szCs w:val="22"/>
          <w:rtl/>
        </w:rPr>
        <w:t xml:space="preserve">דחייה מפורשת — ההצעה של ניר פקעה (ס׳ 4(1)).</w:t>
      </w:r>
    </w:p>
    <w:p>
      <w:pPr>
        <w:pStyle w:val="ListParagraph"/>
        <w:numPr>
          <w:ilvl w:val="0"/>
          <w:numId w:val="6"/>
        </w:numPr>
        <w:bidi/>
        <w:spacing w:after="60" w:line="276"/>
      </w:pPr>
      <w:r>
        <w:rPr>
          <w:rFonts w:ascii="Arial" w:cs="Arial" w:eastAsia="Arial" w:hAnsi="Arial"/>
          <w:b/>
          <w:bCs/>
          <w:i w:val="false"/>
          <w:iCs w:val="false"/>
          <w:color w:val="222222"/>
          <w:sz w:val="22"/>
          <w:szCs w:val="22"/>
          <w:rtl/>
        </w:rPr>
        <w:t xml:space="preserve">האימייל של ניר: </w:t>
      </w:r>
      <w:r>
        <w:rPr>
          <w:rFonts w:ascii="Arial" w:cs="Arial" w:eastAsia="Arial" w:hAnsi="Arial"/>
          <w:b w:val="false"/>
          <w:bCs w:val="false"/>
          <w:i w:val="false"/>
          <w:iCs w:val="false"/>
          <w:color w:val="222222"/>
          <w:sz w:val="22"/>
          <w:szCs w:val="22"/>
          <w:rtl/>
        </w:rPr>
        <w:t xml:space="preserve">הצעה חדשה. קביעתו ששתיקה תיחשב הסכמה — חסרת תוקף כלפי תמרי (ס׳ 6(ב)), אך תמרי רשאי מיוזמתו לאמץ שתיקה כקיבול.</w:t>
      </w:r>
    </w:p>
    <w:p>
      <w:pPr>
        <w:pStyle w:val="ListParagraph"/>
        <w:numPr>
          <w:ilvl w:val="0"/>
          <w:numId w:val="6"/>
        </w:numPr>
        <w:bidi/>
        <w:spacing w:after="60" w:line="276"/>
      </w:pPr>
      <w:r>
        <w:rPr>
          <w:rFonts w:ascii="Arial" w:cs="Arial" w:eastAsia="Arial" w:hAnsi="Arial"/>
          <w:b/>
          <w:bCs/>
          <w:i w:val="false"/>
          <w:iCs w:val="false"/>
          <w:color w:val="222222"/>
          <w:sz w:val="22"/>
          <w:szCs w:val="22"/>
          <w:rtl/>
        </w:rPr>
        <w:t xml:space="preserve">הפקת החשבונית: </w:t>
      </w:r>
      <w:r>
        <w:rPr>
          <w:rFonts w:ascii="Arial" w:cs="Arial" w:eastAsia="Arial" w:hAnsi="Arial"/>
          <w:b w:val="false"/>
          <w:bCs w:val="false"/>
          <w:i w:val="false"/>
          <w:iCs w:val="false"/>
          <w:color w:val="222222"/>
          <w:sz w:val="22"/>
          <w:szCs w:val="22"/>
          <w:rtl/>
        </w:rPr>
        <w:t xml:space="preserve">קיבול בהתנהגות המעיד על גמירת דעת (ס׳ 6(א)) — נכרת חוזה. ניר אינו יכול להתנער; תמרי צודק.</w:t>
      </w:r>
    </w:p>
    <w:p>
      <w:pPr>
        <w:pStyle w:val="Heading3"/>
        <w:keepNext/>
        <w:bidi/>
        <w:spacing w:after="80" w:before="140" w:line="276"/>
      </w:pPr>
      <w:r>
        <w:rPr>
          <w:rFonts w:ascii="Arial" w:cs="Arial" w:eastAsia="Arial" w:hAnsi="Arial"/>
          <w:b/>
          <w:bCs/>
          <w:i w:val="false"/>
          <w:iCs w:val="false"/>
          <w:color w:val="404040"/>
          <w:sz w:val="23"/>
          <w:szCs w:val="23"/>
          <w:rtl/>
        </w:rPr>
        <w:t xml:space="preserve">קייס 2 — סיגל והמורה לגיטרה (בוחן אמצע, הכיתה המקבילה)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סיגל פרסמה בפייסבוק שהיא מחפשת מורה לגיטרה לבנה. איתי, גיטריסט חסר ניסיון בהוראה, פנה אליה: "אני בעל ניסיון עשיר בלימוד גיטרה ולימוד ילדים. עלות שיעור — 100 ₪". סיגל השיבה בהתלהבות אך הציעה 75 ₪. איתי הסכים, נקבע שיעור ניסיון ולאחריו שיעור שבועי ב-75 ₪. לאחר מספר שיעורים גילתה סיגל שלאיתי אין כל ניסיון. דונו לפי חוק החוזים (חלק כללי) בלבד.</w:t>
      </w:r>
    </w:p>
    <w:p>
      <w:pPr>
        <w:pStyle w:val="ListParagraph"/>
        <w:numPr>
          <w:ilvl w:val="0"/>
          <w:numId w:val="7"/>
        </w:numPr>
        <w:bidi/>
        <w:spacing w:after="60" w:line="276"/>
      </w:pPr>
      <w:r>
        <w:rPr>
          <w:rFonts w:ascii="Arial" w:cs="Arial" w:eastAsia="Arial" w:hAnsi="Arial"/>
          <w:b/>
          <w:bCs/>
          <w:i w:val="false"/>
          <w:iCs w:val="false"/>
          <w:color w:val="222222"/>
          <w:sz w:val="22"/>
          <w:szCs w:val="22"/>
          <w:rtl/>
        </w:rPr>
        <w:t xml:space="preserve">המודעה של סיגל: </w:t>
      </w:r>
      <w:r>
        <w:rPr>
          <w:rFonts w:ascii="Arial" w:cs="Arial" w:eastAsia="Arial" w:hAnsi="Arial"/>
          <w:b w:val="false"/>
          <w:bCs w:val="false"/>
          <w:i w:val="false"/>
          <w:iCs w:val="false"/>
          <w:color w:val="222222"/>
          <w:sz w:val="22"/>
          <w:szCs w:val="22"/>
          <w:rtl/>
        </w:rPr>
        <w:t xml:space="preserve">הזמנה להציע הצעות — אין גמירת דעת ומסוימות כלפי פונה מסוים.</w:t>
      </w:r>
    </w:p>
    <w:p>
      <w:pPr>
        <w:pStyle w:val="ListParagraph"/>
        <w:numPr>
          <w:ilvl w:val="0"/>
          <w:numId w:val="7"/>
        </w:numPr>
        <w:bidi/>
        <w:spacing w:after="60" w:line="276"/>
      </w:pPr>
      <w:r>
        <w:rPr>
          <w:rFonts w:ascii="Arial" w:cs="Arial" w:eastAsia="Arial" w:hAnsi="Arial"/>
          <w:b/>
          <w:bCs/>
          <w:i w:val="false"/>
          <w:iCs w:val="false"/>
          <w:color w:val="222222"/>
          <w:sz w:val="22"/>
          <w:szCs w:val="22"/>
          <w:rtl/>
        </w:rPr>
        <w:t xml:space="preserve">פניית איתי: </w:t>
      </w:r>
      <w:r>
        <w:rPr>
          <w:rFonts w:ascii="Arial" w:cs="Arial" w:eastAsia="Arial" w:hAnsi="Arial"/>
          <w:b w:val="false"/>
          <w:bCs w:val="false"/>
          <w:i w:val="false"/>
          <w:iCs w:val="false"/>
          <w:color w:val="222222"/>
          <w:sz w:val="22"/>
          <w:szCs w:val="22"/>
          <w:rtl/>
        </w:rPr>
        <w:t xml:space="preserve">הצעה (ס׳ 2) — פנייה + גמירת דעת + מסוימות (השירות ומחירו).</w:t>
      </w:r>
    </w:p>
    <w:p>
      <w:pPr>
        <w:pStyle w:val="ListParagraph"/>
        <w:numPr>
          <w:ilvl w:val="0"/>
          <w:numId w:val="7"/>
        </w:numPr>
        <w:bidi/>
        <w:spacing w:after="60" w:line="276"/>
      </w:pPr>
      <w:r>
        <w:rPr>
          <w:rFonts w:ascii="Arial" w:cs="Arial" w:eastAsia="Arial" w:hAnsi="Arial"/>
          <w:b/>
          <w:bCs/>
          <w:i w:val="false"/>
          <w:iCs w:val="false"/>
          <w:color w:val="222222"/>
          <w:sz w:val="22"/>
          <w:szCs w:val="22"/>
          <w:rtl/>
        </w:rPr>
        <w:t xml:space="preserve">תגובת סיגל (75 ₪): </w:t>
      </w:r>
      <w:r>
        <w:rPr>
          <w:rFonts w:ascii="Arial" w:cs="Arial" w:eastAsia="Arial" w:hAnsi="Arial"/>
          <w:b w:val="false"/>
          <w:bCs w:val="false"/>
          <w:i w:val="false"/>
          <w:iCs w:val="false"/>
          <w:color w:val="222222"/>
          <w:sz w:val="22"/>
          <w:szCs w:val="22"/>
          <w:rtl/>
        </w:rPr>
        <w:t xml:space="preserve">קיבול תוך שינוי = הצעה חדשה (ס׳ 11); סיגל הפכה למציעה.</w:t>
      </w:r>
    </w:p>
    <w:p>
      <w:pPr>
        <w:pStyle w:val="ListParagraph"/>
        <w:numPr>
          <w:ilvl w:val="0"/>
          <w:numId w:val="7"/>
        </w:numPr>
        <w:bidi/>
        <w:spacing w:after="60" w:line="276"/>
      </w:pPr>
      <w:r>
        <w:rPr>
          <w:rFonts w:ascii="Arial" w:cs="Arial" w:eastAsia="Arial" w:hAnsi="Arial"/>
          <w:b/>
          <w:bCs/>
          <w:i w:val="false"/>
          <w:iCs w:val="false"/>
          <w:color w:val="222222"/>
          <w:sz w:val="22"/>
          <w:szCs w:val="22"/>
          <w:rtl/>
        </w:rPr>
        <w:t xml:space="preserve">הסכמת איתי והשיעורים: </w:t>
      </w:r>
      <w:r>
        <w:rPr>
          <w:rFonts w:ascii="Arial" w:cs="Arial" w:eastAsia="Arial" w:hAnsi="Arial"/>
          <w:b w:val="false"/>
          <w:bCs w:val="false"/>
          <w:i w:val="false"/>
          <w:iCs w:val="false"/>
          <w:color w:val="222222"/>
          <w:sz w:val="22"/>
          <w:szCs w:val="22"/>
          <w:rtl/>
        </w:rPr>
        <w:t xml:space="preserve">קיבול לפי ס׳ 5, ואף קיבול בהתנהגות לפי ס׳ 6(א) — נכרת חוזה.</w:t>
      </w:r>
    </w:p>
    <w:p>
      <w:pPr>
        <w:pStyle w:val="ListParagraph"/>
        <w:numPr>
          <w:ilvl w:val="0"/>
          <w:numId w:val="7"/>
        </w:numPr>
        <w:bidi/>
        <w:spacing w:after="60" w:line="276"/>
      </w:pPr>
      <w:r>
        <w:rPr>
          <w:rFonts w:ascii="Arial" w:cs="Arial" w:eastAsia="Arial" w:hAnsi="Arial"/>
          <w:b/>
          <w:bCs/>
          <w:i w:val="false"/>
          <w:iCs w:val="false"/>
          <w:color w:val="222222"/>
          <w:sz w:val="22"/>
          <w:szCs w:val="22"/>
          <w:rtl/>
        </w:rPr>
        <w:t xml:space="preserve">עילות סיגל: </w:t>
      </w:r>
      <w:r>
        <w:rPr>
          <w:rFonts w:ascii="Arial" w:cs="Arial" w:eastAsia="Arial" w:hAnsi="Arial"/>
          <w:b w:val="false"/>
          <w:bCs w:val="false"/>
          <w:i w:val="false"/>
          <w:iCs w:val="false"/>
          <w:color w:val="222222"/>
          <w:sz w:val="22"/>
          <w:szCs w:val="22"/>
          <w:rtl/>
        </w:rPr>
        <w:t xml:space="preserve">חוסר תום לב במו"מ (ס׳ 12) — מצג שווא על הניסיון; טעות ידועה (ס׳ 14(א)) — איתי ידע על טעותה; הטעות יסודית, בקשר סיבתי, ואינה בכדאיות; וכן הטעיה אקטיבית (ס׳ 15) עם קשר סיבתי כפול.</w:t>
      </w:r>
    </w:p>
    <w:p>
      <w:pPr>
        <w:pStyle w:val="ListParagraph"/>
        <w:numPr>
          <w:ilvl w:val="0"/>
          <w:numId w:val="7"/>
        </w:numPr>
        <w:bidi/>
        <w:spacing w:after="60" w:line="276"/>
      </w:pPr>
      <w:r>
        <w:rPr>
          <w:rFonts w:ascii="Arial" w:cs="Arial" w:eastAsia="Arial" w:hAnsi="Arial"/>
          <w:b/>
          <w:bCs/>
          <w:i w:val="false"/>
          <w:iCs w:val="false"/>
          <w:color w:val="222222"/>
          <w:sz w:val="22"/>
          <w:szCs w:val="22"/>
          <w:rtl/>
        </w:rPr>
        <w:t xml:space="preserve">סעדים: </w:t>
      </w:r>
      <w:r>
        <w:rPr>
          <w:rFonts w:ascii="Arial" w:cs="Arial" w:eastAsia="Arial" w:hAnsi="Arial"/>
          <w:b w:val="false"/>
          <w:bCs w:val="false"/>
          <w:i w:val="false"/>
          <w:iCs w:val="false"/>
          <w:color w:val="222222"/>
          <w:sz w:val="22"/>
          <w:szCs w:val="22"/>
          <w:rtl/>
        </w:rPr>
        <w:t xml:space="preserve">ביטול בהודעה תוך זמן סביר (ס׳ 20) + השבה (ס׳ 21); ובמצטבר פיצויי הסתמכות מכוח ס׳ 12(ב) (ס׳ 22 — שמירת תרופות). הפחתת שכר חד-צדדית אינה סעד.</w:t>
      </w:r>
    </w:p>
    <w:p>
      <w:r>
        <w:br w:type="page"/>
      </w:r>
    </w:p>
    <w:p>
      <w:pPr>
        <w:pStyle w:val="Heading1"/>
        <w:keepNext/>
        <w:bidi/>
        <w:spacing w:after="160" w:before="240" w:line="276"/>
      </w:pPr>
      <w:r>
        <w:rPr>
          <w:rFonts w:ascii="Arial" w:cs="Arial" w:eastAsia="Arial" w:hAnsi="Arial"/>
          <w:b/>
          <w:bCs/>
          <w:i w:val="false"/>
          <w:iCs w:val="false"/>
          <w:color w:val="1F3864"/>
          <w:sz w:val="32"/>
          <w:szCs w:val="32"/>
          <w:rtl/>
        </w:rPr>
        <w:t xml:space="preserve">נספח חקיקה — לשון הסעיפים לציטוט מדויק</w:t>
      </w:r>
    </w:p>
    <w:p>
      <w:pPr>
        <w:shd w:fill="FFF6E0" w:val="clear"/>
        <w:bidi/>
        <w:spacing w:after="120" w:before="0" w:line="276"/>
        <w:ind w:left="150" w:right="150"/>
      </w:pPr>
      <w:r>
        <w:rPr>
          <w:rFonts w:ascii="Arial" w:cs="Arial" w:eastAsia="Arial" w:hAnsi="Arial"/>
          <w:b/>
          <w:bCs/>
          <w:i w:val="false"/>
          <w:iCs w:val="false"/>
          <w:color w:val="222222"/>
          <w:sz w:val="22"/>
          <w:szCs w:val="22"/>
          <w:rtl/>
        </w:rPr>
        <w:t xml:space="preserve">הסעיפים שלהלן מובאים כלשונם מהמצגות של המרצה. </w:t>
      </w:r>
      <w:r>
        <w:rPr>
          <w:rFonts w:ascii="Arial" w:cs="Arial" w:eastAsia="Arial" w:hAnsi="Arial"/>
          <w:b w:val="false"/>
          <w:bCs w:val="false"/>
          <w:i w:val="false"/>
          <w:iCs w:val="false"/>
          <w:color w:val="222222"/>
          <w:sz w:val="22"/>
          <w:szCs w:val="22"/>
          <w:rtl/>
        </w:rPr>
        <w:t xml:space="preserve">סעיפים המסומנים [תמצית] מנוסחים בתמצית — ציין בבחינה את מספר הסעיף, ואם נדרש ציטוט מילולי מדויק היעזר בקובץ החקיקה המודפס.</w:t>
      </w:r>
    </w:p>
    <w:p>
      <w:pPr>
        <w:pStyle w:val="Heading2"/>
        <w:keepNext/>
        <w:bidi/>
        <w:spacing w:after="120" w:before="200" w:line="276"/>
      </w:pPr>
      <w:r>
        <w:rPr>
          <w:rFonts w:ascii="Arial" w:cs="Arial" w:eastAsia="Arial" w:hAnsi="Arial"/>
          <w:b/>
          <w:bCs/>
          <w:i w:val="false"/>
          <w:iCs w:val="false"/>
          <w:color w:val="2E5395"/>
          <w:sz w:val="27"/>
          <w:szCs w:val="27"/>
          <w:rtl/>
        </w:rPr>
        <w:t xml:space="preserve">כריתת החוזה</w:t>
      </w:r>
    </w:p>
    <w:p>
      <w:pPr>
        <w:keepNext/>
        <w:bidi/>
        <w:spacing w:after="20" w:before="0" w:line="276"/>
      </w:pPr>
      <w:r>
        <w:rPr>
          <w:rFonts w:ascii="Arial" w:cs="Arial" w:eastAsia="Arial" w:hAnsi="Arial"/>
          <w:b/>
          <w:bCs/>
          <w:i w:val="false"/>
          <w:iCs w:val="false"/>
          <w:color w:val="2E5395"/>
          <w:sz w:val="23"/>
          <w:szCs w:val="23"/>
          <w:rtl/>
        </w:rPr>
        <w:t xml:space="preserve">ס' 2 — הצעה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"פנייתו של אדם לחברו היא בגדר הצעה, אם היא מעידה על גמירת דעתו של המציע להתקשר עם הניצע בחוזה והיא מסויימת כדי אפשרות לכרות את החוזה בקיבול ההצעה; הפניה יכול שתהיה לציבור."</w:t>
      </w:r>
    </w:p>
    <w:p>
      <w:pPr>
        <w:keepNext/>
        <w:bidi/>
        <w:spacing w:after="20" w:before="0" w:line="276"/>
      </w:pPr>
      <w:r>
        <w:rPr>
          <w:rFonts w:ascii="Arial" w:cs="Arial" w:eastAsia="Arial" w:hAnsi="Arial"/>
          <w:b/>
          <w:bCs/>
          <w:i w:val="false"/>
          <w:iCs w:val="false"/>
          <w:color w:val="2E5395"/>
          <w:sz w:val="23"/>
          <w:szCs w:val="23"/>
          <w:rtl/>
        </w:rPr>
        <w:t xml:space="preserve">ס' 3 — חזרה מן ההצעה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(א) "המציע רשאי לחזור בו מן ההצעה בהודעה לניצע, ובלבד שהודעת החזרה נמסרה לניצע לפני שנתן הודעת קיבול." (ב) "קבע המציע שהצעתו היא ללא חזרה, או שקבע מועד לקיבולה, אין הוא רשאי לחזור בו ממנה לאחר שנמסרה לניצע."</w:t>
      </w:r>
    </w:p>
    <w:p>
      <w:pPr>
        <w:keepNext/>
        <w:bidi/>
        <w:spacing w:after="20" w:before="0" w:line="276"/>
      </w:pPr>
      <w:r>
        <w:rPr>
          <w:rFonts w:ascii="Arial" w:cs="Arial" w:eastAsia="Arial" w:hAnsi="Arial"/>
          <w:b/>
          <w:bCs/>
          <w:i w:val="false"/>
          <w:iCs w:val="false"/>
          <w:color w:val="2E5395"/>
          <w:sz w:val="23"/>
          <w:szCs w:val="23"/>
          <w:rtl/>
        </w:rPr>
        <w:t xml:space="preserve">ס' 4 — פקיעת ההצעה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"ההצעה פוקעת — (1) כשדחה אותה הניצע או עבר המועד לקיבולה; (2) כשמת המציע או הניצע או כשנעשה אחד מהם פסול-דין או ניתן נגדו צו לקבלת נכסים או צו פירוק, והכל לפני מתן הודעת הקיבול."</w:t>
      </w:r>
    </w:p>
    <w:p>
      <w:pPr>
        <w:keepNext/>
        <w:bidi/>
        <w:spacing w:after="20" w:before="0" w:line="276"/>
      </w:pPr>
      <w:r>
        <w:rPr>
          <w:rFonts w:ascii="Arial" w:cs="Arial" w:eastAsia="Arial" w:hAnsi="Arial"/>
          <w:b/>
          <w:bCs/>
          <w:i w:val="false"/>
          <w:iCs w:val="false"/>
          <w:color w:val="2E5395"/>
          <w:sz w:val="23"/>
          <w:szCs w:val="23"/>
          <w:rtl/>
        </w:rPr>
        <w:t xml:space="preserve">ס' 5 — הקיבול</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"הקיבול יהיה בהודעת הניצע שנמסרה למציע ומעידה על גמירת דעתו של הניצע להתקשר עם המציע בחוזה לפי ההצעה."</w:t>
      </w:r>
    </w:p>
    <w:p>
      <w:pPr>
        <w:keepNext/>
        <w:bidi/>
        <w:spacing w:after="20" w:before="0" w:line="276"/>
      </w:pPr>
      <w:r>
        <w:rPr>
          <w:rFonts w:ascii="Arial" w:cs="Arial" w:eastAsia="Arial" w:hAnsi="Arial"/>
          <w:b/>
          <w:bCs/>
          <w:i w:val="false"/>
          <w:iCs w:val="false"/>
          <w:color w:val="2E5395"/>
          <w:sz w:val="23"/>
          <w:szCs w:val="23"/>
          <w:rtl/>
        </w:rPr>
        <w:t xml:space="preserve">ס' 6 — קיבול בהתנהגות ובשתיקה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(א) "הקיבול יכול שיהיה במעשה לביצוע החוזה או בהתנהגות אחרת, אם דרכים אלה של קיבול משתמעות מן ההצעה; ולענין סעיפים 3(א) ו-4(2), התנהגות כאמור דינה כדין מתן הודעת קיבול." (ב) "קביעת המציע שהעדר תגובה מצד הניצע ייחשב לקיבול, אין לה תוקף."</w:t>
      </w:r>
    </w:p>
    <w:p>
      <w:pPr>
        <w:keepNext/>
        <w:bidi/>
        <w:spacing w:after="20" w:before="0" w:line="276"/>
      </w:pPr>
      <w:r>
        <w:rPr>
          <w:rFonts w:ascii="Arial" w:cs="Arial" w:eastAsia="Arial" w:hAnsi="Arial"/>
          <w:b/>
          <w:bCs/>
          <w:i w:val="false"/>
          <w:iCs w:val="false"/>
          <w:color w:val="2E5395"/>
          <w:sz w:val="23"/>
          <w:szCs w:val="23"/>
          <w:rtl/>
        </w:rPr>
        <w:t xml:space="preserve">ס' 7 — הצעה מזכה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"הצעה שאין בה אלא כדי לזכות את הניצע, חזקה עליו שקיבל אותה, זולת אם הודיע למציע על התנגדותו תוך זמן סביר לאחר שנודע לו עליה."</w:t>
      </w:r>
    </w:p>
    <w:p>
      <w:pPr>
        <w:keepNext/>
        <w:bidi/>
        <w:spacing w:after="20" w:before="0" w:line="276"/>
      </w:pPr>
      <w:r>
        <w:rPr>
          <w:rFonts w:ascii="Arial" w:cs="Arial" w:eastAsia="Arial" w:hAnsi="Arial"/>
          <w:b/>
          <w:bCs/>
          <w:i w:val="false"/>
          <w:iCs w:val="false"/>
          <w:color w:val="2E5395"/>
          <w:sz w:val="23"/>
          <w:szCs w:val="23"/>
          <w:rtl/>
        </w:rPr>
        <w:t xml:space="preserve">ס' 8 — מועד הקיבול</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(א) "אין לקבל הצעה אלא תוך התקופה שנקבעה לכך בהצעה, ובאין תקופה כזאת — תוך זמן סביר." (ב) "נתן הניצע הודעת קיבול בעוד מועד, אך הודעתו נמסרה למציע באיחור מחמת סיבה שאינה תלויה בניצע ולא היתה ידועה לו, נכרת החוזה, זולת אם הודיע המציע לניצע על דחיית הקיבול מיד לאחר שנמסרה לו הודעת הקיבול."</w:t>
      </w:r>
    </w:p>
    <w:p>
      <w:pPr>
        <w:keepNext/>
        <w:bidi/>
        <w:spacing w:after="20" w:before="0" w:line="276"/>
      </w:pPr>
      <w:r>
        <w:rPr>
          <w:rFonts w:ascii="Arial" w:cs="Arial" w:eastAsia="Arial" w:hAnsi="Arial"/>
          <w:b/>
          <w:bCs/>
          <w:i w:val="false"/>
          <w:iCs w:val="false"/>
          <w:color w:val="2E5395"/>
          <w:sz w:val="23"/>
          <w:szCs w:val="23"/>
          <w:rtl/>
        </w:rPr>
        <w:t xml:space="preserve">ס' 9 — קיבול לאחר פקיעה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"קיבול של הצעה לאחר שפקעה, כמוהו כהצעה חדשה."</w:t>
      </w:r>
    </w:p>
    <w:p>
      <w:pPr>
        <w:keepNext/>
        <w:bidi/>
        <w:spacing w:after="20" w:before="0" w:line="276"/>
      </w:pPr>
      <w:r>
        <w:rPr>
          <w:rFonts w:ascii="Arial" w:cs="Arial" w:eastAsia="Arial" w:hAnsi="Arial"/>
          <w:b/>
          <w:bCs/>
          <w:i w:val="false"/>
          <w:iCs w:val="false"/>
          <w:color w:val="2E5395"/>
          <w:sz w:val="23"/>
          <w:szCs w:val="23"/>
          <w:rtl/>
        </w:rPr>
        <w:t xml:space="preserve">ס' 10 — חזרה מן הקיבול</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"הניצע רשאי לחזור בו מן הקיבול בהודעה למציע, ובלבד שהודעת החזרה נמסרה למציע לא לאחר שנמסרה לו הודעת הקיבול או שנודע לו על קיבול בדרך האמורה בסעיף 6(א)."</w:t>
      </w:r>
    </w:p>
    <w:p>
      <w:pPr>
        <w:keepNext/>
        <w:bidi/>
        <w:spacing w:after="20" w:before="0" w:line="276"/>
      </w:pPr>
      <w:r>
        <w:rPr>
          <w:rFonts w:ascii="Arial" w:cs="Arial" w:eastAsia="Arial" w:hAnsi="Arial"/>
          <w:b/>
          <w:bCs/>
          <w:i w:val="false"/>
          <w:iCs w:val="false"/>
          <w:color w:val="2E5395"/>
          <w:sz w:val="23"/>
          <w:szCs w:val="23"/>
          <w:rtl/>
        </w:rPr>
        <w:t xml:space="preserve">ס' 11 — קיבול תוך שינוי</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"קיבול שיש בו תוספת, הגבלה או שינוי אחר לעומת ההצעה כמוהו כהצעה חדשה."</w:t>
      </w:r>
    </w:p>
    <w:p>
      <w:pPr>
        <w:keepNext/>
        <w:bidi/>
        <w:spacing w:after="20" w:before="0" w:line="276"/>
      </w:pPr>
      <w:r>
        <w:rPr>
          <w:rFonts w:ascii="Arial" w:cs="Arial" w:eastAsia="Arial" w:hAnsi="Arial"/>
          <w:b/>
          <w:bCs/>
          <w:i w:val="false"/>
          <w:iCs w:val="false"/>
          <w:color w:val="2E5395"/>
          <w:sz w:val="23"/>
          <w:szCs w:val="23"/>
          <w:rtl/>
        </w:rPr>
        <w:t xml:space="preserve">ס' 12(א) — תום לב במשא ומתן</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"במשא ומתן לקראת כריתתו של חוזה חייב אדם לנהוג בדרך מקובלת ובתום לב."</w:t>
      </w:r>
    </w:p>
    <w:p>
      <w:pPr>
        <w:keepNext/>
        <w:bidi/>
        <w:spacing w:after="20" w:before="0" w:line="276"/>
      </w:pPr>
      <w:r>
        <w:rPr>
          <w:rFonts w:ascii="Arial" w:cs="Arial" w:eastAsia="Arial" w:hAnsi="Arial"/>
          <w:b/>
          <w:bCs/>
          <w:i w:val="false"/>
          <w:iCs w:val="false"/>
          <w:color w:val="2E5395"/>
          <w:sz w:val="23"/>
          <w:szCs w:val="23"/>
          <w:rtl/>
        </w:rPr>
        <w:t xml:space="preserve">ס' 12(ב) — הסעד [תמצית]</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צד שלא נהג בדרך מקובלת ובתום לב חייב לפצות את הצד השני על הנזק שנגרם לו עקב המשא ומתן או עקב כריתת החוזה.</w:t>
      </w:r>
    </w:p>
    <w:p>
      <w:pPr>
        <w:bidi/>
        <w:spacing w:after="120" w:before="0" w:line="276"/>
      </w:pPr>
      <w:r>
        <w:rPr>
          <w:rFonts w:ascii="Arial" w:cs="Arial" w:eastAsia="Arial" w:hAnsi="Arial"/>
          <w:b w:val="false"/>
          <w:bCs w:val="false"/>
          <w:i w:val="false"/>
          <w:iCs w:val="false"/>
          <w:color w:val="666666"/>
          <w:sz w:val="20"/>
          <w:szCs w:val="20"/>
          <w:rtl/>
        </w:rPr>
        <w:t xml:space="preserve">בפסיקה: פיצויי הסתמכות (שליליים); בחריג — פיצויי קיום (קל בניין).</w:t>
      </w:r>
    </w:p>
    <w:p>
      <w:pPr>
        <w:keepNext/>
        <w:bidi/>
        <w:spacing w:after="20" w:before="0" w:line="276"/>
      </w:pPr>
      <w:r>
        <w:rPr>
          <w:rFonts w:ascii="Arial" w:cs="Arial" w:eastAsia="Arial" w:hAnsi="Arial"/>
          <w:b/>
          <w:bCs/>
          <w:i w:val="false"/>
          <w:iCs w:val="false"/>
          <w:color w:val="2E5395"/>
          <w:sz w:val="23"/>
          <w:szCs w:val="23"/>
          <w:rtl/>
        </w:rPr>
        <w:t xml:space="preserve">ס׳ 60 — מתן הודעה [תמצית]</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הודעה שיש לתיתה לפי חוק זה תינתן בדרך שקבעו הצדדים, ובאין קביעה — בדרך המקובלת בנסיבות העניין.</w:t>
      </w:r>
    </w:p>
    <w:p>
      <w:pPr>
        <w:bidi/>
        <w:spacing w:after="120" w:before="0" w:line="276"/>
      </w:pPr>
      <w:r>
        <w:rPr>
          <w:rFonts w:ascii="Arial" w:cs="Arial" w:eastAsia="Arial" w:hAnsi="Arial"/>
          <w:b w:val="false"/>
          <w:bCs w:val="false"/>
          <w:i w:val="false"/>
          <w:iCs w:val="false"/>
          <w:color w:val="666666"/>
          <w:sz w:val="20"/>
          <w:szCs w:val="20"/>
          <w:rtl/>
        </w:rPr>
        <w:t xml:space="preserve">הודעה נמסרת בהגעתה לנמען או למענו — הבסיס להבחנה בין מתן (יציאת ההודעה) למסירה (הגעתה), שמכריעה בס׳ 10.</w:t>
      </w:r>
    </w:p>
    <w:p>
      <w:pPr>
        <w:keepNext/>
        <w:bidi/>
        <w:spacing w:after="20" w:before="0" w:line="276"/>
      </w:pPr>
      <w:r>
        <w:rPr>
          <w:rFonts w:ascii="Arial" w:cs="Arial" w:eastAsia="Arial" w:hAnsi="Arial"/>
          <w:b/>
          <w:bCs/>
          <w:i w:val="false"/>
          <w:iCs w:val="false"/>
          <w:color w:val="2E5395"/>
          <w:sz w:val="23"/>
          <w:szCs w:val="23"/>
          <w:rtl/>
        </w:rPr>
        <w:t xml:space="preserve">ס' 26 — השלמת פרטים</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"פרטים שלא נקבעו בחוזה או על פיו יהיו לפי הנוהג הקיים בין הצדדים, ובאין נוהג כזה — לפי הנוהג המקובל בחוזים מאותו סוג, ויראו גם פרטים אלה כמוסכמים."</w:t>
      </w:r>
    </w:p>
    <w:p>
      <w:pPr>
        <w:pStyle w:val="Heading2"/>
        <w:keepNext/>
        <w:bidi/>
        <w:spacing w:after="120" w:before="200" w:line="276"/>
      </w:pPr>
      <w:r>
        <w:rPr>
          <w:rFonts w:ascii="Arial" w:cs="Arial" w:eastAsia="Arial" w:hAnsi="Arial"/>
          <w:b/>
          <w:bCs/>
          <w:i w:val="false"/>
          <w:iCs w:val="false"/>
          <w:color w:val="2E5395"/>
          <w:sz w:val="27"/>
          <w:szCs w:val="27"/>
          <w:rtl/>
        </w:rPr>
        <w:t xml:space="preserve">פגמים בכריתה</w:t>
      </w:r>
    </w:p>
    <w:p>
      <w:pPr>
        <w:keepNext/>
        <w:bidi/>
        <w:spacing w:after="20" w:before="0" w:line="276"/>
      </w:pPr>
      <w:r>
        <w:rPr>
          <w:rFonts w:ascii="Arial" w:cs="Arial" w:eastAsia="Arial" w:hAnsi="Arial"/>
          <w:b/>
          <w:bCs/>
          <w:i w:val="false"/>
          <w:iCs w:val="false"/>
          <w:color w:val="2E5395"/>
          <w:sz w:val="23"/>
          <w:szCs w:val="23"/>
          <w:rtl/>
        </w:rPr>
        <w:t xml:space="preserve">ס' 14(א) — טעות ידועה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"מי שהתקשר בחוזה עקב טעות וניתן להניח שלולא הטעות לא היה מתקשר בחוזה והצד השני ידע או היה עליו לדעת על כך, רשאי לבטל את החוזה."</w:t>
      </w:r>
    </w:p>
    <w:p>
      <w:pPr>
        <w:keepNext/>
        <w:bidi/>
        <w:spacing w:after="20" w:before="0" w:line="276"/>
      </w:pPr>
      <w:r>
        <w:rPr>
          <w:rFonts w:ascii="Arial" w:cs="Arial" w:eastAsia="Arial" w:hAnsi="Arial"/>
          <w:b/>
          <w:bCs/>
          <w:i w:val="false"/>
          <w:iCs w:val="false"/>
          <w:color w:val="2E5395"/>
          <w:sz w:val="23"/>
          <w:szCs w:val="23"/>
          <w:rtl/>
        </w:rPr>
        <w:t xml:space="preserve">ס' 14(ב) — טעות שאינה ידועה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"מי שהתקשר בחוזה עקב טעות וניתן להניח שלולא הטעות לא היה מתקשר בחוזה והצד השני לא ידע ולא היה עליו לדעת על כך, רשאי בית המשפט, לפי בקשת הצד שטעה, לבטל את החוזה, אם ראה שמן הצדק לעשות זאת; עשה כן, רשאי בית המשפט לחייב את הצד שטעה בפיצויים בעד הנזק שנגרם לצד השני עקב כריתת החוזה."</w:t>
      </w:r>
    </w:p>
    <w:p>
      <w:pPr>
        <w:keepNext/>
        <w:bidi/>
        <w:spacing w:after="20" w:before="0" w:line="276"/>
      </w:pPr>
      <w:r>
        <w:rPr>
          <w:rFonts w:ascii="Arial" w:cs="Arial" w:eastAsia="Arial" w:hAnsi="Arial"/>
          <w:b/>
          <w:bCs/>
          <w:i w:val="false"/>
          <w:iCs w:val="false"/>
          <w:color w:val="2E5395"/>
          <w:sz w:val="23"/>
          <w:szCs w:val="23"/>
          <w:rtl/>
        </w:rPr>
        <w:t xml:space="preserve">ס' 14(ג) — תיקון הטעות</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"טעות אינה עילה לביטול חוזה, אם ניתן לקיים את החוזה בתיקון הטעות והצד השני הודיע, לפני שבוטל החוזה, שהוא מוכן לעשות כן."</w:t>
      </w:r>
    </w:p>
    <w:p>
      <w:pPr>
        <w:keepNext/>
        <w:bidi/>
        <w:spacing w:after="20" w:before="0" w:line="276"/>
      </w:pPr>
      <w:r>
        <w:rPr>
          <w:rFonts w:ascii="Arial" w:cs="Arial" w:eastAsia="Arial" w:hAnsi="Arial"/>
          <w:b/>
          <w:bCs/>
          <w:i w:val="false"/>
          <w:iCs w:val="false"/>
          <w:color w:val="2E5395"/>
          <w:sz w:val="23"/>
          <w:szCs w:val="23"/>
          <w:rtl/>
        </w:rPr>
        <w:t xml:space="preserve">ס' 14(ד) — הגדרת "טעות" [תמצית]</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"טעות" לעניין סעיף זה וסעיף 15 — בין בעובדה ובין בחוק, להוציא טעות שאינה אלא בכדאיות העסקה.</w:t>
      </w:r>
    </w:p>
    <w:p>
      <w:pPr>
        <w:bidi/>
        <w:spacing w:after="120" w:before="0" w:line="276"/>
      </w:pPr>
      <w:r>
        <w:rPr>
          <w:rFonts w:ascii="Arial" w:cs="Arial" w:eastAsia="Arial" w:hAnsi="Arial"/>
          <w:b w:val="false"/>
          <w:bCs w:val="false"/>
          <w:i w:val="false"/>
          <w:iCs w:val="false"/>
          <w:color w:val="666666"/>
          <w:sz w:val="20"/>
          <w:szCs w:val="20"/>
          <w:rtl/>
        </w:rPr>
        <w:t xml:space="preserve">זהו הסייג המרכזי: סיכון שנטל צד במפורש או מכללא והתממש — אינו טעות.</w:t>
      </w:r>
    </w:p>
    <w:p>
      <w:pPr>
        <w:keepNext/>
        <w:bidi/>
        <w:spacing w:after="20" w:before="0" w:line="276"/>
      </w:pPr>
      <w:r>
        <w:rPr>
          <w:rFonts w:ascii="Arial" w:cs="Arial" w:eastAsia="Arial" w:hAnsi="Arial"/>
          <w:b/>
          <w:bCs/>
          <w:i w:val="false"/>
          <w:iCs w:val="false"/>
          <w:color w:val="2E5395"/>
          <w:sz w:val="23"/>
          <w:szCs w:val="23"/>
          <w:rtl/>
        </w:rPr>
        <w:t xml:space="preserve">ס' 15 — הטעיה [צפוי להילמד ב-1.9]</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"מי שהתקשר בחוזה עקב טעות שהיא תוצאת הטעיה שהטעהו הצד השני או אחר מטעמו, רשאי לבטל את החוזה; לענין זה, 'הטעיה' — לרבות אי-גילוין של עובדות אשר לפי דין, לפי נוהג או לפי הנסיבות היה על הצד השני לגלותן."</w:t>
      </w:r>
    </w:p>
    <w:p>
      <w:pPr>
        <w:keepNext/>
        <w:bidi/>
        <w:spacing w:after="20" w:before="0" w:line="276"/>
      </w:pPr>
      <w:r>
        <w:rPr>
          <w:rFonts w:ascii="Arial" w:cs="Arial" w:eastAsia="Arial" w:hAnsi="Arial"/>
          <w:b/>
          <w:bCs/>
          <w:i w:val="false"/>
          <w:iCs w:val="false"/>
          <w:color w:val="2E5395"/>
          <w:sz w:val="23"/>
          <w:szCs w:val="23"/>
          <w:rtl/>
        </w:rPr>
        <w:t xml:space="preserve">ס' 19 — ביטול חלקי</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"ניתן החוזה להפרדה לחלקים ועילת הביטול נוגעת רק לאחד מחלקיו, ניתן לביטול אותו חלק בלבד; אולם אם יש להניח שהצד הרשאי לבטל לא היה מתקשר בחוזה לולא העילה, רשאי הוא לבטל את החלק האמור או את החוזה כולו."</w:t>
      </w:r>
    </w:p>
    <w:p>
      <w:pPr>
        <w:keepNext/>
        <w:bidi/>
        <w:spacing w:after="20" w:before="0" w:line="276"/>
      </w:pPr>
      <w:r>
        <w:rPr>
          <w:rFonts w:ascii="Arial" w:cs="Arial" w:eastAsia="Arial" w:hAnsi="Arial"/>
          <w:b/>
          <w:bCs/>
          <w:i w:val="false"/>
          <w:iCs w:val="false"/>
          <w:color w:val="2E5395"/>
          <w:sz w:val="23"/>
          <w:szCs w:val="23"/>
          <w:rtl/>
        </w:rPr>
        <w:t xml:space="preserve">ס' 20 — דרך הביטול [תמצית]</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ביטול החוזה יהיה בהודעת המתקשר לצד השני תוך זמן סביר לאחר שנודע לו על עילת הביטול, ובמקרה של כפייה — תוך זמן סביר לאחר שנודע לו שפסקה הכפייה.</w:t>
      </w:r>
    </w:p>
    <w:p>
      <w:pPr>
        <w:bidi/>
        <w:spacing w:after="120" w:before="0" w:line="276"/>
      </w:pPr>
      <w:r>
        <w:rPr>
          <w:rFonts w:ascii="Arial" w:cs="Arial" w:eastAsia="Arial" w:hAnsi="Arial"/>
          <w:b w:val="false"/>
          <w:bCs w:val="false"/>
          <w:i w:val="false"/>
          <w:iCs w:val="false"/>
          <w:color w:val="666666"/>
          <w:sz w:val="20"/>
          <w:szCs w:val="20"/>
          <w:rtl/>
        </w:rPr>
        <w:t xml:space="preserve">ההודעה יכולה להיות אף משתמעת (מהמצגת).</w:t>
      </w:r>
    </w:p>
    <w:p>
      <w:pPr>
        <w:keepNext/>
        <w:bidi/>
        <w:spacing w:after="20" w:before="0" w:line="276"/>
      </w:pPr>
      <w:r>
        <w:rPr>
          <w:rFonts w:ascii="Arial" w:cs="Arial" w:eastAsia="Arial" w:hAnsi="Arial"/>
          <w:b/>
          <w:bCs/>
          <w:i w:val="false"/>
          <w:iCs w:val="false"/>
          <w:color w:val="2E5395"/>
          <w:sz w:val="23"/>
          <w:szCs w:val="23"/>
          <w:rtl/>
        </w:rPr>
        <w:t xml:space="preserve">ס' 21 — השבה [תמצית]</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משבוטל החוזה, חייב כל צד להשיב לצד השני מה שקיבל על פי החוזה, ואם ההשבה היתה בלתי אפשרית או בלתי סבירה — לשלם לו את שוויו של מה שקיבל.</w:t>
      </w:r>
    </w:p>
    <w:p>
      <w:pPr>
        <w:keepNext/>
        <w:bidi/>
        <w:spacing w:after="20" w:before="0" w:line="276"/>
      </w:pPr>
      <w:r>
        <w:rPr>
          <w:rFonts w:ascii="Arial" w:cs="Arial" w:eastAsia="Arial" w:hAnsi="Arial"/>
          <w:b/>
          <w:bCs/>
          <w:i w:val="false"/>
          <w:iCs w:val="false"/>
          <w:color w:val="2E5395"/>
          <w:sz w:val="23"/>
          <w:szCs w:val="23"/>
          <w:rtl/>
        </w:rPr>
        <w:t xml:space="preserve">ס' 22 — שמירת תרופות [תמצית]</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אין בהוראות פרק זה כדי לגרוע מהוראות כל דין בדבר תרופות אחרות.</w:t>
      </w:r>
    </w:p>
    <w:p>
      <w:pPr>
        <w:bidi/>
        <w:spacing w:after="120" w:before="0" w:line="276"/>
      </w:pPr>
      <w:r>
        <w:rPr>
          <w:rFonts w:ascii="Arial" w:cs="Arial" w:eastAsia="Arial" w:hAnsi="Arial"/>
          <w:b w:val="false"/>
          <w:bCs w:val="false"/>
          <w:i w:val="false"/>
          <w:iCs w:val="false"/>
          <w:color w:val="666666"/>
          <w:sz w:val="20"/>
          <w:szCs w:val="20"/>
          <w:rtl/>
        </w:rPr>
        <w:t xml:space="preserve">המשמעות המעשית: אפשר לצרף פיצויי ס' 12 לביטול ולהשבה.</w:t>
      </w:r>
    </w:p>
    <w:p>
      <w:pPr>
        <w:pStyle w:val="Heading2"/>
        <w:keepNext/>
        <w:bidi/>
        <w:spacing w:after="120" w:before="200" w:line="276"/>
      </w:pPr>
      <w:r>
        <w:rPr>
          <w:rFonts w:ascii="Arial" w:cs="Arial" w:eastAsia="Arial" w:hAnsi="Arial"/>
          <w:b/>
          <w:bCs/>
          <w:i w:val="false"/>
          <w:iCs w:val="false"/>
          <w:color w:val="2E5395"/>
          <w:sz w:val="27"/>
          <w:szCs w:val="27"/>
          <w:rtl/>
        </w:rPr>
        <w:t xml:space="preserve">עקרונות ומסגרת</w:t>
      </w:r>
    </w:p>
    <w:p>
      <w:pPr>
        <w:keepNext/>
        <w:bidi/>
        <w:spacing w:after="20" w:before="0" w:line="276"/>
      </w:pPr>
      <w:r>
        <w:rPr>
          <w:rFonts w:ascii="Arial" w:cs="Arial" w:eastAsia="Arial" w:hAnsi="Arial"/>
          <w:b/>
          <w:bCs/>
          <w:i w:val="false"/>
          <w:iCs w:val="false"/>
          <w:color w:val="2E5395"/>
          <w:sz w:val="23"/>
          <w:szCs w:val="23"/>
          <w:rtl/>
        </w:rPr>
        <w:t xml:space="preserve">ס' 23 — צורת החוזה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"חוזה יכול שייעשה בעל פה, בכתב או בצורה אחרת, זולת אם היתה צורה מסויימת תנאי לתקפו על פי חוק או הסכם בין הצדדים."</w:t>
      </w:r>
    </w:p>
    <w:p>
      <w:pPr>
        <w:keepNext/>
        <w:bidi/>
        <w:spacing w:after="20" w:before="0" w:line="276"/>
      </w:pPr>
      <w:r>
        <w:rPr>
          <w:rFonts w:ascii="Arial" w:cs="Arial" w:eastAsia="Arial" w:hAnsi="Arial"/>
          <w:b/>
          <w:bCs/>
          <w:i w:val="false"/>
          <w:iCs w:val="false"/>
          <w:color w:val="2E5395"/>
          <w:sz w:val="23"/>
          <w:szCs w:val="23"/>
          <w:rtl/>
        </w:rPr>
        <w:t xml:space="preserve">ס' 30 — חוזה פסול</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"חוזה שכריתתו, תכנו או מטרתו הם בלתי חוקיים, בלתי מוסריים או סותרים את תקנת הציבור — בטל."</w:t>
      </w:r>
    </w:p>
    <w:p>
      <w:pPr>
        <w:keepNext/>
        <w:bidi/>
        <w:spacing w:after="20" w:before="0" w:line="276"/>
      </w:pPr>
      <w:r>
        <w:rPr>
          <w:rFonts w:ascii="Arial" w:cs="Arial" w:eastAsia="Arial" w:hAnsi="Arial"/>
          <w:b/>
          <w:bCs/>
          <w:i w:val="false"/>
          <w:iCs w:val="false"/>
          <w:color w:val="2E5395"/>
          <w:sz w:val="23"/>
          <w:szCs w:val="23"/>
          <w:rtl/>
        </w:rPr>
        <w:t xml:space="preserve">חוק הכשרות המשפטית, ס' 2 — כשרות</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"כל אדם כשר לפעולות משפטיות, זולת אם נשללה או הוגבלה כשרות זו בחוק או בפסק דין של בית משפט."</w:t>
      </w:r>
    </w:p>
    <w:p>
      <w:pPr>
        <w:keepNext/>
        <w:bidi/>
        <w:spacing w:after="20" w:before="0" w:line="276"/>
      </w:pPr>
      <w:r>
        <w:rPr>
          <w:rFonts w:ascii="Arial" w:cs="Arial" w:eastAsia="Arial" w:hAnsi="Arial"/>
          <w:b/>
          <w:bCs/>
          <w:i w:val="false"/>
          <w:iCs w:val="false"/>
          <w:color w:val="2E5395"/>
          <w:sz w:val="23"/>
          <w:szCs w:val="23"/>
          <w:rtl/>
        </w:rPr>
        <w:t xml:space="preserve">שם, ס' 3 — קטינות ובגירות</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"אדם שלא מלאו לו 18 שנה הוא קטין; אדם שמלאו לו 18 שנה הוא בגיר."</w:t>
      </w:r>
    </w:p>
    <w:p>
      <w:pPr>
        <w:keepNext/>
        <w:bidi/>
        <w:spacing w:after="20" w:before="0" w:line="276"/>
      </w:pPr>
      <w:r>
        <w:rPr>
          <w:rFonts w:ascii="Arial" w:cs="Arial" w:eastAsia="Arial" w:hAnsi="Arial"/>
          <w:b/>
          <w:bCs/>
          <w:i w:val="false"/>
          <w:iCs w:val="false"/>
          <w:color w:val="2E5395"/>
          <w:sz w:val="23"/>
          <w:szCs w:val="23"/>
          <w:rtl/>
        </w:rPr>
        <w:t xml:space="preserve">שם, ס' 4 — פעולות של קטין</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"פעולה משפטית של קטין טעונה הסכמת נציגו; ההסכמה יכולה להינתן מראש או למפרע לפעולה מסויימת או לסוג מסויים של פעולות."</w:t>
      </w:r>
    </w:p>
    <w:p>
      <w:pPr>
        <w:pStyle w:val="Heading2"/>
        <w:keepNext/>
        <w:bidi/>
        <w:spacing w:after="120" w:before="200" w:line="276"/>
      </w:pPr>
      <w:r>
        <w:rPr>
          <w:rFonts w:ascii="Arial" w:cs="Arial" w:eastAsia="Arial" w:hAnsi="Arial"/>
          <w:b/>
          <w:bCs/>
          <w:i w:val="false"/>
          <w:iCs w:val="false"/>
          <w:color w:val="2E5395"/>
          <w:sz w:val="27"/>
          <w:szCs w:val="27"/>
          <w:rtl/>
        </w:rPr>
        <w:t xml:space="preserve">סעיפי הכפייה והעושק (נספח — טרם נלמד)</w:t>
      </w:r>
    </w:p>
    <w:p>
      <w:pPr>
        <w:keepNext/>
        <w:bidi/>
        <w:spacing w:after="20" w:before="0" w:line="276"/>
      </w:pPr>
      <w:r>
        <w:rPr>
          <w:rFonts w:ascii="Arial" w:cs="Arial" w:eastAsia="Arial" w:hAnsi="Arial"/>
          <w:b/>
          <w:bCs/>
          <w:i w:val="false"/>
          <w:iCs w:val="false"/>
          <w:color w:val="2E5395"/>
          <w:sz w:val="23"/>
          <w:szCs w:val="23"/>
          <w:rtl/>
        </w:rPr>
        <w:t xml:space="preserve">ס' 17(א) — כפייה</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"מי שהתקשר בחוזה עקב כפיה שכפה עליו הצד השני או אחד מטעמו, בכוח או באיום, רשאי לבטל את החוזה."</w:t>
      </w:r>
    </w:p>
    <w:p>
      <w:pPr>
        <w:keepNext/>
        <w:bidi/>
        <w:spacing w:after="20" w:before="0" w:line="276"/>
      </w:pPr>
      <w:r>
        <w:rPr>
          <w:rFonts w:ascii="Arial" w:cs="Arial" w:eastAsia="Arial" w:hAnsi="Arial"/>
          <w:b/>
          <w:bCs/>
          <w:i w:val="false"/>
          <w:iCs w:val="false"/>
          <w:color w:val="2E5395"/>
          <w:sz w:val="23"/>
          <w:szCs w:val="23"/>
          <w:rtl/>
        </w:rPr>
        <w:t xml:space="preserve">ס' 17(ב) — אזהרה בתום לב</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"אזהרה בתום-לב על הפעלתה של זכות אינה בגדר איום לעניין סעיף זה."</w:t>
      </w:r>
    </w:p>
    <w:p>
      <w:pPr>
        <w:keepNext/>
        <w:bidi/>
        <w:spacing w:after="20" w:before="0" w:line="276"/>
      </w:pPr>
      <w:r>
        <w:rPr>
          <w:rFonts w:ascii="Arial" w:cs="Arial" w:eastAsia="Arial" w:hAnsi="Arial"/>
          <w:b/>
          <w:bCs/>
          <w:i w:val="false"/>
          <w:iCs w:val="false"/>
          <w:color w:val="2E5395"/>
          <w:sz w:val="23"/>
          <w:szCs w:val="23"/>
          <w:rtl/>
        </w:rPr>
        <w:t xml:space="preserve">ס' 18 — עושק</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"מי שהתקשר בחוזה עקב ניצול הצד השני או אחר מטעמו את מצוקת המתקשר, חולשתו השכלית או הגופנית או חוסר נסיונו, ותנאי החוזה גרועים במידה בלתי סבירה מן המקובל, רשאי לבטל את החוזה."</w:t>
      </w:r>
    </w:p>
    <w:p>
      <w:pPr>
        <w:keepNext/>
        <w:bidi/>
        <w:spacing w:after="20" w:before="0" w:line="276"/>
      </w:pPr>
      <w:r>
        <w:rPr>
          <w:rFonts w:ascii="Arial" w:cs="Arial" w:eastAsia="Arial" w:hAnsi="Arial"/>
          <w:b/>
          <w:bCs/>
          <w:i w:val="false"/>
          <w:iCs w:val="false"/>
          <w:color w:val="2E5395"/>
          <w:sz w:val="23"/>
          <w:szCs w:val="23"/>
          <w:rtl/>
        </w:rPr>
        <w:t xml:space="preserve">ס' 16 — טעות סופר [תמצית]</w:t>
      </w:r>
    </w:p>
    <w:p>
      <w:pPr>
        <w:shd w:fill="F2F2F2" w:val="clear"/>
        <w:bidi/>
        <w:spacing w:after="120" w:before="0" w:line="276"/>
        <w:ind w:left="200" w:right="200"/>
      </w:pPr>
      <w:r>
        <w:rPr>
          <w:rFonts w:ascii="Arial" w:cs="Arial" w:eastAsia="Arial" w:hAnsi="Arial"/>
          <w:b w:val="false"/>
          <w:bCs w:val="false"/>
          <w:i/>
          <w:iCs/>
          <w:color w:val="333333"/>
          <w:sz w:val="22"/>
          <w:szCs w:val="22"/>
          <w:rtl/>
        </w:rPr>
        <w:t xml:space="preserve">נפלה בחוזה טעות סופר או טעות כיוצא בה, יתוקן החוזה לפי אומד דעת הצדדים ואין הטעות עילה לביטול החוזה.</w:t>
      </w:r>
    </w:p>
    <w:p>
      <w:r>
        <w:br w:type="page"/>
      </w:r>
    </w:p>
    <w:p>
      <w:pPr>
        <w:pStyle w:val="Heading1"/>
        <w:keepNext/>
        <w:bidi/>
        <w:spacing w:after="160" w:before="240" w:line="276"/>
      </w:pPr>
      <w:r>
        <w:rPr>
          <w:rFonts w:ascii="Arial" w:cs="Arial" w:eastAsia="Arial" w:hAnsi="Arial"/>
          <w:b/>
          <w:bCs/>
          <w:i w:val="false"/>
          <w:iCs w:val="false"/>
          <w:color w:val="1F3864"/>
          <w:sz w:val="32"/>
          <w:szCs w:val="32"/>
          <w:rtl/>
        </w:rPr>
        <w:t xml:space="preserve">נספח — חומר שטרם נלמד (נכון ל-25.8)</w:t>
      </w:r>
    </w:p>
    <w:p>
      <w:pPr>
        <w:bidi/>
        <w:spacing w:after="120" w:before="0" w:line="276"/>
      </w:pPr>
      <w:r>
        <w:rPr>
          <w:rFonts w:ascii="Arial" w:cs="Arial" w:eastAsia="Arial" w:hAnsi="Arial"/>
          <w:b w:val="false"/>
          <w:bCs w:val="false"/>
          <w:i/>
          <w:iCs/>
          <w:color w:val="666666"/>
          <w:sz w:val="22"/>
          <w:szCs w:val="22"/>
          <w:rtl/>
        </w:rPr>
        <w:t xml:space="preserve">הסעיפים הבאים מופיעים בהמשך מצגת 2 וטרם נלמדו בכיתה. אם המרצה תספיק אותם לפני 8.9 — זה מוכן; אחרת, כנראה לא ייכללו בבוחן.</w:t>
      </w:r>
    </w:p>
    <w:p>
      <w:pPr>
        <w:pStyle w:val="Heading3"/>
        <w:keepNext/>
        <w:bidi/>
        <w:spacing w:after="80" w:before="140" w:line="276"/>
      </w:pPr>
      <w:r>
        <w:rPr>
          <w:rFonts w:ascii="Arial" w:cs="Arial" w:eastAsia="Arial" w:hAnsi="Arial"/>
          <w:b/>
          <w:bCs/>
          <w:i w:val="false"/>
          <w:iCs w:val="false"/>
          <w:color w:val="404040"/>
          <w:sz w:val="23"/>
          <w:szCs w:val="23"/>
          <w:rtl/>
        </w:rPr>
        <w:t xml:space="preserve">הטעיה (ס׳ 15) — פירוט</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אקטיבית: </w:t>
      </w:r>
      <w:r>
        <w:rPr>
          <w:rFonts w:ascii="Arial" w:cs="Arial" w:eastAsia="Arial" w:hAnsi="Arial"/>
          <w:b w:val="false"/>
          <w:bCs w:val="false"/>
          <w:i w:val="false"/>
          <w:iCs w:val="false"/>
          <w:color w:val="222222"/>
          <w:sz w:val="22"/>
          <w:szCs w:val="22"/>
          <w:rtl/>
        </w:rPr>
        <w:t xml:space="preserve">"שתילת מידע מוטעה במוחו של הטועה" — מסירת מידע כוזב, גם בתום לב ("הרכב עבר 50,000 ק"מ" כשעבר 200,000; פרסומת מטעה).</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פסיבית: </w:t>
      </w:r>
      <w:r>
        <w:rPr>
          <w:rFonts w:ascii="Arial" w:cs="Arial" w:eastAsia="Arial" w:hAnsi="Arial"/>
          <w:b w:val="false"/>
          <w:bCs w:val="false"/>
          <w:i w:val="false"/>
          <w:iCs w:val="false"/>
          <w:color w:val="222222"/>
          <w:sz w:val="22"/>
          <w:szCs w:val="22"/>
          <w:rtl/>
        </w:rPr>
        <w:t xml:space="preserve">אי-גילוי עובדות שחובה לגלותן לפי דין, לפי הנסיבות או לפי נוהג (רטיבות חמורה, תאונה קשה).</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הסעד: </w:t>
      </w:r>
      <w:r>
        <w:rPr>
          <w:rFonts w:ascii="Arial" w:cs="Arial" w:eastAsia="Arial" w:hAnsi="Arial"/>
          <w:b w:val="false"/>
          <w:bCs w:val="false"/>
          <w:i w:val="false"/>
          <w:iCs w:val="false"/>
          <w:color w:val="222222"/>
          <w:sz w:val="22"/>
          <w:szCs w:val="22"/>
          <w:rtl/>
        </w:rPr>
        <w:t xml:space="preserve">ביטול עצמי (ס׳ 20) + השבה (ס׳ 21); כפוף לביטול חלקי (ס׳ 19) ולסייג הכדאיות. קשר סיבתי כפול נדרש: הטעיה ← טעות ← התקשרות.</w:t>
      </w:r>
    </w:p>
    <w:p>
      <w:pPr>
        <w:pStyle w:val="Heading3"/>
        <w:keepNext/>
        <w:bidi/>
        <w:spacing w:after="80" w:before="140" w:line="276"/>
      </w:pPr>
      <w:r>
        <w:rPr>
          <w:rFonts w:ascii="Arial" w:cs="Arial" w:eastAsia="Arial" w:hAnsi="Arial"/>
          <w:b/>
          <w:bCs/>
          <w:i w:val="false"/>
          <w:iCs w:val="false"/>
          <w:color w:val="404040"/>
          <w:sz w:val="23"/>
          <w:szCs w:val="23"/>
          <w:rtl/>
        </w:rPr>
        <w:t xml:space="preserve">טעות סופר (ס׳ 16)</w:t>
      </w:r>
    </w:p>
    <w:p>
      <w:pPr>
        <w:pStyle w:val="ListParagraph"/>
        <w:numPr>
          <w:ilvl w:val="0"/>
          <w:numId w:val="2"/>
        </w:numPr>
        <w:bidi/>
        <w:spacing w:after="60" w:line="276"/>
      </w:pPr>
      <w:r>
        <w:rPr>
          <w:rFonts w:ascii="Arial" w:cs="Arial" w:eastAsia="Arial" w:hAnsi="Arial"/>
          <w:b w:val="false"/>
          <w:bCs w:val="false"/>
          <w:i w:val="false"/>
          <w:iCs w:val="false"/>
          <w:color w:val="222222"/>
          <w:sz w:val="22"/>
          <w:szCs w:val="22"/>
          <w:rtl/>
        </w:rPr>
        <w:t xml:space="preserve">טעות רישום/הקלדה — החוזה מתוקן לפי אומד דעת הצדדים; אין עילת ביטול. המתכחש לטעות פועל בחוסר תום לב; ניתן להוכיח שהמוסכם בע"פ גובר על הכתוב.</w:t>
      </w:r>
    </w:p>
    <w:p>
      <w:pPr>
        <w:pStyle w:val="Heading3"/>
        <w:keepNext/>
        <w:bidi/>
        <w:spacing w:after="80" w:before="140" w:line="276"/>
      </w:pPr>
      <w:r>
        <w:rPr>
          <w:rFonts w:ascii="Arial" w:cs="Arial" w:eastAsia="Arial" w:hAnsi="Arial"/>
          <w:b/>
          <w:bCs/>
          <w:i w:val="false"/>
          <w:iCs w:val="false"/>
          <w:color w:val="404040"/>
          <w:sz w:val="23"/>
          <w:szCs w:val="23"/>
          <w:rtl/>
        </w:rPr>
        <w:t xml:space="preserve">כפייה (ס׳ 17)</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יסודות: </w:t>
      </w:r>
      <w:r>
        <w:rPr>
          <w:rFonts w:ascii="Arial" w:cs="Arial" w:eastAsia="Arial" w:hAnsi="Arial"/>
          <w:b w:val="false"/>
          <w:bCs w:val="false"/>
          <w:i w:val="false"/>
          <w:iCs w:val="false"/>
          <w:color w:val="222222"/>
          <w:sz w:val="22"/>
          <w:szCs w:val="22"/>
          <w:rtl/>
        </w:rPr>
        <w:t xml:space="preserve">חוזה + כפייה בכוח או באיום + ע"י הצד השני או מטעמו + קשר סיבתי. כפייה מגורם שאינו צד — לא בגדר הסעיף (מהשיעורים: שושנה קרן נ׳ דיור לעולה).</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כפייה כלכלית: </w:t>
      </w:r>
      <w:r>
        <w:rPr>
          <w:rFonts w:ascii="Arial" w:cs="Arial" w:eastAsia="Arial" w:hAnsi="Arial"/>
          <w:b w:val="false"/>
          <w:bCs w:val="false"/>
          <w:i w:val="false"/>
          <w:iCs w:val="false"/>
          <w:color w:val="222222"/>
          <w:sz w:val="22"/>
          <w:szCs w:val="22"/>
          <w:rtl/>
        </w:rPr>
        <w:t xml:space="preserve">רחמים נ׳ אקספומדיה (ע"א 8/88): איום מפתיע, חמור ובלתי הפיך, בעיתוי של פגיעוּת מרבית — "גובל בסחיטה", לחץ בלתי לגיטימי. מאיה נ׳ פנפורד (ע"א 1569/93): נבחנות איכות הלחץ (מנוגד לכללי המשחק) ועוצמתו ("מקדיח את התבשיל").</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לא כפייה (17(ב)): </w:t>
      </w:r>
      <w:r>
        <w:rPr>
          <w:rFonts w:ascii="Arial" w:cs="Arial" w:eastAsia="Arial" w:hAnsi="Arial"/>
          <w:b w:val="false"/>
          <w:bCs w:val="false"/>
          <w:i w:val="false"/>
          <w:iCs w:val="false"/>
          <w:color w:val="222222"/>
          <w:sz w:val="22"/>
          <w:szCs w:val="22"/>
          <w:rtl/>
        </w:rPr>
        <w:t xml:space="preserve">אזהרה בתום לב על הפעלת זכות — למשל הודעה על כוונה לתבוע.</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ביטול: </w:t>
      </w:r>
      <w:r>
        <w:rPr>
          <w:rFonts w:ascii="Arial" w:cs="Arial" w:eastAsia="Arial" w:hAnsi="Arial"/>
          <w:b w:val="false"/>
          <w:bCs w:val="false"/>
          <w:i w:val="false"/>
          <w:iCs w:val="false"/>
          <w:color w:val="222222"/>
          <w:sz w:val="22"/>
          <w:szCs w:val="22"/>
          <w:rtl/>
        </w:rPr>
        <w:t xml:space="preserve">תוך זמן סביר מתום הכפייה (ס׳ 20; אקספומדיה) + השבה; ניתן לצרף פיצויי ס׳ 12 (ס׳ 22).</w:t>
      </w:r>
    </w:p>
    <w:p>
      <w:pPr>
        <w:pStyle w:val="Heading3"/>
        <w:keepNext/>
        <w:bidi/>
        <w:spacing w:after="80" w:before="140" w:line="276"/>
      </w:pPr>
      <w:r>
        <w:rPr>
          <w:rFonts w:ascii="Arial" w:cs="Arial" w:eastAsia="Arial" w:hAnsi="Arial"/>
          <w:b/>
          <w:bCs/>
          <w:i w:val="false"/>
          <w:iCs w:val="false"/>
          <w:color w:val="404040"/>
          <w:sz w:val="23"/>
          <w:szCs w:val="23"/>
          <w:rtl/>
        </w:rPr>
        <w:t xml:space="preserve">עושק (ס׳ 18)</w:t>
      </w:r>
    </w:p>
    <w:p>
      <w:pPr>
        <w:pStyle w:val="ListParagraph"/>
        <w:numPr>
          <w:ilvl w:val="0"/>
          <w:numId w:val="2"/>
        </w:numPr>
        <w:bidi/>
        <w:spacing w:after="60" w:line="276"/>
      </w:pPr>
      <w:r>
        <w:rPr>
          <w:rFonts w:ascii="Arial" w:cs="Arial" w:eastAsia="Arial" w:hAnsi="Arial"/>
          <w:b/>
          <w:bCs/>
          <w:i w:val="false"/>
          <w:iCs w:val="false"/>
          <w:color w:val="222222"/>
          <w:sz w:val="22"/>
          <w:szCs w:val="22"/>
          <w:rtl/>
        </w:rPr>
        <w:t xml:space="preserve">יסודות: </w:t>
      </w:r>
      <w:r>
        <w:rPr>
          <w:rFonts w:ascii="Arial" w:cs="Arial" w:eastAsia="Arial" w:hAnsi="Arial"/>
          <w:b w:val="false"/>
          <w:bCs w:val="false"/>
          <w:i w:val="false"/>
          <w:iCs w:val="false"/>
          <w:color w:val="222222"/>
          <w:sz w:val="22"/>
          <w:szCs w:val="22"/>
          <w:rtl/>
        </w:rPr>
        <w:t xml:space="preserve">חוזה; ניצול (ביודעין או בעצימת עיניים — פס"ד סאסי) של מצוקת המתקשר, חולשתו השכלית/הגופנית או חוסר ניסיונו; מצב חמור ומשמעותי במועד ההתקשרות; קשר סיבתי כפול (מצוקה←ניצול←התקשרות); ותנאי חוזה גרועים במידה בלתי סבירה מהמקובל (בוחנים את החוזה כולו — תנאים מיטיבים אחרים עשויים לאזן).</w:t>
      </w:r>
    </w:p>
    <w:p>
      <w:pPr>
        <w:bidi/>
        <w:spacing w:after="160"/>
      </w:pPr>
    </w:p>
    <w:p>
      <w:pPr>
        <w:bidi/>
        <w:spacing w:after="0" w:before="0" w:line="276"/>
      </w:pPr>
      <w:r>
        <w:rPr>
          <w:rFonts w:ascii="Arial" w:cs="Arial" w:eastAsia="Arial" w:hAnsi="Arial"/>
          <w:b/>
          <w:bCs/>
          <w:i w:val="false"/>
          <w:iCs w:val="false"/>
          <w:color w:val="1F3864"/>
          <w:sz w:val="26"/>
          <w:szCs w:val="26"/>
          <w:rtl/>
        </w:rPr>
        <w:t xml:space="preserve">בהצלחה בבוחן! 🍀</w:t>
      </w: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80" w:hanging="260"/>
      </w:pPr>
    </w:lvl>
  </w:abstractNum>
  <w:abstractNum w:abstractNumId="4" w15:restartNumberingAfterBreak="0">
    <w:multiLevelType w:val="hybridMultilevel"/>
    <w:lvl w:ilvl="0" w15:tentative="1">
      <w:start w:val="1"/>
      <w:numFmt w:val="decimal"/>
      <w:lvlText w:val="%1."/>
      <w:lvlJc w:val="left"/>
      <w:pPr>
        <w:ind w:left="380" w:hanging="260"/>
      </w:pPr>
    </w:lvl>
  </w:abstractNum>
  <w:abstractNum w:abstractNumId="5" w15:restartNumberingAfterBreak="0">
    <w:multiLevelType w:val="hybridMultilevel"/>
    <w:lvl w:ilvl="0" w15:tentative="1">
      <w:start w:val="1"/>
      <w:numFmt w:val="decimal"/>
      <w:lvlText w:val="%1."/>
      <w:lvlJc w:val="left"/>
      <w:pPr>
        <w:ind w:left="380" w:hanging="260"/>
      </w:pPr>
    </w:lvl>
  </w:abstractNum>
  <w:abstractNum w:abstractNumId="6" w15:restartNumberingAfterBreak="0">
    <w:multiLevelType w:val="hybridMultilevel"/>
    <w:lvl w:ilvl="0" w15:tentative="1">
      <w:start w:val="1"/>
      <w:numFmt w:val="decimal"/>
      <w:lvlText w:val="%1."/>
      <w:lvlJc w:val="left"/>
      <w:pPr>
        <w:ind w:left="380" w:hanging="260"/>
      </w:pPr>
    </w:lvl>
  </w:abstractNum>
  <w:abstractNum w:abstractNumId="7"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2026-08-28T15:29:32.804Z</dcterms:created>
  <dcterms:modified xsi:type="dcterms:W3CDTF">2026-08-28T15:29:32.812Z</dcterms:modified>
</cp:coreProperties>
</file>

<file path=docProps/custom.xml><?xml version="1.0" encoding="utf-8"?>
<Properties xmlns="http://schemas.openxmlformats.org/officeDocument/2006/custom-properties" xmlns:vt="http://schemas.openxmlformats.org/officeDocument/2006/docPropsVTypes"/>
</file>