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00" w:before="0" w:line="276"/>
      </w:pPr>
      <w:r>
        <w:rPr>
          <w:rFonts w:ascii="Arial" w:cs="Arial" w:eastAsia="Arial" w:hAnsi="Arial"/>
          <w:b w:val="false"/>
          <w:bCs w:val="false"/>
          <w:i w:val="false"/>
          <w:iCs w:val="false"/>
          <w:color w:val="777777"/>
          <w:sz w:val="20"/>
          <w:szCs w:val="20"/>
          <w:rtl/>
        </w:rPr>
        <w:t xml:space="preserve">בס"ד</w:t>
      </w:r>
    </w:p>
    <w:p>
      <w:pPr>
        <w:bidi/>
        <w:spacing w:after="60" w:before="0" w:line="276"/>
      </w:pPr>
      <w:r>
        <w:rPr>
          <w:rFonts w:ascii="Arial" w:cs="Arial" w:eastAsia="Arial" w:hAnsi="Arial"/>
          <w:b/>
          <w:bCs/>
          <w:i w:val="false"/>
          <w:iCs w:val="false"/>
          <w:color w:val="1F3864"/>
          <w:sz w:val="44"/>
          <w:szCs w:val="44"/>
          <w:rtl/>
        </w:rPr>
        <w:t xml:space="preserve">היבטים משפטיים בניהול</w:t>
      </w:r>
    </w:p>
    <w:p>
      <w:pPr>
        <w:bidi/>
        <w:spacing w:after="40" w:before="0" w:line="276"/>
      </w:pPr>
      <w:r>
        <w:rPr>
          <w:rFonts w:ascii="Arial" w:cs="Arial" w:eastAsia="Arial" w:hAnsi="Arial"/>
          <w:b/>
          <w:bCs/>
          <w:i w:val="false"/>
          <w:iCs w:val="false"/>
          <w:color w:val="2E5395"/>
          <w:sz w:val="32"/>
          <w:szCs w:val="32"/>
          <w:rtl/>
        </w:rPr>
        <w:t xml:space="preserve">חוברת הכנה לבוחן — 8.9</w:t>
      </w:r>
    </w:p>
    <w:p>
      <w:pPr>
        <w:bidi/>
        <w:spacing w:after="200" w:before="0" w:line="276"/>
      </w:pPr>
      <w:r>
        <w:rPr>
          <w:rFonts w:ascii="Arial" w:cs="Arial" w:eastAsia="Arial" w:hAnsi="Arial"/>
          <w:b/>
          <w:bCs/>
          <w:i w:val="false"/>
          <w:iCs w:val="false"/>
          <w:color w:val="1E7B34"/>
          <w:sz w:val="22"/>
          <w:szCs w:val="22"/>
          <w:rtl/>
        </w:rPr>
        <w:t xml:space="preserve">מהדורה 3 — מעודכנת לתנאי הבוחן: ללא מחשבים (25.8)</w:t>
      </w:r>
    </w:p>
    <w:p>
      <w:pPr>
        <w:shd w:fill="FFF6E0" w:val="clear"/>
        <w:bidi/>
        <w:spacing w:after="120" w:before="0" w:line="276"/>
        <w:ind w:left="150" w:right="150"/>
      </w:pPr>
      <w:r>
        <w:rPr>
          <w:rFonts w:ascii="Arial" w:cs="Arial" w:eastAsia="Arial" w:hAnsi="Arial"/>
          <w:b/>
          <w:bCs/>
          <w:i w:val="false"/>
          <w:iCs w:val="false"/>
          <w:color w:val="222222"/>
          <w:sz w:val="22"/>
          <w:szCs w:val="22"/>
          <w:rtl/>
        </w:rPr>
        <w:t xml:space="preserve">⚠ המרצה הודיעה: אין מחשבים בבוחן. </w:t>
      </w:r>
      <w:r>
        <w:rPr>
          <w:rFonts w:ascii="Arial" w:cs="Arial" w:eastAsia="Arial" w:hAnsi="Arial"/>
          <w:b w:val="false"/>
          <w:bCs w:val="false"/>
          <w:i w:val="false"/>
          <w:iCs w:val="false"/>
          <w:color w:val="222222"/>
          <w:sz w:val="22"/>
          <w:szCs w:val="22"/>
          <w:rtl/>
        </w:rPr>
        <w:t xml:space="preserve">אתר הקורס לא יהיה זמין — רק חומר מודפס. יש להדפיס: (1) חוברת זו; (2) את קובץ החקיקה של המרצה. סמנו בטוש את טבלת הסעיפים ואת רשימת המלכודות — אלה הדפים שתחזרו אליהם בפועל.</w:t>
      </w:r>
    </w:p>
    <w:p>
      <w:pPr>
        <w:bidi/>
        <w:spacing w:after="60" w:before="0" w:line="276"/>
      </w:pPr>
      <w:r>
        <w:rPr>
          <w:rFonts w:ascii="Arial" w:cs="Arial" w:eastAsia="Arial" w:hAnsi="Arial"/>
          <w:b/>
          <w:bCs/>
          <w:i w:val="false"/>
          <w:iCs w:val="false"/>
          <w:color w:val="222222"/>
          <w:sz w:val="24"/>
          <w:szCs w:val="24"/>
          <w:rtl/>
        </w:rPr>
        <w:t xml:space="preserve">מה ידוע על הבוחן:</w:t>
      </w:r>
    </w:p>
    <w:p>
      <w:pPr>
        <w:pStyle w:val="ListParagraph"/>
        <w:numPr>
          <w:ilvl w:val="0"/>
          <w:numId w:val="2"/>
        </w:numPr>
        <w:bidi/>
        <w:spacing w:after="60" w:line="276"/>
      </w:pPr>
      <w:r>
        <w:rPr>
          <w:rFonts w:ascii="Arial" w:cs="Arial" w:eastAsia="Arial" w:hAnsi="Arial"/>
          <w:b/>
          <w:bCs/>
          <w:i w:val="false"/>
          <w:iCs w:val="false"/>
          <w:color w:val="222222"/>
          <w:sz w:val="22"/>
          <w:szCs w:val="22"/>
          <w:rtl/>
        </w:rPr>
        <w:t xml:space="preserve">פורמט: </w:t>
      </w:r>
      <w:r>
        <w:rPr>
          <w:rFonts w:ascii="Arial" w:cs="Arial" w:eastAsia="Arial" w:hAnsi="Arial"/>
          <w:b w:val="false"/>
          <w:bCs w:val="false"/>
          <w:i w:val="false"/>
          <w:iCs w:val="false"/>
          <w:color w:val="222222"/>
          <w:sz w:val="22"/>
          <w:szCs w:val="22"/>
          <w:rtl/>
        </w:rPr>
        <w:t xml:space="preserve">5 היגדים "נכון / לא נכון" + נימוק (עם סעיף חוק או פסק דין אם נלמדו). כחצי שעה.</w:t>
      </w:r>
    </w:p>
    <w:p>
      <w:pPr>
        <w:pStyle w:val="ListParagraph"/>
        <w:numPr>
          <w:ilvl w:val="0"/>
          <w:numId w:val="2"/>
        </w:numPr>
        <w:bidi/>
        <w:spacing w:after="60" w:line="276"/>
      </w:pPr>
      <w:r>
        <w:rPr>
          <w:rFonts w:ascii="Arial" w:cs="Arial" w:eastAsia="Arial" w:hAnsi="Arial"/>
          <w:b/>
          <w:bCs/>
          <w:i w:val="false"/>
          <w:iCs w:val="false"/>
          <w:color w:val="222222"/>
          <w:sz w:val="22"/>
          <w:szCs w:val="22"/>
          <w:rtl/>
        </w:rPr>
        <w:t xml:space="preserve">חומר פתוח — אך ללא מחשבים: </w:t>
      </w:r>
      <w:r>
        <w:rPr>
          <w:rFonts w:ascii="Arial" w:cs="Arial" w:eastAsia="Arial" w:hAnsi="Arial"/>
          <w:b w:val="false"/>
          <w:bCs w:val="false"/>
          <w:i w:val="false"/>
          <w:iCs w:val="false"/>
          <w:color w:val="222222"/>
          <w:sz w:val="22"/>
          <w:szCs w:val="22"/>
          <w:rtl/>
        </w:rPr>
        <w:t xml:space="preserve">רק חומר מודפס שהבאתם איתכם.</w:t>
      </w:r>
    </w:p>
    <w:p>
      <w:pPr>
        <w:pStyle w:val="ListParagraph"/>
        <w:numPr>
          <w:ilvl w:val="0"/>
          <w:numId w:val="2"/>
        </w:numPr>
        <w:bidi/>
        <w:spacing w:after="60" w:line="276"/>
      </w:pPr>
      <w:r>
        <w:rPr>
          <w:rFonts w:ascii="Arial" w:cs="Arial" w:eastAsia="Arial" w:hAnsi="Arial"/>
          <w:b/>
          <w:bCs/>
          <w:i w:val="false"/>
          <w:iCs w:val="false"/>
          <w:color w:val="222222"/>
          <w:sz w:val="22"/>
          <w:szCs w:val="22"/>
          <w:rtl/>
        </w:rPr>
        <w:t xml:space="preserve">היקף (נכון ל־25.8, לפי מצב הלימוד בכיתה): </w:t>
      </w:r>
      <w:r>
        <w:rPr>
          <w:rFonts w:ascii="Arial" w:cs="Arial" w:eastAsia="Arial" w:hAnsi="Arial"/>
          <w:b w:val="false"/>
          <w:bCs w:val="false"/>
          <w:i w:val="false"/>
          <w:iCs w:val="false"/>
          <w:color w:val="222222"/>
          <w:sz w:val="22"/>
          <w:szCs w:val="22"/>
          <w:rtl/>
        </w:rPr>
        <w:t xml:space="preserve">מצגת מבוא + מצגת 1 במלואה (ס׳ 1–12, השלמת פרטים, זיכרון דברים, תום לב, פ"ד קוזלי) + מצגת 2 עד ס׳ 14(ב), וכן ס׳ 19, 20, 21 (ביטול חלקי, דרך הביטול והשבה).</w:t>
      </w:r>
    </w:p>
    <w:p>
      <w:pPr>
        <w:pStyle w:val="ListParagraph"/>
        <w:numPr>
          <w:ilvl w:val="0"/>
          <w:numId w:val="2"/>
        </w:numPr>
        <w:bidi/>
        <w:spacing w:after="60" w:line="276"/>
      </w:pPr>
      <w:r>
        <w:rPr>
          <w:rFonts w:ascii="Arial" w:cs="Arial" w:eastAsia="Arial" w:hAnsi="Arial"/>
          <w:b/>
          <w:bCs/>
          <w:i w:val="false"/>
          <w:iCs w:val="false"/>
          <w:color w:val="222222"/>
          <w:sz w:val="22"/>
          <w:szCs w:val="22"/>
          <w:rtl/>
        </w:rPr>
        <w:t xml:space="preserve">ס׳ 15 (הטעיה): </w:t>
      </w:r>
      <w:r>
        <w:rPr>
          <w:rFonts w:ascii="Arial" w:cs="Arial" w:eastAsia="Arial" w:hAnsi="Arial"/>
          <w:b w:val="false"/>
          <w:bCs w:val="false"/>
          <w:i w:val="false"/>
          <w:iCs w:val="false"/>
          <w:color w:val="222222"/>
          <w:sz w:val="22"/>
          <w:szCs w:val="22"/>
          <w:rtl/>
        </w:rPr>
        <w:t xml:space="preserve">ייתכן שיילמד בשיעור שלפני הבוחן (1.9) — נכלל בגוף החוברת עם סימון. ס׳ 16–18 (טעות סופר, כפייה, עושק) טרם נלמדו — הועברו לנספח בסוף.</w:t>
      </w:r>
    </w:p>
    <w:p>
      <w:pPr>
        <w:bidi/>
        <w:spacing w:after="100"/>
      </w:pPr>
    </w:p>
    <w:p>
      <w:pPr>
        <w:bidi/>
        <w:spacing w:after="60" w:before="0" w:line="276"/>
      </w:pPr>
      <w:r>
        <w:rPr>
          <w:rFonts w:ascii="Arial" w:cs="Arial" w:eastAsia="Arial" w:hAnsi="Arial"/>
          <w:b/>
          <w:bCs/>
          <w:i w:val="false"/>
          <w:iCs w:val="false"/>
          <w:color w:val="222222"/>
          <w:sz w:val="24"/>
          <w:szCs w:val="24"/>
          <w:rtl/>
        </w:rPr>
        <w:t xml:space="preserve">מבנה החוברת:</w:t>
      </w:r>
    </w:p>
    <w:p>
      <w:pPr>
        <w:pStyle w:val="ListParagraph"/>
        <w:numPr>
          <w:ilvl w:val="0"/>
          <w:numId w:val="2"/>
        </w:numPr>
        <w:bidi/>
        <w:spacing w:after="60" w:line="276"/>
      </w:pPr>
      <w:r>
        <w:rPr>
          <w:rFonts w:ascii="Arial" w:cs="Arial" w:eastAsia="Arial" w:hAnsi="Arial"/>
          <w:b w:val="false"/>
          <w:bCs w:val="false"/>
          <w:i w:val="false"/>
          <w:iCs w:val="false"/>
          <w:color w:val="222222"/>
          <w:sz w:val="22"/>
          <w:szCs w:val="22"/>
          <w:rtl/>
        </w:rPr>
        <w:t xml:space="preserve">חלק א׳ — איך עונים על היגד (טכניקת התשובה)</w:t>
      </w:r>
    </w:p>
    <w:p>
      <w:pPr>
        <w:pStyle w:val="ListParagraph"/>
        <w:numPr>
          <w:ilvl w:val="0"/>
          <w:numId w:val="2"/>
        </w:numPr>
        <w:bidi/>
        <w:spacing w:after="60" w:line="276"/>
      </w:pPr>
      <w:r>
        <w:rPr>
          <w:rFonts w:ascii="Arial" w:cs="Arial" w:eastAsia="Arial" w:hAnsi="Arial"/>
          <w:b w:val="false"/>
          <w:bCs w:val="false"/>
          <w:i w:val="false"/>
          <w:iCs w:val="false"/>
          <w:color w:val="222222"/>
          <w:sz w:val="22"/>
          <w:szCs w:val="22"/>
          <w:rtl/>
        </w:rPr>
        <w:t xml:space="preserve">חלק ב׳ — טבלת שליפה מהירה: סעיפי החוק</w:t>
      </w:r>
    </w:p>
    <w:p>
      <w:pPr>
        <w:pStyle w:val="ListParagraph"/>
        <w:numPr>
          <w:ilvl w:val="0"/>
          <w:numId w:val="2"/>
        </w:numPr>
        <w:bidi/>
        <w:spacing w:after="60" w:line="276"/>
      </w:pPr>
      <w:r>
        <w:rPr>
          <w:rFonts w:ascii="Arial" w:cs="Arial" w:eastAsia="Arial" w:hAnsi="Arial"/>
          <w:b w:val="false"/>
          <w:bCs w:val="false"/>
          <w:i w:val="false"/>
          <w:iCs w:val="false"/>
          <w:color w:val="222222"/>
          <w:sz w:val="22"/>
          <w:szCs w:val="22"/>
          <w:rtl/>
        </w:rPr>
        <w:t xml:space="preserve">חלק ג׳ — טבלאות פסקי דין (מהמצגות הרשמיות + מהשיעורים)</w:t>
      </w:r>
    </w:p>
    <w:p>
      <w:pPr>
        <w:pStyle w:val="ListParagraph"/>
        <w:numPr>
          <w:ilvl w:val="0"/>
          <w:numId w:val="2"/>
        </w:numPr>
        <w:bidi/>
        <w:spacing w:after="60" w:line="276"/>
      </w:pPr>
      <w:r>
        <w:rPr>
          <w:rFonts w:ascii="Arial" w:cs="Arial" w:eastAsia="Arial" w:hAnsi="Arial"/>
          <w:b w:val="false"/>
          <w:bCs w:val="false"/>
          <w:i w:val="false"/>
          <w:iCs w:val="false"/>
          <w:color w:val="222222"/>
          <w:sz w:val="22"/>
          <w:szCs w:val="22"/>
          <w:rtl/>
        </w:rPr>
        <w:t xml:space="preserve">חלק ד׳ — 14 מלכודות קלאסיות בהיגדים</w:t>
      </w:r>
    </w:p>
    <w:p>
      <w:pPr>
        <w:pStyle w:val="ListParagraph"/>
        <w:numPr>
          <w:ilvl w:val="0"/>
          <w:numId w:val="2"/>
        </w:numPr>
        <w:bidi/>
        <w:spacing w:after="60" w:line="276"/>
      </w:pPr>
      <w:r>
        <w:rPr>
          <w:rFonts w:ascii="Arial" w:cs="Arial" w:eastAsia="Arial" w:hAnsi="Arial"/>
          <w:b w:val="false"/>
          <w:bCs w:val="false"/>
          <w:i w:val="false"/>
          <w:iCs w:val="false"/>
          <w:color w:val="222222"/>
          <w:sz w:val="22"/>
          <w:szCs w:val="22"/>
          <w:rtl/>
        </w:rPr>
        <w:t xml:space="preserve">חלק ה׳ — סיכום נושאים מלא לפי המצגות</w:t>
      </w:r>
    </w:p>
    <w:p>
      <w:pPr>
        <w:pStyle w:val="ListParagraph"/>
        <w:numPr>
          <w:ilvl w:val="0"/>
          <w:numId w:val="2"/>
        </w:numPr>
        <w:bidi/>
        <w:spacing w:after="60" w:line="276"/>
      </w:pPr>
      <w:r>
        <w:rPr>
          <w:rFonts w:ascii="Arial" w:cs="Arial" w:eastAsia="Arial" w:hAnsi="Arial"/>
          <w:b w:val="false"/>
          <w:bCs w:val="false"/>
          <w:i w:val="false"/>
          <w:iCs w:val="false"/>
          <w:color w:val="222222"/>
          <w:sz w:val="22"/>
          <w:szCs w:val="22"/>
          <w:rtl/>
        </w:rPr>
        <w:t xml:space="preserve">חלק ו׳ — הבוחן האמיתי של הכיתה המקבילה (20.5) עם פתרון</w:t>
      </w:r>
    </w:p>
    <w:p>
      <w:pPr>
        <w:pStyle w:val="ListParagraph"/>
        <w:numPr>
          <w:ilvl w:val="0"/>
          <w:numId w:val="2"/>
        </w:numPr>
        <w:bidi/>
        <w:spacing w:after="60" w:line="276"/>
      </w:pPr>
      <w:r>
        <w:rPr>
          <w:rFonts w:ascii="Arial" w:cs="Arial" w:eastAsia="Arial" w:hAnsi="Arial"/>
          <w:b w:val="false"/>
          <w:bCs w:val="false"/>
          <w:i w:val="false"/>
          <w:iCs w:val="false"/>
          <w:color w:val="222222"/>
          <w:sz w:val="22"/>
          <w:szCs w:val="22"/>
          <w:rtl/>
        </w:rPr>
        <w:t xml:space="preserve">חלק ז׳ — מאגר תרגול: 30 היגדים עם פתרונות</w:t>
      </w:r>
    </w:p>
    <w:p>
      <w:pPr>
        <w:pStyle w:val="ListParagraph"/>
        <w:numPr>
          <w:ilvl w:val="0"/>
          <w:numId w:val="2"/>
        </w:numPr>
        <w:bidi/>
        <w:spacing w:after="60" w:line="276"/>
      </w:pPr>
      <w:r>
        <w:rPr>
          <w:rFonts w:ascii="Arial" w:cs="Arial" w:eastAsia="Arial" w:hAnsi="Arial"/>
          <w:b w:val="false"/>
          <w:bCs w:val="false"/>
          <w:i w:val="false"/>
          <w:iCs w:val="false"/>
          <w:color w:val="222222"/>
          <w:sz w:val="22"/>
          <w:szCs w:val="22"/>
          <w:rtl/>
        </w:rPr>
        <w:t xml:space="preserve">חלק ח׳ — קייסים רשמיים עם פתרון (תמרי הנגר; סיגל והמורה לגיטרה)</w:t>
      </w:r>
    </w:p>
    <w:p>
      <w:pPr>
        <w:pStyle w:val="ListParagraph"/>
        <w:numPr>
          <w:ilvl w:val="0"/>
          <w:numId w:val="2"/>
        </w:numPr>
        <w:bidi/>
        <w:spacing w:after="60" w:line="276"/>
      </w:pPr>
      <w:r>
        <w:rPr>
          <w:rFonts w:ascii="Arial" w:cs="Arial" w:eastAsia="Arial" w:hAnsi="Arial"/>
          <w:b w:val="false"/>
          <w:bCs w:val="false"/>
          <w:i w:val="false"/>
          <w:iCs w:val="false"/>
          <w:color w:val="222222"/>
          <w:sz w:val="22"/>
          <w:szCs w:val="22"/>
          <w:rtl/>
        </w:rPr>
        <w:t xml:space="preserve">נספח חקיקה — לשון הסעיפים לציטוט מדויק</w:t>
      </w:r>
    </w:p>
    <w:p>
      <w:pPr>
        <w:pStyle w:val="ListParagraph"/>
        <w:numPr>
          <w:ilvl w:val="0"/>
          <w:numId w:val="2"/>
        </w:numPr>
        <w:bidi/>
        <w:spacing w:after="60" w:line="276"/>
      </w:pPr>
      <w:r>
        <w:rPr>
          <w:rFonts w:ascii="Arial" w:cs="Arial" w:eastAsia="Arial" w:hAnsi="Arial"/>
          <w:b w:val="false"/>
          <w:bCs w:val="false"/>
          <w:i w:val="false"/>
          <w:iCs w:val="false"/>
          <w:color w:val="222222"/>
          <w:sz w:val="22"/>
          <w:szCs w:val="22"/>
          <w:rtl/>
        </w:rPr>
        <w:t xml:space="preserve">נספח — חומר שטרם נלמד (הטעיה בהרחבה, טעות סופר, כפייה, עושק)</w:t>
      </w:r>
    </w:p>
    <w:p>
      <w:r>
        <w:br w:type="page"/>
      </w:r>
    </w:p>
    <w:p>
      <w:pPr>
        <w:pStyle w:val="Heading1"/>
        <w:keepNext/>
        <w:bidi/>
        <w:spacing w:after="160" w:before="240" w:line="276"/>
      </w:pPr>
      <w:r>
        <w:rPr>
          <w:rFonts w:ascii="Arial" w:cs="Arial" w:eastAsia="Arial" w:hAnsi="Arial"/>
          <w:b/>
          <w:bCs/>
          <w:i w:val="false"/>
          <w:iCs w:val="false"/>
          <w:color w:val="1F3864"/>
          <w:sz w:val="32"/>
          <w:szCs w:val="32"/>
          <w:rtl/>
        </w:rPr>
        <w:t xml:space="preserve">הדף המהיר — אם תסתכל רק בדף אחד</w:t>
      </w:r>
    </w:p>
    <w:p>
      <w:pPr>
        <w:pStyle w:val="Heading3"/>
        <w:keepNext/>
        <w:bidi/>
        <w:spacing w:after="80" w:before="140" w:line="276"/>
      </w:pPr>
      <w:r>
        <w:rPr>
          <w:rFonts w:ascii="Arial" w:cs="Arial" w:eastAsia="Arial" w:hAnsi="Arial"/>
          <w:b/>
          <w:bCs/>
          <w:i w:val="false"/>
          <w:iCs w:val="false"/>
          <w:color w:val="404040"/>
          <w:sz w:val="23"/>
          <w:szCs w:val="23"/>
          <w:rtl/>
        </w:rPr>
        <w:t xml:space="preserve">1 · תבנית התשובה</w:t>
      </w:r>
    </w:p>
    <w:p>
      <w:pPr>
        <w:shd w:fill="F2F2F2" w:val="clear"/>
        <w:bidi/>
        <w:spacing w:after="120" w:before="0" w:line="276"/>
        <w:ind w:left="200" w:right="200"/>
      </w:pPr>
      <w:r>
        <w:rPr>
          <w:rFonts w:ascii="Arial" w:cs="Arial" w:eastAsia="Arial" w:hAnsi="Arial"/>
          <w:b w:val="false"/>
          <w:bCs w:val="false"/>
          <w:i/>
          <w:iCs/>
          <w:color w:val="333333"/>
          <w:sz w:val="22"/>
          <w:szCs w:val="22"/>
          <w:rtl/>
        </w:rPr>
        <w:t xml:space="preserve">[נכון / לא נכון]. לפי סעיף ___ לחוק החוזים (חלק כללי) / פס"ד ___, הכלל הוא ש-___. בענייננו ___, ולכן ___.</w:t>
      </w:r>
    </w:p>
    <w:p>
      <w:pPr>
        <w:bidi/>
        <w:spacing w:after="120" w:before="0" w:line="276"/>
      </w:pPr>
      <w:r>
        <w:rPr>
          <w:rFonts w:ascii="Arial" w:cs="Arial" w:eastAsia="Arial" w:hAnsi="Arial"/>
          <w:b w:val="false"/>
          <w:bCs w:val="false"/>
          <w:i w:val="false"/>
          <w:iCs w:val="false"/>
          <w:color w:val="555555"/>
          <w:sz w:val="22"/>
          <w:szCs w:val="22"/>
          <w:rtl/>
        </w:rPr>
        <w:t xml:space="preserve">פסיקה חד-משמעית ← כלל + מקור מדויק ← משפט יישום. 2–4 שורות מספיקות.</w:t>
      </w:r>
    </w:p>
    <w:p>
      <w:pPr>
        <w:pStyle w:val="Heading3"/>
        <w:keepNext/>
        <w:bidi/>
        <w:spacing w:after="80" w:before="140" w:line="276"/>
      </w:pPr>
      <w:r>
        <w:rPr>
          <w:rFonts w:ascii="Arial" w:cs="Arial" w:eastAsia="Arial" w:hAnsi="Arial"/>
          <w:b/>
          <w:bCs/>
          <w:i w:val="false"/>
          <w:iCs w:val="false"/>
          <w:color w:val="404040"/>
          <w:sz w:val="23"/>
          <w:szCs w:val="23"/>
          <w:rtl/>
        </w:rPr>
        <w:t xml:space="preserve">2 · שש ההבחנות שמכריעות היגדים</w:t>
      </w:r>
    </w:p>
    <w:tbl>
      <w:tblPr>
        <w:bidiVisual/>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345"/>
        <w:gridCol w:w="3337"/>
        <w:gridCol w:w="3337"/>
      </w:tblGrid>
      <w:tr>
        <w:trPr>
          <w:tblHeader/>
        </w:trPr>
        <w:tc>
          <w:tcPr>
            <w:tcW w:type="dxa" w:w="2345"/>
            <w:shd w:fill="1F3864" w:val="clear"/>
            <w:tcMar>
              <w:top w:type="dxa" w:w="60"/>
              <w:left w:type="dxa" w:w="100"/>
              <w:bottom w:type="dxa" w:w="60"/>
              <w:right w:type="dxa" w:w="100"/>
            </w:tcMar>
            <w:vAlign w:val="center"/>
          </w:tcPr>
          <w:p>
            <w:pPr>
              <w:bidi/>
              <w:spacing w:after="0" w:before="0" w:line="276"/>
            </w:pPr>
            <w:r>
              <w:rPr>
                <w:rFonts w:ascii="Arial" w:cs="Arial" w:eastAsia="Arial" w:hAnsi="Arial"/>
                <w:b/>
                <w:bCs/>
                <w:i w:val="false"/>
                <w:iCs w:val="false"/>
                <w:color w:val="FFFFFF"/>
                <w:sz w:val="21"/>
                <w:szCs w:val="21"/>
                <w:rtl/>
              </w:rPr>
              <w:t xml:space="preserve">ההבחנה</w:t>
            </w:r>
          </w:p>
        </w:tc>
        <w:tc>
          <w:tcPr>
            <w:tcW w:type="dxa" w:w="3337"/>
            <w:shd w:fill="1F3864" w:val="clear"/>
            <w:tcMar>
              <w:top w:type="dxa" w:w="60"/>
              <w:left w:type="dxa" w:w="100"/>
              <w:bottom w:type="dxa" w:w="60"/>
              <w:right w:type="dxa" w:w="100"/>
            </w:tcMar>
            <w:vAlign w:val="center"/>
          </w:tcPr>
          <w:p>
            <w:pPr>
              <w:bidi/>
              <w:spacing w:after="0" w:before="0" w:line="276"/>
            </w:pPr>
            <w:r>
              <w:rPr>
                <w:rFonts w:ascii="Arial" w:cs="Arial" w:eastAsia="Arial" w:hAnsi="Arial"/>
                <w:b/>
                <w:bCs/>
                <w:i w:val="false"/>
                <w:iCs w:val="false"/>
                <w:color w:val="FFFFFF"/>
                <w:sz w:val="21"/>
                <w:szCs w:val="21"/>
                <w:rtl/>
              </w:rPr>
              <w:t xml:space="preserve">הצד האחד</w:t>
            </w:r>
          </w:p>
        </w:tc>
        <w:tc>
          <w:tcPr>
            <w:tcW w:type="dxa" w:w="3337"/>
            <w:shd w:fill="1F3864" w:val="clear"/>
            <w:tcMar>
              <w:top w:type="dxa" w:w="60"/>
              <w:left w:type="dxa" w:w="100"/>
              <w:bottom w:type="dxa" w:w="60"/>
              <w:right w:type="dxa" w:w="100"/>
            </w:tcMar>
            <w:vAlign w:val="center"/>
          </w:tcPr>
          <w:p>
            <w:pPr>
              <w:bidi/>
              <w:spacing w:after="0" w:before="0" w:line="276"/>
            </w:pPr>
            <w:r>
              <w:rPr>
                <w:rFonts w:ascii="Arial" w:cs="Arial" w:eastAsia="Arial" w:hAnsi="Arial"/>
                <w:b/>
                <w:bCs/>
                <w:i w:val="false"/>
                <w:iCs w:val="false"/>
                <w:color w:val="FFFFFF"/>
                <w:sz w:val="21"/>
                <w:szCs w:val="21"/>
                <w:rtl/>
              </w:rPr>
              <w:t xml:space="preserve">הצד השני</w:t>
            </w:r>
          </w:p>
        </w:tc>
      </w:tr>
      <w:tr>
        <w:tc>
          <w:tcPr>
            <w:tcW w:type="dxa" w:w="2345"/>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בטל / ניתן לביטול</w:t>
            </w:r>
          </w:p>
        </w:tc>
        <w:tc>
          <w:tcPr>
            <w:tcW w:type="dxa" w:w="3337"/>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חוזה פסול (ס' 30) — בטל מעצמו, בלי הודעה.</w:t>
            </w:r>
          </w:p>
        </w:tc>
        <w:tc>
          <w:tcPr>
            <w:tcW w:type="dxa" w:w="3337"/>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פגם ברצון (14, 15, 17, 18) — תקף עד שהנפגע יבטל.</w:t>
            </w:r>
          </w:p>
        </w:tc>
      </w:tr>
      <w:tr>
        <w:tc>
          <w:tcPr>
            <w:tcW w:type="dxa" w:w="2345"/>
            <w:shd w:fill="F2F6FC" w:val="clear"/>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מתן / מסירה</w:t>
            </w:r>
          </w:p>
        </w:tc>
        <w:tc>
          <w:tcPr>
            <w:tcW w:type="dxa" w:w="3337"/>
            <w:shd w:fill="F2F6FC" w:val="clear"/>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מתן קיבול = משלוח ה"כן" — ס' 3(א), 4(2).</w:t>
            </w:r>
          </w:p>
        </w:tc>
        <w:tc>
          <w:tcPr>
            <w:tcW w:type="dxa" w:w="3337"/>
            <w:shd w:fill="F2F6FC" w:val="clear"/>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מסירה = הגעתו למציע — ס' 10.</w:t>
            </w:r>
          </w:p>
        </w:tc>
      </w:tr>
      <w:tr>
        <w:tc>
          <w:tcPr>
            <w:tcW w:type="dxa" w:w="2345"/>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14(א) / 14(ב)</w:t>
            </w:r>
          </w:p>
        </w:tc>
        <w:tc>
          <w:tcPr>
            <w:tcW w:type="dxa" w:w="3337"/>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הצד השני ידע או היה עליו לדעת ← ביטול עצמי.</w:t>
            </w:r>
          </w:p>
        </w:tc>
        <w:tc>
          <w:tcPr>
            <w:tcW w:type="dxa" w:w="3337"/>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לא ידע ← רק ביהמ"ש, משיקולי צדק + חשיפה לפיצויים.</w:t>
            </w:r>
          </w:p>
        </w:tc>
      </w:tr>
      <w:tr>
        <w:tc>
          <w:tcPr>
            <w:tcW w:type="dxa" w:w="2345"/>
            <w:shd w:fill="F2F6FC" w:val="clear"/>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טעות / כדאיות</w:t>
            </w:r>
          </w:p>
        </w:tc>
        <w:tc>
          <w:tcPr>
            <w:tcW w:type="dxa" w:w="3337"/>
            <w:shd w:fill="F2F6FC" w:val="clear"/>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טעות = הווה או עבר (רבינוביץ) ← עילה.</w:t>
            </w:r>
          </w:p>
        </w:tc>
        <w:tc>
          <w:tcPr>
            <w:tcW w:type="dxa" w:w="3337"/>
            <w:shd w:fill="F2F6FC" w:val="clear"/>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ציפייה לעתיד / AS-IS / סיכון מודע ← 14(ד), אין ביטול.</w:t>
            </w:r>
          </w:p>
        </w:tc>
      </w:tr>
      <w:tr>
        <w:tc>
          <w:tcPr>
            <w:tcW w:type="dxa" w:w="2345"/>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שתיקה</w:t>
            </w:r>
          </w:p>
        </w:tc>
        <w:tc>
          <w:tcPr>
            <w:tcW w:type="dxa" w:w="3337"/>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המציע אינו כופה שתיקה כקיבול — ס' 6(ב).</w:t>
            </w:r>
          </w:p>
        </w:tc>
        <w:tc>
          <w:tcPr>
            <w:tcW w:type="dxa" w:w="3337"/>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הצעה מזכה — חזקת קיבול בשתיקה, ס' 7.</w:t>
            </w:r>
          </w:p>
        </w:tc>
      </w:tr>
      <w:tr>
        <w:tc>
          <w:tcPr>
            <w:tcW w:type="dxa" w:w="2345"/>
            <w:shd w:fill="F2F6FC" w:val="clear"/>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סעד ס' 12</w:t>
            </w:r>
          </w:p>
        </w:tc>
        <w:tc>
          <w:tcPr>
            <w:tcW w:type="dxa" w:w="3337"/>
            <w:shd w:fill="F2F6FC" w:val="clear"/>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פיצויי הסתמכות — לא ביטול.</w:t>
            </w:r>
          </w:p>
        </w:tc>
        <w:tc>
          <w:tcPr>
            <w:tcW w:type="dxa" w:w="3337"/>
            <w:shd w:fill="F2F6FC" w:val="clear"/>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חריג: פיצויי קיום (קל בניין); לעיתים אכיפה (זפניק).</w:t>
            </w:r>
          </w:p>
        </w:tc>
      </w:tr>
    </w:tbl>
    <w:p>
      <w:pPr>
        <w:pStyle w:val="Heading3"/>
        <w:keepNext/>
        <w:bidi/>
        <w:spacing w:after="80" w:before="140" w:line="276"/>
      </w:pPr>
      <w:r>
        <w:rPr>
          <w:rFonts w:ascii="Arial" w:cs="Arial" w:eastAsia="Arial" w:hAnsi="Arial"/>
          <w:b/>
          <w:bCs/>
          <w:i w:val="false"/>
          <w:iCs w:val="false"/>
          <w:color w:val="404040"/>
          <w:sz w:val="23"/>
          <w:szCs w:val="23"/>
          <w:rtl/>
        </w:rPr>
        <w:t xml:space="preserve">3 · מפת הסעיפים בשורה</w:t>
      </w:r>
    </w:p>
    <w:p>
      <w:pPr>
        <w:bidi/>
        <w:spacing w:after="120" w:before="0" w:line="276"/>
      </w:pPr>
      <w:r>
        <w:rPr>
          <w:rFonts w:ascii="Arial" w:cs="Arial" w:eastAsia="Arial" w:hAnsi="Arial"/>
          <w:b/>
          <w:bCs/>
          <w:i w:val="false"/>
          <w:iCs w:val="false"/>
          <w:color w:val="222222"/>
          <w:sz w:val="22"/>
          <w:szCs w:val="22"/>
          <w:rtl/>
        </w:rPr>
        <w:t xml:space="preserve">1 </w:t>
      </w:r>
      <w:r>
        <w:rPr>
          <w:rFonts w:ascii="Arial" w:cs="Arial" w:eastAsia="Arial" w:hAnsi="Arial"/>
          <w:b w:val="false"/>
          <w:bCs w:val="false"/>
          <w:i w:val="false"/>
          <w:iCs w:val="false"/>
          <w:color w:val="222222"/>
          <w:sz w:val="22"/>
          <w:szCs w:val="22"/>
          <w:rtl/>
        </w:rPr>
        <w:t xml:space="preserve">חוזה=הצעה+קיבול · </w:t>
      </w:r>
      <w:r>
        <w:rPr>
          <w:rFonts w:ascii="Arial" w:cs="Arial" w:eastAsia="Arial" w:hAnsi="Arial"/>
          <w:b/>
          <w:bCs/>
          <w:i w:val="false"/>
          <w:iCs w:val="false"/>
          <w:color w:val="222222"/>
          <w:sz w:val="22"/>
          <w:szCs w:val="22"/>
          <w:rtl/>
        </w:rPr>
        <w:t xml:space="preserve">2 </w:t>
      </w:r>
      <w:r>
        <w:rPr>
          <w:rFonts w:ascii="Arial" w:cs="Arial" w:eastAsia="Arial" w:hAnsi="Arial"/>
          <w:b w:val="false"/>
          <w:bCs w:val="false"/>
          <w:i w:val="false"/>
          <w:iCs w:val="false"/>
          <w:color w:val="222222"/>
          <w:sz w:val="22"/>
          <w:szCs w:val="22"/>
          <w:rtl/>
        </w:rPr>
        <w:t xml:space="preserve">הצעה · </w:t>
      </w:r>
      <w:r>
        <w:rPr>
          <w:rFonts w:ascii="Arial" w:cs="Arial" w:eastAsia="Arial" w:hAnsi="Arial"/>
          <w:b/>
          <w:bCs/>
          <w:i w:val="false"/>
          <w:iCs w:val="false"/>
          <w:color w:val="222222"/>
          <w:sz w:val="22"/>
          <w:szCs w:val="22"/>
          <w:rtl/>
        </w:rPr>
        <w:t xml:space="preserve">3 </w:t>
      </w:r>
      <w:r>
        <w:rPr>
          <w:rFonts w:ascii="Arial" w:cs="Arial" w:eastAsia="Arial" w:hAnsi="Arial"/>
          <w:b w:val="false"/>
          <w:bCs w:val="false"/>
          <w:i w:val="false"/>
          <w:iCs w:val="false"/>
          <w:color w:val="222222"/>
          <w:sz w:val="22"/>
          <w:szCs w:val="22"/>
          <w:rtl/>
        </w:rPr>
        <w:t xml:space="preserve">חרטת מציע · </w:t>
      </w:r>
      <w:r>
        <w:rPr>
          <w:rFonts w:ascii="Arial" w:cs="Arial" w:eastAsia="Arial" w:hAnsi="Arial"/>
          <w:b/>
          <w:bCs/>
          <w:i w:val="false"/>
          <w:iCs w:val="false"/>
          <w:color w:val="222222"/>
          <w:sz w:val="22"/>
          <w:szCs w:val="22"/>
          <w:rtl/>
        </w:rPr>
        <w:t xml:space="preserve">4 </w:t>
      </w:r>
      <w:r>
        <w:rPr>
          <w:rFonts w:ascii="Arial" w:cs="Arial" w:eastAsia="Arial" w:hAnsi="Arial"/>
          <w:b w:val="false"/>
          <w:bCs w:val="false"/>
          <w:i w:val="false"/>
          <w:iCs w:val="false"/>
          <w:color w:val="222222"/>
          <w:sz w:val="22"/>
          <w:szCs w:val="22"/>
          <w:rtl/>
        </w:rPr>
        <w:t xml:space="preserve">פקיעה · </w:t>
      </w:r>
      <w:r>
        <w:rPr>
          <w:rFonts w:ascii="Arial" w:cs="Arial" w:eastAsia="Arial" w:hAnsi="Arial"/>
          <w:b/>
          <w:bCs/>
          <w:i w:val="false"/>
          <w:iCs w:val="false"/>
          <w:color w:val="222222"/>
          <w:sz w:val="22"/>
          <w:szCs w:val="22"/>
          <w:rtl/>
        </w:rPr>
        <w:t xml:space="preserve">5 </w:t>
      </w:r>
      <w:r>
        <w:rPr>
          <w:rFonts w:ascii="Arial" w:cs="Arial" w:eastAsia="Arial" w:hAnsi="Arial"/>
          <w:b w:val="false"/>
          <w:bCs w:val="false"/>
          <w:i w:val="false"/>
          <w:iCs w:val="false"/>
          <w:color w:val="222222"/>
          <w:sz w:val="22"/>
          <w:szCs w:val="22"/>
          <w:rtl/>
        </w:rPr>
        <w:t xml:space="preserve">קיבול · </w:t>
      </w:r>
      <w:r>
        <w:rPr>
          <w:rFonts w:ascii="Arial" w:cs="Arial" w:eastAsia="Arial" w:hAnsi="Arial"/>
          <w:b/>
          <w:bCs/>
          <w:i w:val="false"/>
          <w:iCs w:val="false"/>
          <w:color w:val="222222"/>
          <w:sz w:val="22"/>
          <w:szCs w:val="22"/>
          <w:rtl/>
        </w:rPr>
        <w:t xml:space="preserve">6 </w:t>
      </w:r>
      <w:r>
        <w:rPr>
          <w:rFonts w:ascii="Arial" w:cs="Arial" w:eastAsia="Arial" w:hAnsi="Arial"/>
          <w:b w:val="false"/>
          <w:bCs w:val="false"/>
          <w:i w:val="false"/>
          <w:iCs w:val="false"/>
          <w:color w:val="222222"/>
          <w:sz w:val="22"/>
          <w:szCs w:val="22"/>
          <w:rtl/>
        </w:rPr>
        <w:t xml:space="preserve">התנהגות/שתיקה · </w:t>
      </w:r>
      <w:r>
        <w:rPr>
          <w:rFonts w:ascii="Arial" w:cs="Arial" w:eastAsia="Arial" w:hAnsi="Arial"/>
          <w:b/>
          <w:bCs/>
          <w:i w:val="false"/>
          <w:iCs w:val="false"/>
          <w:color w:val="222222"/>
          <w:sz w:val="22"/>
          <w:szCs w:val="22"/>
          <w:rtl/>
        </w:rPr>
        <w:t xml:space="preserve">7 </w:t>
      </w:r>
      <w:r>
        <w:rPr>
          <w:rFonts w:ascii="Arial" w:cs="Arial" w:eastAsia="Arial" w:hAnsi="Arial"/>
          <w:b w:val="false"/>
          <w:bCs w:val="false"/>
          <w:i w:val="false"/>
          <w:iCs w:val="false"/>
          <w:color w:val="222222"/>
          <w:sz w:val="22"/>
          <w:szCs w:val="22"/>
          <w:rtl/>
        </w:rPr>
        <w:t xml:space="preserve">הצעה מזכה · </w:t>
      </w:r>
      <w:r>
        <w:rPr>
          <w:rFonts w:ascii="Arial" w:cs="Arial" w:eastAsia="Arial" w:hAnsi="Arial"/>
          <w:b/>
          <w:bCs/>
          <w:i w:val="false"/>
          <w:iCs w:val="false"/>
          <w:color w:val="222222"/>
          <w:sz w:val="22"/>
          <w:szCs w:val="22"/>
          <w:rtl/>
        </w:rPr>
        <w:t xml:space="preserve">8 </w:t>
      </w:r>
      <w:r>
        <w:rPr>
          <w:rFonts w:ascii="Arial" w:cs="Arial" w:eastAsia="Arial" w:hAnsi="Arial"/>
          <w:b w:val="false"/>
          <w:bCs w:val="false"/>
          <w:i w:val="false"/>
          <w:iCs w:val="false"/>
          <w:color w:val="222222"/>
          <w:sz w:val="22"/>
          <w:szCs w:val="22"/>
          <w:rtl/>
        </w:rPr>
        <w:t xml:space="preserve">מועד · </w:t>
      </w:r>
      <w:r>
        <w:rPr>
          <w:rFonts w:ascii="Arial" w:cs="Arial" w:eastAsia="Arial" w:hAnsi="Arial"/>
          <w:b/>
          <w:bCs/>
          <w:i w:val="false"/>
          <w:iCs w:val="false"/>
          <w:color w:val="222222"/>
          <w:sz w:val="22"/>
          <w:szCs w:val="22"/>
          <w:rtl/>
        </w:rPr>
        <w:t xml:space="preserve">9 </w:t>
      </w:r>
      <w:r>
        <w:rPr>
          <w:rFonts w:ascii="Arial" w:cs="Arial" w:eastAsia="Arial" w:hAnsi="Arial"/>
          <w:b w:val="false"/>
          <w:bCs w:val="false"/>
          <w:i w:val="false"/>
          <w:iCs w:val="false"/>
          <w:color w:val="222222"/>
          <w:sz w:val="22"/>
          <w:szCs w:val="22"/>
          <w:rtl/>
        </w:rPr>
        <w:t xml:space="preserve">קיבול אחרי פקיעה · </w:t>
      </w:r>
      <w:r>
        <w:rPr>
          <w:rFonts w:ascii="Arial" w:cs="Arial" w:eastAsia="Arial" w:hAnsi="Arial"/>
          <w:b/>
          <w:bCs/>
          <w:i w:val="false"/>
          <w:iCs w:val="false"/>
          <w:color w:val="222222"/>
          <w:sz w:val="22"/>
          <w:szCs w:val="22"/>
          <w:rtl/>
        </w:rPr>
        <w:t xml:space="preserve">10 </w:t>
      </w:r>
      <w:r>
        <w:rPr>
          <w:rFonts w:ascii="Arial" w:cs="Arial" w:eastAsia="Arial" w:hAnsi="Arial"/>
          <w:b w:val="false"/>
          <w:bCs w:val="false"/>
          <w:i w:val="false"/>
          <w:iCs w:val="false"/>
          <w:color w:val="222222"/>
          <w:sz w:val="22"/>
          <w:szCs w:val="22"/>
          <w:rtl/>
        </w:rPr>
        <w:t xml:space="preserve">חרטת ניצע · </w:t>
      </w:r>
      <w:r>
        <w:rPr>
          <w:rFonts w:ascii="Arial" w:cs="Arial" w:eastAsia="Arial" w:hAnsi="Arial"/>
          <w:b/>
          <w:bCs/>
          <w:i w:val="false"/>
          <w:iCs w:val="false"/>
          <w:color w:val="222222"/>
          <w:sz w:val="22"/>
          <w:szCs w:val="22"/>
          <w:rtl/>
        </w:rPr>
        <w:t xml:space="preserve">11 </w:t>
      </w:r>
      <w:r>
        <w:rPr>
          <w:rFonts w:ascii="Arial" w:cs="Arial" w:eastAsia="Arial" w:hAnsi="Arial"/>
          <w:b w:val="false"/>
          <w:bCs w:val="false"/>
          <w:i w:val="false"/>
          <w:iCs w:val="false"/>
          <w:color w:val="222222"/>
          <w:sz w:val="22"/>
          <w:szCs w:val="22"/>
          <w:rtl/>
        </w:rPr>
        <w:t xml:space="preserve">קיבול תוך שינוי · </w:t>
      </w:r>
      <w:r>
        <w:rPr>
          <w:rFonts w:ascii="Arial" w:cs="Arial" w:eastAsia="Arial" w:hAnsi="Arial"/>
          <w:b/>
          <w:bCs/>
          <w:i w:val="false"/>
          <w:iCs w:val="false"/>
          <w:color w:val="222222"/>
          <w:sz w:val="22"/>
          <w:szCs w:val="22"/>
          <w:rtl/>
        </w:rPr>
        <w:t xml:space="preserve">12 </w:t>
      </w:r>
      <w:r>
        <w:rPr>
          <w:rFonts w:ascii="Arial" w:cs="Arial" w:eastAsia="Arial" w:hAnsi="Arial"/>
          <w:b w:val="false"/>
          <w:bCs w:val="false"/>
          <w:i w:val="false"/>
          <w:iCs w:val="false"/>
          <w:color w:val="222222"/>
          <w:sz w:val="22"/>
          <w:szCs w:val="22"/>
          <w:rtl/>
        </w:rPr>
        <w:t xml:space="preserve">תום לב · </w:t>
      </w:r>
      <w:r>
        <w:rPr>
          <w:rFonts w:ascii="Arial" w:cs="Arial" w:eastAsia="Arial" w:hAnsi="Arial"/>
          <w:b/>
          <w:bCs/>
          <w:i w:val="false"/>
          <w:iCs w:val="false"/>
          <w:color w:val="222222"/>
          <w:sz w:val="22"/>
          <w:szCs w:val="22"/>
          <w:rtl/>
        </w:rPr>
        <w:t xml:space="preserve">14 </w:t>
      </w:r>
      <w:r>
        <w:rPr>
          <w:rFonts w:ascii="Arial" w:cs="Arial" w:eastAsia="Arial" w:hAnsi="Arial"/>
          <w:b w:val="false"/>
          <w:bCs w:val="false"/>
          <w:i w:val="false"/>
          <w:iCs w:val="false"/>
          <w:color w:val="222222"/>
          <w:sz w:val="22"/>
          <w:szCs w:val="22"/>
          <w:rtl/>
        </w:rPr>
        <w:t xml:space="preserve">טעות · </w:t>
      </w:r>
      <w:r>
        <w:rPr>
          <w:rFonts w:ascii="Arial" w:cs="Arial" w:eastAsia="Arial" w:hAnsi="Arial"/>
          <w:b/>
          <w:bCs/>
          <w:i w:val="false"/>
          <w:iCs w:val="false"/>
          <w:color w:val="222222"/>
          <w:sz w:val="22"/>
          <w:szCs w:val="22"/>
          <w:rtl/>
        </w:rPr>
        <w:t xml:space="preserve">15 </w:t>
      </w:r>
      <w:r>
        <w:rPr>
          <w:rFonts w:ascii="Arial" w:cs="Arial" w:eastAsia="Arial" w:hAnsi="Arial"/>
          <w:b w:val="false"/>
          <w:bCs w:val="false"/>
          <w:i w:val="false"/>
          <w:iCs w:val="false"/>
          <w:color w:val="222222"/>
          <w:sz w:val="22"/>
          <w:szCs w:val="22"/>
          <w:rtl/>
        </w:rPr>
        <w:t xml:space="preserve">הטעיה · </w:t>
      </w:r>
      <w:r>
        <w:rPr>
          <w:rFonts w:ascii="Arial" w:cs="Arial" w:eastAsia="Arial" w:hAnsi="Arial"/>
          <w:b/>
          <w:bCs/>
          <w:i w:val="false"/>
          <w:iCs w:val="false"/>
          <w:color w:val="222222"/>
          <w:sz w:val="22"/>
          <w:szCs w:val="22"/>
          <w:rtl/>
        </w:rPr>
        <w:t xml:space="preserve">19 </w:t>
      </w:r>
      <w:r>
        <w:rPr>
          <w:rFonts w:ascii="Arial" w:cs="Arial" w:eastAsia="Arial" w:hAnsi="Arial"/>
          <w:b w:val="false"/>
          <w:bCs w:val="false"/>
          <w:i w:val="false"/>
          <w:iCs w:val="false"/>
          <w:color w:val="222222"/>
          <w:sz w:val="22"/>
          <w:szCs w:val="22"/>
          <w:rtl/>
        </w:rPr>
        <w:t xml:space="preserve">ביטול חלקי · </w:t>
      </w:r>
      <w:r>
        <w:rPr>
          <w:rFonts w:ascii="Arial" w:cs="Arial" w:eastAsia="Arial" w:hAnsi="Arial"/>
          <w:b/>
          <w:bCs/>
          <w:i w:val="false"/>
          <w:iCs w:val="false"/>
          <w:color w:val="222222"/>
          <w:sz w:val="22"/>
          <w:szCs w:val="22"/>
          <w:rtl/>
        </w:rPr>
        <w:t xml:space="preserve">20 </w:t>
      </w:r>
      <w:r>
        <w:rPr>
          <w:rFonts w:ascii="Arial" w:cs="Arial" w:eastAsia="Arial" w:hAnsi="Arial"/>
          <w:b w:val="false"/>
          <w:bCs w:val="false"/>
          <w:i w:val="false"/>
          <w:iCs w:val="false"/>
          <w:color w:val="222222"/>
          <w:sz w:val="22"/>
          <w:szCs w:val="22"/>
          <w:rtl/>
        </w:rPr>
        <w:t xml:space="preserve">דרך הביטול · </w:t>
      </w:r>
      <w:r>
        <w:rPr>
          <w:rFonts w:ascii="Arial" w:cs="Arial" w:eastAsia="Arial" w:hAnsi="Arial"/>
          <w:b/>
          <w:bCs/>
          <w:i w:val="false"/>
          <w:iCs w:val="false"/>
          <w:color w:val="222222"/>
          <w:sz w:val="22"/>
          <w:szCs w:val="22"/>
          <w:rtl/>
        </w:rPr>
        <w:t xml:space="preserve">21 </w:t>
      </w:r>
      <w:r>
        <w:rPr>
          <w:rFonts w:ascii="Arial" w:cs="Arial" w:eastAsia="Arial" w:hAnsi="Arial"/>
          <w:b w:val="false"/>
          <w:bCs w:val="false"/>
          <w:i w:val="false"/>
          <w:iCs w:val="false"/>
          <w:color w:val="222222"/>
          <w:sz w:val="22"/>
          <w:szCs w:val="22"/>
          <w:rtl/>
        </w:rPr>
        <w:t xml:space="preserve">השבה · </w:t>
      </w:r>
      <w:r>
        <w:rPr>
          <w:rFonts w:ascii="Arial" w:cs="Arial" w:eastAsia="Arial" w:hAnsi="Arial"/>
          <w:b/>
          <w:bCs/>
          <w:i w:val="false"/>
          <w:iCs w:val="false"/>
          <w:color w:val="222222"/>
          <w:sz w:val="22"/>
          <w:szCs w:val="22"/>
          <w:rtl/>
        </w:rPr>
        <w:t xml:space="preserve">22 </w:t>
      </w:r>
      <w:r>
        <w:rPr>
          <w:rFonts w:ascii="Arial" w:cs="Arial" w:eastAsia="Arial" w:hAnsi="Arial"/>
          <w:b w:val="false"/>
          <w:bCs w:val="false"/>
          <w:i w:val="false"/>
          <w:iCs w:val="false"/>
          <w:color w:val="222222"/>
          <w:sz w:val="22"/>
          <w:szCs w:val="22"/>
          <w:rtl/>
        </w:rPr>
        <w:t xml:space="preserve">שמירת תרופות · </w:t>
      </w:r>
      <w:r>
        <w:rPr>
          <w:rFonts w:ascii="Arial" w:cs="Arial" w:eastAsia="Arial" w:hAnsi="Arial"/>
          <w:b/>
          <w:bCs/>
          <w:i w:val="false"/>
          <w:iCs w:val="false"/>
          <w:color w:val="222222"/>
          <w:sz w:val="22"/>
          <w:szCs w:val="22"/>
          <w:rtl/>
        </w:rPr>
        <w:t xml:space="preserve">23 </w:t>
      </w:r>
      <w:r>
        <w:rPr>
          <w:rFonts w:ascii="Arial" w:cs="Arial" w:eastAsia="Arial" w:hAnsi="Arial"/>
          <w:b w:val="false"/>
          <w:bCs w:val="false"/>
          <w:i w:val="false"/>
          <w:iCs w:val="false"/>
          <w:color w:val="222222"/>
          <w:sz w:val="22"/>
          <w:szCs w:val="22"/>
          <w:rtl/>
        </w:rPr>
        <w:t xml:space="preserve">צורה · </w:t>
      </w:r>
      <w:r>
        <w:rPr>
          <w:rFonts w:ascii="Arial" w:cs="Arial" w:eastAsia="Arial" w:hAnsi="Arial"/>
          <w:b/>
          <w:bCs/>
          <w:i w:val="false"/>
          <w:iCs w:val="false"/>
          <w:color w:val="222222"/>
          <w:sz w:val="22"/>
          <w:szCs w:val="22"/>
          <w:rtl/>
        </w:rPr>
        <w:t xml:space="preserve">26 </w:t>
      </w:r>
      <w:r>
        <w:rPr>
          <w:rFonts w:ascii="Arial" w:cs="Arial" w:eastAsia="Arial" w:hAnsi="Arial"/>
          <w:b w:val="false"/>
          <w:bCs w:val="false"/>
          <w:i w:val="false"/>
          <w:iCs w:val="false"/>
          <w:color w:val="222222"/>
          <w:sz w:val="22"/>
          <w:szCs w:val="22"/>
          <w:rtl/>
        </w:rPr>
        <w:t xml:space="preserve">השלמה · </w:t>
      </w:r>
      <w:r>
        <w:rPr>
          <w:rFonts w:ascii="Arial" w:cs="Arial" w:eastAsia="Arial" w:hAnsi="Arial"/>
          <w:b/>
          <w:bCs/>
          <w:i w:val="false"/>
          <w:iCs w:val="false"/>
          <w:color w:val="222222"/>
          <w:sz w:val="22"/>
          <w:szCs w:val="22"/>
          <w:rtl/>
        </w:rPr>
        <w:t xml:space="preserve">30 </w:t>
      </w:r>
      <w:r>
        <w:rPr>
          <w:rFonts w:ascii="Arial" w:cs="Arial" w:eastAsia="Arial" w:hAnsi="Arial"/>
          <w:b w:val="false"/>
          <w:bCs w:val="false"/>
          <w:i w:val="false"/>
          <w:iCs w:val="false"/>
          <w:color w:val="222222"/>
          <w:sz w:val="22"/>
          <w:szCs w:val="22"/>
          <w:rtl/>
        </w:rPr>
        <w:t xml:space="preserve">חוזה פסול</w:t>
      </w:r>
    </w:p>
    <w:p>
      <w:pPr>
        <w:pStyle w:val="Heading3"/>
        <w:keepNext/>
        <w:bidi/>
        <w:spacing w:after="80" w:before="140" w:line="276"/>
      </w:pPr>
      <w:r>
        <w:rPr>
          <w:rFonts w:ascii="Arial" w:cs="Arial" w:eastAsia="Arial" w:hAnsi="Arial"/>
          <w:b/>
          <w:bCs/>
          <w:i w:val="false"/>
          <w:iCs w:val="false"/>
          <w:color w:val="404040"/>
          <w:sz w:val="23"/>
          <w:szCs w:val="23"/>
          <w:rtl/>
        </w:rPr>
        <w:t xml:space="preserve">4 · אזהרת "מילים מוחלטות"</w:t>
      </w:r>
    </w:p>
    <w:p>
      <w:pPr>
        <w:shd w:fill="FFF6E0" w:val="clear"/>
        <w:bidi/>
        <w:spacing w:after="120" w:before="0" w:line="276"/>
        <w:ind w:left="150" w:right="150"/>
      </w:pPr>
      <w:r>
        <w:rPr>
          <w:rFonts w:ascii="Arial" w:cs="Arial" w:eastAsia="Arial" w:hAnsi="Arial"/>
          <w:b/>
          <w:bCs/>
          <w:i w:val="false"/>
          <w:iCs w:val="false"/>
          <w:color w:val="222222"/>
          <w:sz w:val="22"/>
          <w:szCs w:val="22"/>
          <w:rtl/>
        </w:rPr>
        <w:t xml:space="preserve">ראית "תמיד" / "רק" / "בכל מקרה" / "כל פרט" / "אינו יכול" — עצור. </w:t>
      </w:r>
      <w:r>
        <w:rPr>
          <w:rFonts w:ascii="Arial" w:cs="Arial" w:eastAsia="Arial" w:hAnsi="Arial"/>
          <w:b w:val="false"/>
          <w:bCs w:val="false"/>
          <w:i w:val="false"/>
          <w:iCs w:val="false"/>
          <w:color w:val="222222"/>
          <w:sz w:val="22"/>
          <w:szCs w:val="22"/>
          <w:rtl/>
        </w:rPr>
        <w:t xml:space="preserve">כמעט תמיד ההיגד לא נכון, והחריג הוא בדיוק הנימוק שלך.</w:t>
      </w:r>
    </w:p>
    <w:p>
      <w:r>
        <w:br w:type="page"/>
      </w:r>
    </w:p>
    <w:p>
      <w:pPr>
        <w:pStyle w:val="Heading1"/>
        <w:keepNext/>
        <w:bidi/>
        <w:spacing w:after="160" w:before="240" w:line="276"/>
      </w:pPr>
      <w:r>
        <w:rPr>
          <w:rFonts w:ascii="Arial" w:cs="Arial" w:eastAsia="Arial" w:hAnsi="Arial"/>
          <w:b/>
          <w:bCs/>
          <w:i w:val="false"/>
          <w:iCs w:val="false"/>
          <w:color w:val="1F3864"/>
          <w:sz w:val="32"/>
          <w:szCs w:val="32"/>
          <w:rtl/>
        </w:rPr>
        <w:t xml:space="preserve">חלק א׳ — איך עונים על היגד</w:t>
      </w:r>
    </w:p>
    <w:p>
      <w:pPr>
        <w:bidi/>
        <w:spacing w:after="120" w:before="0" w:line="276"/>
      </w:pPr>
      <w:r>
        <w:rPr>
          <w:rFonts w:ascii="Arial" w:cs="Arial" w:eastAsia="Arial" w:hAnsi="Arial"/>
          <w:b w:val="false"/>
          <w:bCs w:val="false"/>
          <w:i w:val="false"/>
          <w:iCs w:val="false"/>
          <w:color w:val="222222"/>
          <w:sz w:val="22"/>
          <w:szCs w:val="22"/>
          <w:rtl/>
        </w:rPr>
        <w:t xml:space="preserve">בכל היגד עונים בשלושה שלבים קבועים. תשובה טובה היא 2–4 שורות:</w:t>
      </w:r>
    </w:p>
    <w:p>
      <w:pPr>
        <w:pStyle w:val="ListParagraph"/>
        <w:numPr>
          <w:ilvl w:val="0"/>
          <w:numId w:val="3"/>
        </w:numPr>
        <w:bidi/>
        <w:spacing w:after="60" w:line="276"/>
      </w:pPr>
      <w:r>
        <w:rPr>
          <w:rFonts w:ascii="Arial" w:cs="Arial" w:eastAsia="Arial" w:hAnsi="Arial"/>
          <w:b/>
          <w:bCs/>
          <w:i w:val="false"/>
          <w:iCs w:val="false"/>
          <w:color w:val="222222"/>
          <w:sz w:val="22"/>
          <w:szCs w:val="22"/>
          <w:rtl/>
        </w:rPr>
        <w:t xml:space="preserve">פסיקה חד-משמעית: </w:t>
      </w:r>
      <w:r>
        <w:rPr>
          <w:rFonts w:ascii="Arial" w:cs="Arial" w:eastAsia="Arial" w:hAnsi="Arial"/>
          <w:b w:val="false"/>
          <w:bCs w:val="false"/>
          <w:i w:val="false"/>
          <w:iCs w:val="false"/>
          <w:color w:val="222222"/>
          <w:sz w:val="22"/>
          <w:szCs w:val="22"/>
          <w:rtl/>
        </w:rPr>
        <w:t xml:space="preserve">"נכון" או "לא נכון". בלי "תלוי" — אם יש חריג רלוונטי, ההיגד בדרך כלל "לא נכון" ומסבירים את החריג.</w:t>
      </w:r>
    </w:p>
    <w:p>
      <w:pPr>
        <w:pStyle w:val="ListParagraph"/>
        <w:numPr>
          <w:ilvl w:val="0"/>
          <w:numId w:val="3"/>
        </w:numPr>
        <w:bidi/>
        <w:spacing w:after="60" w:line="276"/>
      </w:pPr>
      <w:r>
        <w:rPr>
          <w:rFonts w:ascii="Arial" w:cs="Arial" w:eastAsia="Arial" w:hAnsi="Arial"/>
          <w:b/>
          <w:bCs/>
          <w:i w:val="false"/>
          <w:iCs w:val="false"/>
          <w:color w:val="222222"/>
          <w:sz w:val="22"/>
          <w:szCs w:val="22"/>
          <w:rtl/>
        </w:rPr>
        <w:t xml:space="preserve">הכלל המשפטי + מקור: </w:t>
      </w:r>
      <w:r>
        <w:rPr>
          <w:rFonts w:ascii="Arial" w:cs="Arial" w:eastAsia="Arial" w:hAnsi="Arial"/>
          <w:b w:val="false"/>
          <w:bCs w:val="false"/>
          <w:i w:val="false"/>
          <w:iCs w:val="false"/>
          <w:color w:val="222222"/>
          <w:sz w:val="22"/>
          <w:szCs w:val="22"/>
          <w:rtl/>
        </w:rPr>
        <w:t xml:space="preserve">הכלל בקצרה עם מספר הסעיף המדויק (כולל סעיף קטן: 3(ב), 6(א), 14(ד)...) או שם פסק הדין אם נלמד.</w:t>
      </w:r>
    </w:p>
    <w:p>
      <w:pPr>
        <w:pStyle w:val="ListParagraph"/>
        <w:numPr>
          <w:ilvl w:val="0"/>
          <w:numId w:val="3"/>
        </w:numPr>
        <w:bidi/>
        <w:spacing w:after="60" w:line="276"/>
      </w:pPr>
      <w:r>
        <w:rPr>
          <w:rFonts w:ascii="Arial" w:cs="Arial" w:eastAsia="Arial" w:hAnsi="Arial"/>
          <w:b/>
          <w:bCs/>
          <w:i w:val="false"/>
          <w:iCs w:val="false"/>
          <w:color w:val="222222"/>
          <w:sz w:val="22"/>
          <w:szCs w:val="22"/>
          <w:rtl/>
        </w:rPr>
        <w:t xml:space="preserve">יישום קצר: </w:t>
      </w:r>
      <w:r>
        <w:rPr>
          <w:rFonts w:ascii="Arial" w:cs="Arial" w:eastAsia="Arial" w:hAnsi="Arial"/>
          <w:b w:val="false"/>
          <w:bCs w:val="false"/>
          <w:i w:val="false"/>
          <w:iCs w:val="false"/>
          <w:color w:val="222222"/>
          <w:sz w:val="22"/>
          <w:szCs w:val="22"/>
          <w:rtl/>
        </w:rPr>
        <w:t xml:space="preserve">משפט אחד שמחבר את הכלל לעובדות ההיגד ("ולכן...").</w:t>
      </w:r>
    </w:p>
    <w:p>
      <w:pPr>
        <w:pStyle w:val="Heading3"/>
        <w:keepNext/>
        <w:bidi/>
        <w:spacing w:after="80" w:before="140" w:line="276"/>
      </w:pPr>
      <w:r>
        <w:rPr>
          <w:rFonts w:ascii="Arial" w:cs="Arial" w:eastAsia="Arial" w:hAnsi="Arial"/>
          <w:b/>
          <w:bCs/>
          <w:i w:val="false"/>
          <w:iCs w:val="false"/>
          <w:color w:val="404040"/>
          <w:sz w:val="23"/>
          <w:szCs w:val="23"/>
          <w:rtl/>
        </w:rPr>
        <w:t xml:space="preserve">תבנית מוכנה לכתיבה</w:t>
      </w:r>
    </w:p>
    <w:p>
      <w:pPr>
        <w:shd w:fill="F2F2F2" w:val="clear"/>
        <w:bidi/>
        <w:spacing w:after="120" w:before="0" w:line="276"/>
        <w:ind w:left="200" w:right="200"/>
      </w:pPr>
      <w:r>
        <w:rPr>
          <w:rFonts w:ascii="Arial" w:cs="Arial" w:eastAsia="Arial" w:hAnsi="Arial"/>
          <w:b w:val="false"/>
          <w:bCs w:val="false"/>
          <w:i/>
          <w:iCs/>
          <w:color w:val="333333"/>
          <w:sz w:val="22"/>
          <w:szCs w:val="22"/>
          <w:rtl/>
        </w:rPr>
        <w:t xml:space="preserve">לא נכון. לפי סעיף ___ לחוק החוזים (חלק כללי), הכלל הוא ש-___. בענייננו ___, ולכן ההיגד אינו נכון.</w:t>
      </w:r>
    </w:p>
    <w:p>
      <w:pPr>
        <w:shd w:fill="F2F2F2" w:val="clear"/>
        <w:bidi/>
        <w:spacing w:after="120" w:before="0" w:line="276"/>
        <w:ind w:left="200" w:right="200"/>
      </w:pPr>
      <w:r>
        <w:rPr>
          <w:rFonts w:ascii="Arial" w:cs="Arial" w:eastAsia="Arial" w:hAnsi="Arial"/>
          <w:b w:val="false"/>
          <w:bCs w:val="false"/>
          <w:i/>
          <w:iCs/>
          <w:color w:val="333333"/>
          <w:sz w:val="22"/>
          <w:szCs w:val="22"/>
          <w:rtl/>
        </w:rPr>
        <w:t xml:space="preserve">נכון. לפי סעיף ___ / פס"ד ___, ___. בענייננו ___, ולכן ההיגד נכון.</w:t>
      </w:r>
    </w:p>
    <w:p>
      <w:pPr>
        <w:pStyle w:val="Heading3"/>
        <w:keepNext/>
        <w:bidi/>
        <w:spacing w:after="80" w:before="140" w:line="276"/>
      </w:pPr>
      <w:r>
        <w:rPr>
          <w:rFonts w:ascii="Arial" w:cs="Arial" w:eastAsia="Arial" w:hAnsi="Arial"/>
          <w:b/>
          <w:bCs/>
          <w:i w:val="false"/>
          <w:iCs w:val="false"/>
          <w:color w:val="404040"/>
          <w:sz w:val="23"/>
          <w:szCs w:val="23"/>
          <w:rtl/>
        </w:rPr>
        <w:t xml:space="preserve">דוגמה לתשובת מופת (מהיגדי התרגול של הקורס)</w:t>
      </w:r>
    </w:p>
    <w:p>
      <w:pPr>
        <w:bidi/>
        <w:spacing w:after="120" w:before="0" w:line="276"/>
      </w:pPr>
      <w:r>
        <w:rPr>
          <w:rFonts w:ascii="Arial" w:cs="Arial" w:eastAsia="Arial" w:hAnsi="Arial"/>
          <w:b/>
          <w:bCs/>
          <w:i w:val="false"/>
          <w:iCs w:val="false"/>
          <w:color w:val="222222"/>
          <w:sz w:val="22"/>
          <w:szCs w:val="22"/>
          <w:rtl/>
        </w:rPr>
        <w:t xml:space="preserve">ההיגד: </w:t>
      </w:r>
      <w:r>
        <w:rPr>
          <w:rFonts w:ascii="Arial" w:cs="Arial" w:eastAsia="Arial" w:hAnsi="Arial"/>
          <w:b w:val="false"/>
          <w:bCs w:val="false"/>
          <w:i w:val="false"/>
          <w:iCs w:val="false"/>
          <w:color w:val="222222"/>
          <w:sz w:val="22"/>
          <w:szCs w:val="22"/>
          <w:rtl/>
        </w:rPr>
        <w:t xml:space="preserve">"מודעה הקובעת כי התמורה הנדרשת עבור רכב היא בהתאם למחירון לוי יצחק אינה נחשבת להצעה כיוון שאין מסוימות."</w:t>
      </w:r>
    </w:p>
    <w:p>
      <w:pPr>
        <w:shd w:fill="F2F2F2" w:val="clear"/>
        <w:bidi/>
        <w:spacing w:after="120" w:before="0" w:line="276"/>
        <w:ind w:left="200" w:right="200"/>
      </w:pPr>
      <w:r>
        <w:rPr>
          <w:rFonts w:ascii="Arial" w:cs="Arial" w:eastAsia="Arial" w:hAnsi="Arial"/>
          <w:b w:val="false"/>
          <w:bCs w:val="false"/>
          <w:i/>
          <w:iCs/>
          <w:color w:val="333333"/>
          <w:sz w:val="22"/>
          <w:szCs w:val="22"/>
          <w:rtl/>
        </w:rPr>
        <w:t xml:space="preserve">לא נכון. לפי סעיף 2 לחוק החוזים, פנייה היא הצעה אם יש בה גמירת דעת ומסוימות, ודרישת המסוימות מסתפקת בעיקרי הדברים. הפניה למחירון שקולה לנקיבת מחיר, ולכן יש מסוימות ומדובר בהצעה.</w:t>
      </w:r>
    </w:p>
    <w:p>
      <w:r>
        <w:br w:type="page"/>
      </w:r>
    </w:p>
    <w:p>
      <w:pPr>
        <w:pStyle w:val="Heading1"/>
        <w:keepNext/>
        <w:bidi/>
        <w:spacing w:after="160" w:before="240" w:line="276"/>
      </w:pPr>
      <w:r>
        <w:rPr>
          <w:rFonts w:ascii="Arial" w:cs="Arial" w:eastAsia="Arial" w:hAnsi="Arial"/>
          <w:b/>
          <w:bCs/>
          <w:i w:val="false"/>
          <w:iCs w:val="false"/>
          <w:color w:val="1F3864"/>
          <w:sz w:val="32"/>
          <w:szCs w:val="32"/>
          <w:rtl/>
        </w:rPr>
        <w:t xml:space="preserve">חלק ב׳ — טבלת שליפה מהירה: סעיפי החוק</w:t>
      </w:r>
    </w:p>
    <w:p>
      <w:pPr>
        <w:bidi/>
        <w:spacing w:after="80" w:before="0" w:line="276"/>
      </w:pPr>
      <w:r>
        <w:rPr>
          <w:rFonts w:ascii="Arial" w:cs="Arial" w:eastAsia="Arial" w:hAnsi="Arial"/>
          <w:b/>
          <w:bCs/>
          <w:i w:val="false"/>
          <w:iCs w:val="false"/>
          <w:color w:val="2E5395"/>
          <w:sz w:val="24"/>
          <w:szCs w:val="24"/>
          <w:rtl/>
        </w:rPr>
        <w:t xml:space="preserve">חוק החוזים (חלק כללי), התשל"ג-1973</w:t>
      </w:r>
    </w:p>
    <w:tbl>
      <w:tblPr>
        <w:bidiVisual/>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902"/>
        <w:gridCol w:w="5592"/>
        <w:gridCol w:w="2526"/>
      </w:tblGrid>
      <w:tr>
        <w:trPr>
          <w:tblHeader/>
        </w:trPr>
        <w:tc>
          <w:tcPr>
            <w:tcW w:type="dxa" w:w="902"/>
            <w:shd w:fill="1F3864" w:val="clear"/>
            <w:tcMar>
              <w:top w:type="dxa" w:w="60"/>
              <w:left w:type="dxa" w:w="100"/>
              <w:bottom w:type="dxa" w:w="60"/>
              <w:right w:type="dxa" w:w="100"/>
            </w:tcMar>
            <w:vAlign w:val="center"/>
          </w:tcPr>
          <w:p>
            <w:pPr>
              <w:bidi/>
              <w:spacing w:after="0" w:before="0" w:line="276"/>
            </w:pPr>
            <w:r>
              <w:rPr>
                <w:rFonts w:ascii="Arial" w:cs="Arial" w:eastAsia="Arial" w:hAnsi="Arial"/>
                <w:b/>
                <w:bCs/>
                <w:i w:val="false"/>
                <w:iCs w:val="false"/>
                <w:color w:val="FFFFFF"/>
                <w:sz w:val="21"/>
                <w:szCs w:val="21"/>
                <w:rtl/>
              </w:rPr>
              <w:t xml:space="preserve">סעיף</w:t>
            </w:r>
          </w:p>
        </w:tc>
        <w:tc>
          <w:tcPr>
            <w:tcW w:type="dxa" w:w="5592"/>
            <w:shd w:fill="1F3864" w:val="clear"/>
            <w:tcMar>
              <w:top w:type="dxa" w:w="60"/>
              <w:left w:type="dxa" w:w="100"/>
              <w:bottom w:type="dxa" w:w="60"/>
              <w:right w:type="dxa" w:w="100"/>
            </w:tcMar>
            <w:vAlign w:val="center"/>
          </w:tcPr>
          <w:p>
            <w:pPr>
              <w:bidi/>
              <w:spacing w:after="0" w:before="0" w:line="276"/>
            </w:pPr>
            <w:r>
              <w:rPr>
                <w:rFonts w:ascii="Arial" w:cs="Arial" w:eastAsia="Arial" w:hAnsi="Arial"/>
                <w:b/>
                <w:bCs/>
                <w:i w:val="false"/>
                <w:iCs w:val="false"/>
                <w:color w:val="FFFFFF"/>
                <w:sz w:val="21"/>
                <w:szCs w:val="21"/>
                <w:rtl/>
              </w:rPr>
              <w:t xml:space="preserve">הכלל</w:t>
            </w:r>
          </w:p>
        </w:tc>
        <w:tc>
          <w:tcPr>
            <w:tcW w:type="dxa" w:w="2526"/>
            <w:shd w:fill="1F3864" w:val="clear"/>
            <w:tcMar>
              <w:top w:type="dxa" w:w="60"/>
              <w:left w:type="dxa" w:w="100"/>
              <w:bottom w:type="dxa" w:w="60"/>
              <w:right w:type="dxa" w:w="100"/>
            </w:tcMar>
            <w:vAlign w:val="center"/>
          </w:tcPr>
          <w:p>
            <w:pPr>
              <w:bidi/>
              <w:spacing w:after="0" w:before="0" w:line="276"/>
            </w:pPr>
            <w:r>
              <w:rPr>
                <w:rFonts w:ascii="Arial" w:cs="Arial" w:eastAsia="Arial" w:hAnsi="Arial"/>
                <w:b/>
                <w:bCs/>
                <w:i w:val="false"/>
                <w:iCs w:val="false"/>
                <w:color w:val="FFFFFF"/>
                <w:sz w:val="21"/>
                <w:szCs w:val="21"/>
                <w:rtl/>
              </w:rPr>
              <w:t xml:space="preserve">מילות מפתח</w:t>
            </w:r>
          </w:p>
        </w:tc>
      </w:tr>
      <w:tr>
        <w:tc>
          <w:tcPr>
            <w:tcW w:type="dxa" w:w="902"/>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1</w:t>
            </w:r>
          </w:p>
        </w:tc>
        <w:tc>
          <w:tcPr>
            <w:tcW w:type="dxa" w:w="5592"/>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חוזה נכרת בדרך של הצעה וקיבול.</w:t>
            </w:r>
          </w:p>
        </w:tc>
        <w:tc>
          <w:tcPr>
            <w:tcW w:type="dxa" w:w="2526"/>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חוזה = הצעה + קיבול</w:t>
            </w:r>
          </w:p>
        </w:tc>
      </w:tr>
      <w:tr>
        <w:tc>
          <w:tcPr>
            <w:tcW w:type="dxa" w:w="902"/>
            <w:shd w:fill="F2F6FC" w:val="clear"/>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2</w:t>
            </w:r>
          </w:p>
        </w:tc>
        <w:tc>
          <w:tcPr>
            <w:tcW w:type="dxa" w:w="5592"/>
            <w:shd w:fill="F2F6FC" w:val="clear"/>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הצעה = פנייה המעידה על גמירת דעת + מסוימות (עיקרי הדברים). הפנייה יכולה להיות לציבור. חסר אחד מהיסודות — זו רק הזמנה להציע הצעות.</w:t>
            </w:r>
          </w:p>
        </w:tc>
        <w:tc>
          <w:tcPr>
            <w:tcW w:type="dxa" w:w="2526"/>
            <w:shd w:fill="F2F6FC" w:val="clear"/>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פנייה, גמירת דעת, מסוימות</w:t>
            </w:r>
          </w:p>
        </w:tc>
      </w:tr>
      <w:tr>
        <w:tc>
          <w:tcPr>
            <w:tcW w:type="dxa" w:w="902"/>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3(א)</w:t>
            </w:r>
          </w:p>
        </w:tc>
        <w:tc>
          <w:tcPr>
            <w:tcW w:type="dxa" w:w="5592"/>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המציע רשאי לחזור בו בהודעה לניצע, ובלבד שהודעת החזרה נמסרה לניצע לפני שנתן הודעת קיבול.</w:t>
            </w:r>
          </w:p>
        </w:tc>
        <w:tc>
          <w:tcPr>
            <w:tcW w:type="dxa" w:w="2526"/>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חרטת מציע — עד הקיבול</w:t>
            </w:r>
          </w:p>
        </w:tc>
      </w:tr>
      <w:tr>
        <w:tc>
          <w:tcPr>
            <w:tcW w:type="dxa" w:w="902"/>
            <w:shd w:fill="F2F6FC" w:val="clear"/>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3(ב)</w:t>
            </w:r>
          </w:p>
        </w:tc>
        <w:tc>
          <w:tcPr>
            <w:tcW w:type="dxa" w:w="5592"/>
            <w:shd w:fill="F2F6FC" w:val="clear"/>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הצעה "ללא חזרה" או עם מועד לקיבול — אין לחזור ממנה אחרי שנמסרה לניצע (לפני שנמסרה — אפשר).</w:t>
            </w:r>
          </w:p>
        </w:tc>
        <w:tc>
          <w:tcPr>
            <w:tcW w:type="dxa" w:w="2526"/>
            <w:shd w:fill="F2F6FC" w:val="clear"/>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הצעה בלתי הדירה</w:t>
            </w:r>
          </w:p>
        </w:tc>
      </w:tr>
      <w:tr>
        <w:tc>
          <w:tcPr>
            <w:tcW w:type="dxa" w:w="902"/>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4</w:t>
            </w:r>
          </w:p>
        </w:tc>
        <w:tc>
          <w:tcPr>
            <w:tcW w:type="dxa" w:w="5592"/>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ההצעה פוקעת: (1) דחייה מפורשת ואקטיבית (נוה עם נ׳ יעקבסון) או חלוף המועד/זמן סביר; (2) מות/פסלות דין/צו נכסים/צו פירוק של המציע או הניצע — לפני מתן הודעת הקיבול.</w:t>
            </w:r>
          </w:p>
        </w:tc>
        <w:tc>
          <w:tcPr>
            <w:tcW w:type="dxa" w:w="2526"/>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פקיעת הצעה, מוות</w:t>
            </w:r>
          </w:p>
        </w:tc>
      </w:tr>
      <w:tr>
        <w:tc>
          <w:tcPr>
            <w:tcW w:type="dxa" w:w="902"/>
            <w:shd w:fill="F2F6FC" w:val="clear"/>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5</w:t>
            </w:r>
          </w:p>
        </w:tc>
        <w:tc>
          <w:tcPr>
            <w:tcW w:type="dxa" w:w="5592"/>
            <w:shd w:fill="F2F6FC" w:val="clear"/>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קיבול = הודעת הניצע שנמסרה למציע והמעידה על גמירת דעתו — תואם להצעה ונעשה על יסוד ההצעה.</w:t>
            </w:r>
          </w:p>
        </w:tc>
        <w:tc>
          <w:tcPr>
            <w:tcW w:type="dxa" w:w="2526"/>
            <w:shd w:fill="F2F6FC" w:val="clear"/>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קיבול בהודעה</w:t>
            </w:r>
          </w:p>
        </w:tc>
      </w:tr>
      <w:tr>
        <w:tc>
          <w:tcPr>
            <w:tcW w:type="dxa" w:w="902"/>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6(א)</w:t>
            </w:r>
          </w:p>
        </w:tc>
        <w:tc>
          <w:tcPr>
            <w:tcW w:type="dxa" w:w="5592"/>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קיבול במעשה לביצוע החוזה או בהתנהגות אחרת — רק אם דרך זו נקבעה ע"י המציע או משתמעת מן ההצעה (שג"מ חניונים). לעניין ס׳ 3(א) ו-4(2) ההתנהגות דינה כהודעת קיבול.</w:t>
            </w:r>
          </w:p>
        </w:tc>
        <w:tc>
          <w:tcPr>
            <w:tcW w:type="dxa" w:w="2526"/>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קיבול בהתנהגות</w:t>
            </w:r>
          </w:p>
        </w:tc>
      </w:tr>
      <w:tr>
        <w:tc>
          <w:tcPr>
            <w:tcW w:type="dxa" w:w="902"/>
            <w:shd w:fill="F2F6FC" w:val="clear"/>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6(ב)</w:t>
            </w:r>
          </w:p>
        </w:tc>
        <w:tc>
          <w:tcPr>
            <w:tcW w:type="dxa" w:w="5592"/>
            <w:shd w:fill="F2F6FC" w:val="clear"/>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קביעת המציע שהעדר תגובה (שתיקה) ייחשב קיבול — אין לה תוקף. הברירה בידי הניצע להסכים.</w:t>
            </w:r>
          </w:p>
        </w:tc>
        <w:tc>
          <w:tcPr>
            <w:tcW w:type="dxa" w:w="2526"/>
            <w:shd w:fill="F2F6FC" w:val="clear"/>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שתיקה אינה קיבול</w:t>
            </w:r>
          </w:p>
        </w:tc>
      </w:tr>
      <w:tr>
        <w:tc>
          <w:tcPr>
            <w:tcW w:type="dxa" w:w="902"/>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7</w:t>
            </w:r>
          </w:p>
        </w:tc>
        <w:tc>
          <w:tcPr>
            <w:tcW w:type="dxa" w:w="5592"/>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הצעה מזכה (כל-כולה לטובת הניצע, נקייה מחיובים ומתנאים) — חזקת קיבול בשתיקה; הניצע מבטל את החזקה בהודעת התנגדות תוך זמן סביר.</w:t>
            </w:r>
          </w:p>
        </w:tc>
        <w:tc>
          <w:tcPr>
            <w:tcW w:type="dxa" w:w="2526"/>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חזקת קיבול</w:t>
            </w:r>
          </w:p>
        </w:tc>
      </w:tr>
      <w:tr>
        <w:tc>
          <w:tcPr>
            <w:tcW w:type="dxa" w:w="902"/>
            <w:shd w:fill="F2F6FC" w:val="clear"/>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8(א)</w:t>
            </w:r>
          </w:p>
        </w:tc>
        <w:tc>
          <w:tcPr>
            <w:tcW w:type="dxa" w:w="5592"/>
            <w:shd w:fill="F2F6FC" w:val="clear"/>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קיבול רק תוך התקופה שנקבעה, ובאין תקופה — תוך זמן סביר (לפי טיב ההצעה ונסיבותיה).</w:t>
            </w:r>
          </w:p>
        </w:tc>
        <w:tc>
          <w:tcPr>
            <w:tcW w:type="dxa" w:w="2526"/>
            <w:shd w:fill="F2F6FC" w:val="clear"/>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מועד הקיבול</w:t>
            </w:r>
          </w:p>
        </w:tc>
      </w:tr>
      <w:tr>
        <w:tc>
          <w:tcPr>
            <w:tcW w:type="dxa" w:w="902"/>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8(ב)</w:t>
            </w:r>
          </w:p>
        </w:tc>
        <w:tc>
          <w:tcPr>
            <w:tcW w:type="dxa" w:w="5592"/>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קיבול שנשלח בזמן אך איחר מסיבה שאינה תלויה בניצע — נכרת חוזה, אלא אם המציע הודיע מיד על דחיית הקיבול.</w:t>
            </w:r>
          </w:p>
        </w:tc>
        <w:tc>
          <w:tcPr>
            <w:tcW w:type="dxa" w:w="2526"/>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תקלת תקשורת</w:t>
            </w:r>
          </w:p>
        </w:tc>
      </w:tr>
      <w:tr>
        <w:tc>
          <w:tcPr>
            <w:tcW w:type="dxa" w:w="902"/>
            <w:shd w:fill="F2F6FC" w:val="clear"/>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9</w:t>
            </w:r>
          </w:p>
        </w:tc>
        <w:tc>
          <w:tcPr>
            <w:tcW w:type="dxa" w:w="5592"/>
            <w:shd w:fill="F2F6FC" w:val="clear"/>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קיבול לאחר פקיעה — כמוהו כהצעה חדשה.</w:t>
            </w:r>
          </w:p>
        </w:tc>
        <w:tc>
          <w:tcPr>
            <w:tcW w:type="dxa" w:w="2526"/>
            <w:shd w:fill="F2F6FC" w:val="clear"/>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קיבול מאוחר</w:t>
            </w:r>
          </w:p>
        </w:tc>
      </w:tr>
      <w:tr>
        <w:tc>
          <w:tcPr>
            <w:tcW w:type="dxa" w:w="902"/>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10</w:t>
            </w:r>
          </w:p>
        </w:tc>
        <w:tc>
          <w:tcPr>
            <w:tcW w:type="dxa" w:w="5592"/>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הניצע רשאי לחזור בו אם הודעת החזרה נמסרה למציע לא לאחר הודעת הקיבול (לפני או יחד — החזרה גוברת).</w:t>
            </w:r>
          </w:p>
        </w:tc>
        <w:tc>
          <w:tcPr>
            <w:tcW w:type="dxa" w:w="2526"/>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חרטת ניצע</w:t>
            </w:r>
          </w:p>
        </w:tc>
      </w:tr>
      <w:tr>
        <w:tc>
          <w:tcPr>
            <w:tcW w:type="dxa" w:w="902"/>
            <w:shd w:fill="F2F6FC" w:val="clear"/>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11</w:t>
            </w:r>
          </w:p>
        </w:tc>
        <w:tc>
          <w:tcPr>
            <w:tcW w:type="dxa" w:w="5592"/>
            <w:shd w:fill="F2F6FC" w:val="clear"/>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קיבול עם תוספת, הגבלה או שינוי — כמוהו כהצעה חדשה (הניצע הופך למציע). הוספת תנאים אחרי כריתה — רק בהסכמת שניהם.</w:t>
            </w:r>
          </w:p>
        </w:tc>
        <w:tc>
          <w:tcPr>
            <w:tcW w:type="dxa" w:w="2526"/>
            <w:shd w:fill="F2F6FC" w:val="clear"/>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קיבול תוך שינוי</w:t>
            </w:r>
          </w:p>
        </w:tc>
      </w:tr>
      <w:tr>
        <w:tc>
          <w:tcPr>
            <w:tcW w:type="dxa" w:w="902"/>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12(א)</w:t>
            </w:r>
          </w:p>
        </w:tc>
        <w:tc>
          <w:tcPr>
            <w:tcW w:type="dxa" w:w="5592"/>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תום לב במו"מ: מרגע הקשר הראשון ועד כריתה או סיום הקשר; חל על כל מי שנטל חלק במו"מ (צד, עובד, מתווך); סטנדרט אובייקטיבי.</w:t>
            </w:r>
          </w:p>
        </w:tc>
        <w:tc>
          <w:tcPr>
            <w:tcW w:type="dxa" w:w="2526"/>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תום לב במו"מ</w:t>
            </w:r>
          </w:p>
        </w:tc>
      </w:tr>
      <w:tr>
        <w:tc>
          <w:tcPr>
            <w:tcW w:type="dxa" w:w="902"/>
            <w:shd w:fill="F2F6FC" w:val="clear"/>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12(ב)</w:t>
            </w:r>
          </w:p>
        </w:tc>
        <w:tc>
          <w:tcPr>
            <w:tcW w:type="dxa" w:w="5592"/>
            <w:shd w:fill="F2F6FC" w:val="clear"/>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הסעד: פיצויי הסתמכות (שליליים); חריג — פיצויי קיום כשכל תנאי העסקה סוכמו (קל בניין); לעיתים אכיפה (זפניק). ניתן לתבוע גם בלי ביטול וגם כשנכרת חוזה.</w:t>
            </w:r>
          </w:p>
        </w:tc>
        <w:tc>
          <w:tcPr>
            <w:tcW w:type="dxa" w:w="2526"/>
            <w:shd w:fill="F2F6FC" w:val="clear"/>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פיצויים — לא ביטול</w:t>
            </w:r>
          </w:p>
        </w:tc>
      </w:tr>
      <w:tr>
        <w:tc>
          <w:tcPr>
            <w:tcW w:type="dxa" w:w="902"/>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14(א)</w:t>
            </w:r>
          </w:p>
        </w:tc>
        <w:tc>
          <w:tcPr>
            <w:tcW w:type="dxa" w:w="5592"/>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טעות ידועה: הצד השני ידע או היה עליו לדעת (ידיעה בפועל או בכוח) — הטועה רשאי לבטל בעצמו בהודעה.</w:t>
            </w:r>
          </w:p>
        </w:tc>
        <w:tc>
          <w:tcPr>
            <w:tcW w:type="dxa" w:w="2526"/>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טעות ידועה</w:t>
            </w:r>
          </w:p>
        </w:tc>
      </w:tr>
      <w:tr>
        <w:tc>
          <w:tcPr>
            <w:tcW w:type="dxa" w:w="902"/>
            <w:shd w:fill="F2F6FC" w:val="clear"/>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14(ב)</w:t>
            </w:r>
          </w:p>
        </w:tc>
        <w:tc>
          <w:tcPr>
            <w:tcW w:type="dxa" w:w="5592"/>
            <w:shd w:fill="F2F6FC" w:val="clear"/>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טעות לא ידועה: רק בית המשפט רשאי לבטל, משיקולי צדק (נזק מול תועלת, רשלנות, אשם תורם), ורשאי לחייב את הטועה בפיצויים.</w:t>
            </w:r>
          </w:p>
        </w:tc>
        <w:tc>
          <w:tcPr>
            <w:tcW w:type="dxa" w:w="2526"/>
            <w:shd w:fill="F2F6FC" w:val="clear"/>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טעות לא ידועה</w:t>
            </w:r>
          </w:p>
        </w:tc>
      </w:tr>
      <w:tr>
        <w:tc>
          <w:tcPr>
            <w:tcW w:type="dxa" w:w="902"/>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14(ג)</w:t>
            </w:r>
          </w:p>
        </w:tc>
        <w:tc>
          <w:tcPr>
            <w:tcW w:type="dxa" w:w="5592"/>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אין ביטול אם ניתן לקיים את החוזה בתיקון הטעות והצד השני הודיע לפני הביטול שמוכן לתקן.</w:t>
            </w:r>
          </w:p>
        </w:tc>
        <w:tc>
          <w:tcPr>
            <w:tcW w:type="dxa" w:w="2526"/>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תיקון במקום ביטול</w:t>
            </w:r>
          </w:p>
        </w:tc>
      </w:tr>
      <w:tr>
        <w:tc>
          <w:tcPr>
            <w:tcW w:type="dxa" w:w="902"/>
            <w:shd w:fill="F2F6FC" w:val="clear"/>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14(ד)</w:t>
            </w:r>
          </w:p>
        </w:tc>
        <w:tc>
          <w:tcPr>
            <w:tcW w:type="dxa" w:w="5592"/>
            <w:shd w:fill="F2F6FC" w:val="clear"/>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טעות = בעובדה או בחוק, למעט טעות שאינה אלא בכדאיות העסקה — סיכון שנטל צד במודע (מפורש או מכללא) והתממש. טעות מתייחסת להווה או לעבר; ציפייה לעתיד = כדאיות.</w:t>
            </w:r>
          </w:p>
        </w:tc>
        <w:tc>
          <w:tcPr>
            <w:tcW w:type="dxa" w:w="2526"/>
            <w:shd w:fill="F2F6FC" w:val="clear"/>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כדאיות העסקה</w:t>
            </w:r>
          </w:p>
        </w:tc>
      </w:tr>
      <w:tr>
        <w:tc>
          <w:tcPr>
            <w:tcW w:type="dxa" w:w="902"/>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15</w:t>
            </w:r>
          </w:p>
        </w:tc>
        <w:tc>
          <w:tcPr>
            <w:tcW w:type="dxa" w:w="5592"/>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הטעיה — מצג שווא/אי-גילוי שחובה לגלות (לפי דין, נוהג או נסיבות), ע"י הצד השני או מטעמו; קשר סיבתי כפול — ביטול עצמי. [צפוי להילמד ב-1.9]</w:t>
            </w:r>
          </w:p>
        </w:tc>
        <w:tc>
          <w:tcPr>
            <w:tcW w:type="dxa" w:w="2526"/>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הטעיה</w:t>
            </w:r>
          </w:p>
        </w:tc>
      </w:tr>
      <w:tr>
        <w:tc>
          <w:tcPr>
            <w:tcW w:type="dxa" w:w="902"/>
            <w:shd w:fill="F2F6FC" w:val="clear"/>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19</w:t>
            </w:r>
          </w:p>
        </w:tc>
        <w:tc>
          <w:tcPr>
            <w:tcW w:type="dxa" w:w="5592"/>
            <w:shd w:fill="F2F6FC" w:val="clear"/>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ביטול חלקי: חוזה הניתן להפרדה והעילה נוגעת לחלק — מבטלים אותו בלבד; אם לא היה מתקשר בלעדיו — ניתן לבטל הכול (די וורולי סיאני).</w:t>
            </w:r>
          </w:p>
        </w:tc>
        <w:tc>
          <w:tcPr>
            <w:tcW w:type="dxa" w:w="2526"/>
            <w:shd w:fill="F2F6FC" w:val="clear"/>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ביטול חלקי</w:t>
            </w:r>
          </w:p>
        </w:tc>
      </w:tr>
      <w:tr>
        <w:tc>
          <w:tcPr>
            <w:tcW w:type="dxa" w:w="902"/>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20</w:t>
            </w:r>
          </w:p>
        </w:tc>
        <w:tc>
          <w:tcPr>
            <w:tcW w:type="dxa" w:w="5592"/>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דרך הביטול: הודעה (אף משתמעת) תוך זמן סביר מגילוי העילה; בכפייה — משפסקה הכפייה.</w:t>
            </w:r>
          </w:p>
        </w:tc>
        <w:tc>
          <w:tcPr>
            <w:tcW w:type="dxa" w:w="2526"/>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זמן סביר</w:t>
            </w:r>
          </w:p>
        </w:tc>
      </w:tr>
      <w:tr>
        <w:tc>
          <w:tcPr>
            <w:tcW w:type="dxa" w:w="902"/>
            <w:shd w:fill="F2F6FC" w:val="clear"/>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21</w:t>
            </w:r>
          </w:p>
        </w:tc>
        <w:tc>
          <w:tcPr>
            <w:tcW w:type="dxa" w:w="5592"/>
            <w:shd w:fill="F2F6FC" w:val="clear"/>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השבה הדדית לאחר ביטול: השבה בעין, ואם בלתי אפשרית/בלתי סבירה — השבת שווי.</w:t>
            </w:r>
          </w:p>
        </w:tc>
        <w:tc>
          <w:tcPr>
            <w:tcW w:type="dxa" w:w="2526"/>
            <w:shd w:fill="F2F6FC" w:val="clear"/>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השבה</w:t>
            </w:r>
          </w:p>
        </w:tc>
      </w:tr>
      <w:tr>
        <w:tc>
          <w:tcPr>
            <w:tcW w:type="dxa" w:w="902"/>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22</w:t>
            </w:r>
          </w:p>
        </w:tc>
        <w:tc>
          <w:tcPr>
            <w:tcW w:type="dxa" w:w="5592"/>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שמירת תרופות: הביטול וההשבה אינם גורעים מתרופות אחרות — אפשר לצרף פיצויי ס׳ 12 על חוסר תום לב.</w:t>
            </w:r>
          </w:p>
        </w:tc>
        <w:tc>
          <w:tcPr>
            <w:tcW w:type="dxa" w:w="2526"/>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שמירת תרופות</w:t>
            </w:r>
          </w:p>
        </w:tc>
      </w:tr>
      <w:tr>
        <w:tc>
          <w:tcPr>
            <w:tcW w:type="dxa" w:w="902"/>
            <w:shd w:fill="F2F6FC" w:val="clear"/>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23</w:t>
            </w:r>
          </w:p>
        </w:tc>
        <w:tc>
          <w:tcPr>
            <w:tcW w:type="dxa" w:w="5592"/>
            <w:shd w:fill="F2F6FC" w:val="clear"/>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חופש הצורה: בכתב, בעל פה או בצורה אחרת — אלא אם חוק או הסכם קובעים צורה כתנאי לתוקף.</w:t>
            </w:r>
          </w:p>
        </w:tc>
        <w:tc>
          <w:tcPr>
            <w:tcW w:type="dxa" w:w="2526"/>
            <w:shd w:fill="F2F6FC" w:val="clear"/>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חופש הצורה</w:t>
            </w:r>
          </w:p>
        </w:tc>
      </w:tr>
      <w:tr>
        <w:tc>
          <w:tcPr>
            <w:tcW w:type="dxa" w:w="902"/>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24</w:t>
            </w:r>
          </w:p>
        </w:tc>
        <w:tc>
          <w:tcPr>
            <w:tcW w:type="dxa" w:w="5592"/>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חופש התוכן: תוכן החוזה ככל שהסכימו הצדדים.</w:t>
            </w:r>
          </w:p>
        </w:tc>
        <w:tc>
          <w:tcPr>
            <w:tcW w:type="dxa" w:w="2526"/>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חופש התוכן</w:t>
            </w:r>
          </w:p>
        </w:tc>
      </w:tr>
      <w:tr>
        <w:tc>
          <w:tcPr>
            <w:tcW w:type="dxa" w:w="902"/>
            <w:shd w:fill="F2F6FC" w:val="clear"/>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26</w:t>
            </w:r>
          </w:p>
        </w:tc>
        <w:tc>
          <w:tcPr>
            <w:tcW w:type="dxa" w:w="5592"/>
            <w:shd w:fill="F2F6FC" w:val="clear"/>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השלמת פרטים שאינם עיקרי הדברים: נוהג קיים בין הצדדים ← נוהג מקובל בחוזים מאותו סוג ← הוראות החוק המשלימות.</w:t>
            </w:r>
          </w:p>
        </w:tc>
        <w:tc>
          <w:tcPr>
            <w:tcW w:type="dxa" w:w="2526"/>
            <w:shd w:fill="F2F6FC" w:val="clear"/>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השלמה</w:t>
            </w:r>
          </w:p>
        </w:tc>
      </w:tr>
      <w:tr>
        <w:tc>
          <w:tcPr>
            <w:tcW w:type="dxa" w:w="902"/>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41–50</w:t>
            </w:r>
          </w:p>
        </w:tc>
        <w:tc>
          <w:tcPr>
            <w:tcW w:type="dxa" w:w="5592"/>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סעיפי ההשלמה שבחוק: 41 — מועד הקיום; 44 — מקום הקיום; 45 — השלמה בבינוניות (נכס/שירות מסוג בינוני); 46 — תמורה בסכום ראוי.</w:t>
            </w:r>
          </w:p>
        </w:tc>
        <w:tc>
          <w:tcPr>
            <w:tcW w:type="dxa" w:w="2526"/>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השלמה מכוח חוק</w:t>
            </w:r>
          </w:p>
        </w:tc>
      </w:tr>
      <w:tr>
        <w:tc>
          <w:tcPr>
            <w:tcW w:type="dxa" w:w="902"/>
            <w:shd w:fill="F2F6FC" w:val="clear"/>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30</w:t>
            </w:r>
          </w:p>
        </w:tc>
        <w:tc>
          <w:tcPr>
            <w:tcW w:type="dxa" w:w="5592"/>
            <w:shd w:fill="F2F6FC" w:val="clear"/>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חוזה שכריתתו, תוכנו או מטרתו בלתי חוקיים / בלתי מוסריים / נוגדים את תקנת הציבור — בטל (מעצמו, לא "ניתן לביטול").</w:t>
            </w:r>
          </w:p>
        </w:tc>
        <w:tc>
          <w:tcPr>
            <w:tcW w:type="dxa" w:w="2526"/>
            <w:shd w:fill="F2F6FC" w:val="clear"/>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חוזה פסול — בטל</w:t>
            </w:r>
          </w:p>
        </w:tc>
      </w:tr>
      <w:tr>
        <w:tc>
          <w:tcPr>
            <w:tcW w:type="dxa" w:w="902"/>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39</w:t>
            </w:r>
          </w:p>
        </w:tc>
        <w:tc>
          <w:tcPr>
            <w:tcW w:type="dxa" w:w="5592"/>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תום לב חל גם על קיום החוזה והשימוש בזכויות הנובעות ממנו (המשכו של ס׳ 12 לתוך תקופת החוזה).</w:t>
            </w:r>
          </w:p>
        </w:tc>
        <w:tc>
          <w:tcPr>
            <w:tcW w:type="dxa" w:w="2526"/>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תום לב בקיום</w:t>
            </w:r>
          </w:p>
        </w:tc>
      </w:tr>
    </w:tbl>
    <w:p>
      <w:pPr>
        <w:bidi/>
        <w:spacing w:after="80"/>
      </w:pPr>
    </w:p>
    <w:p>
      <w:pPr>
        <w:bidi/>
        <w:spacing w:after="80" w:before="0" w:line="276"/>
      </w:pPr>
      <w:r>
        <w:rPr>
          <w:rFonts w:ascii="Arial" w:cs="Arial" w:eastAsia="Arial" w:hAnsi="Arial"/>
          <w:b/>
          <w:bCs/>
          <w:i w:val="false"/>
          <w:iCs w:val="false"/>
          <w:color w:val="2E5395"/>
          <w:sz w:val="24"/>
          <w:szCs w:val="24"/>
          <w:rtl/>
        </w:rPr>
        <w:t xml:space="preserve">חוקים משיקים</w:t>
      </w:r>
    </w:p>
    <w:tbl>
      <w:tblPr>
        <w:bidiVisual/>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984"/>
        <w:gridCol w:w="7036"/>
      </w:tblGrid>
      <w:tr>
        <w:trPr>
          <w:tblHeader/>
        </w:trPr>
        <w:tc>
          <w:tcPr>
            <w:tcW w:type="dxa" w:w="1984"/>
            <w:shd w:fill="1F3864" w:val="clear"/>
            <w:tcMar>
              <w:top w:type="dxa" w:w="60"/>
              <w:left w:type="dxa" w:w="100"/>
              <w:bottom w:type="dxa" w:w="60"/>
              <w:right w:type="dxa" w:w="100"/>
            </w:tcMar>
            <w:vAlign w:val="center"/>
          </w:tcPr>
          <w:p>
            <w:pPr>
              <w:bidi/>
              <w:spacing w:after="0" w:before="0" w:line="276"/>
            </w:pPr>
            <w:r>
              <w:rPr>
                <w:rFonts w:ascii="Arial" w:cs="Arial" w:eastAsia="Arial" w:hAnsi="Arial"/>
                <w:b/>
                <w:bCs/>
                <w:i w:val="false"/>
                <w:iCs w:val="false"/>
                <w:color w:val="FFFFFF"/>
                <w:sz w:val="21"/>
                <w:szCs w:val="21"/>
                <w:rtl/>
              </w:rPr>
              <w:t xml:space="preserve">מקור</w:t>
            </w:r>
          </w:p>
        </w:tc>
        <w:tc>
          <w:tcPr>
            <w:tcW w:type="dxa" w:w="7036"/>
            <w:shd w:fill="1F3864" w:val="clear"/>
            <w:tcMar>
              <w:top w:type="dxa" w:w="60"/>
              <w:left w:type="dxa" w:w="100"/>
              <w:bottom w:type="dxa" w:w="60"/>
              <w:right w:type="dxa" w:w="100"/>
            </w:tcMar>
            <w:vAlign w:val="center"/>
          </w:tcPr>
          <w:p>
            <w:pPr>
              <w:bidi/>
              <w:spacing w:after="0" w:before="0" w:line="276"/>
            </w:pPr>
            <w:r>
              <w:rPr>
                <w:rFonts w:ascii="Arial" w:cs="Arial" w:eastAsia="Arial" w:hAnsi="Arial"/>
                <w:b/>
                <w:bCs/>
                <w:i w:val="false"/>
                <w:iCs w:val="false"/>
                <w:color w:val="FFFFFF"/>
                <w:sz w:val="21"/>
                <w:szCs w:val="21"/>
                <w:rtl/>
              </w:rPr>
              <w:t xml:space="preserve">הכלל</w:t>
            </w:r>
          </w:p>
        </w:tc>
      </w:tr>
      <w:tr>
        <w:tc>
          <w:tcPr>
            <w:tcW w:type="dxa" w:w="1984"/>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ס׳ 8 לחוק המקרקעין</w:t>
            </w:r>
          </w:p>
        </w:tc>
        <w:tc>
          <w:tcPr>
            <w:tcW w:type="dxa" w:w="7036"/>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התחייבות לעשות עסקה במקרקעין טעונה מסמך בכתב (דרישת כתב מהותית — חריג לחופש הצורה).</w:t>
            </w:r>
          </w:p>
        </w:tc>
      </w:tr>
      <w:tr>
        <w:tc>
          <w:tcPr>
            <w:tcW w:type="dxa" w:w="1984"/>
            <w:shd w:fill="F2F6FC" w:val="clear"/>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ס׳ 5(א) לחוק המתנה</w:t>
            </w:r>
          </w:p>
        </w:tc>
        <w:tc>
          <w:tcPr>
            <w:tcW w:type="dxa" w:w="7036"/>
            <w:shd w:fill="F2F6FC" w:val="clear"/>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התחייבות לתת מתנה בעתיד טעונה מסמך בכתב.</w:t>
            </w:r>
          </w:p>
        </w:tc>
      </w:tr>
      <w:tr>
        <w:tc>
          <w:tcPr>
            <w:tcW w:type="dxa" w:w="1984"/>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חוק הכשרות ס׳ 2</w:t>
            </w:r>
          </w:p>
        </w:tc>
        <w:tc>
          <w:tcPr>
            <w:tcW w:type="dxa" w:w="7036"/>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כל אדם כשר לפעולות משפטיות, זולת אם נשללה/הוגבלה כשרותו בחוק או בפסק דין.</w:t>
            </w:r>
          </w:p>
        </w:tc>
      </w:tr>
      <w:tr>
        <w:tc>
          <w:tcPr>
            <w:tcW w:type="dxa" w:w="1984"/>
            <w:shd w:fill="F2F6FC" w:val="clear"/>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שם, ס׳ 3</w:t>
            </w:r>
          </w:p>
        </w:tc>
        <w:tc>
          <w:tcPr>
            <w:tcW w:type="dxa" w:w="7036"/>
            <w:shd w:fill="F2F6FC" w:val="clear"/>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קטין = מי שטרם מלאו לו 18; בגיר = מי שמלאו לו 18.</w:t>
            </w:r>
          </w:p>
        </w:tc>
      </w:tr>
      <w:tr>
        <w:tc>
          <w:tcPr>
            <w:tcW w:type="dxa" w:w="1984"/>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שם, ס׳ 4</w:t>
            </w:r>
          </w:p>
        </w:tc>
        <w:tc>
          <w:tcPr>
            <w:tcW w:type="dxa" w:w="7036"/>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פעולה משפטית של קטין טעונה הסכמת נציגו (מראש או למפרע).</w:t>
            </w:r>
          </w:p>
        </w:tc>
      </w:tr>
      <w:tr>
        <w:tc>
          <w:tcPr>
            <w:tcW w:type="dxa" w:w="1984"/>
            <w:shd w:fill="F2F6FC" w:val="clear"/>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שם, ס׳ 5</w:t>
            </w:r>
          </w:p>
        </w:tc>
        <w:tc>
          <w:tcPr>
            <w:tcW w:type="dxa" w:w="7036"/>
            <w:shd w:fill="F2F6FC" w:val="clear"/>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פעולה ללא הסכמה — ביטול ע"י הנציג/היועמ"ש תוך חודש מהיוודע, או ע"י הקטין תוך חודש מבגרותו.</w:t>
            </w:r>
          </w:p>
        </w:tc>
      </w:tr>
    </w:tbl>
    <w:p>
      <w:pPr>
        <w:bidi/>
        <w:spacing w:after="80"/>
      </w:pPr>
    </w:p>
    <w:p>
      <w:pPr>
        <w:shd w:fill="FFF6E0" w:val="clear"/>
        <w:bidi/>
        <w:spacing w:after="120" w:before="0" w:line="276"/>
        <w:ind w:left="150" w:right="150"/>
      </w:pPr>
      <w:r>
        <w:rPr>
          <w:rFonts w:ascii="Arial" w:cs="Arial" w:eastAsia="Arial" w:hAnsi="Arial"/>
          <w:b/>
          <w:bCs/>
          <w:i w:val="false"/>
          <w:iCs w:val="false"/>
          <w:color w:val="222222"/>
          <w:sz w:val="22"/>
          <w:szCs w:val="22"/>
          <w:rtl/>
        </w:rPr>
        <w:t xml:space="preserve">הגדרות מדויקות (משקפי החזרה של הקורס — חשוב להיגדי מועדים!): </w:t>
      </w:r>
      <w:r>
        <w:rPr>
          <w:rFonts w:ascii="Arial" w:cs="Arial" w:eastAsia="Arial" w:hAnsi="Arial"/>
          <w:b w:val="false"/>
          <w:bCs w:val="false"/>
          <w:i w:val="false"/>
          <w:iCs w:val="false"/>
          <w:color w:val="222222"/>
          <w:sz w:val="22"/>
          <w:szCs w:val="22"/>
          <w:rtl/>
        </w:rPr>
        <w:t xml:space="preserve">"מסירת הצעה" = רגע הגעת ההצעה לניצע או למענו; "מתן הודעת קיבול" = רגע אמירת ה"כן" או משלוח ה"כן"; "מסירת הודעת קיבול" = רגע הגעת ה"כן" למציע. ס׳ 3(א) חוסם חרטת מציע במתן הקיבול; ס׳ 10 דורש שהחזרה תימסר לא אחרי שנמסרה הודעת הקיבול.</w:t>
      </w:r>
    </w:p>
    <w:p>
      <w:r>
        <w:br w:type="page"/>
      </w:r>
    </w:p>
    <w:p>
      <w:pPr>
        <w:pStyle w:val="Heading1"/>
        <w:keepNext/>
        <w:bidi/>
        <w:spacing w:after="160" w:before="240" w:line="276"/>
      </w:pPr>
      <w:r>
        <w:rPr>
          <w:rFonts w:ascii="Arial" w:cs="Arial" w:eastAsia="Arial" w:hAnsi="Arial"/>
          <w:b/>
          <w:bCs/>
          <w:i w:val="false"/>
          <w:iCs w:val="false"/>
          <w:color w:val="1F3864"/>
          <w:sz w:val="32"/>
          <w:szCs w:val="32"/>
          <w:rtl/>
        </w:rPr>
        <w:t xml:space="preserve">חלק ג׳ — טבלאות פסקי דין</w:t>
      </w:r>
    </w:p>
    <w:p>
      <w:pPr>
        <w:bidi/>
        <w:spacing w:after="80" w:before="0" w:line="276"/>
      </w:pPr>
      <w:r>
        <w:rPr>
          <w:rFonts w:ascii="Arial" w:cs="Arial" w:eastAsia="Arial" w:hAnsi="Arial"/>
          <w:b/>
          <w:bCs/>
          <w:i w:val="false"/>
          <w:iCs w:val="false"/>
          <w:color w:val="2E5395"/>
          <w:sz w:val="24"/>
          <w:szCs w:val="24"/>
          <w:rtl/>
        </w:rPr>
        <w:t xml:space="preserve">פסקי הדין מהמצגות הרשמיות (אלה שצפוי לצטט בנימוק)</w:t>
      </w:r>
    </w:p>
    <w:tbl>
      <w:tblPr>
        <w:bidiVisual/>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165"/>
        <w:gridCol w:w="1624"/>
        <w:gridCol w:w="5232"/>
      </w:tblGrid>
      <w:tr>
        <w:trPr>
          <w:tblHeader/>
        </w:trPr>
        <w:tc>
          <w:tcPr>
            <w:tcW w:type="dxa" w:w="2165"/>
            <w:shd w:fill="1F3864" w:val="clear"/>
            <w:tcMar>
              <w:top w:type="dxa" w:w="60"/>
              <w:left w:type="dxa" w:w="100"/>
              <w:bottom w:type="dxa" w:w="60"/>
              <w:right w:type="dxa" w:w="100"/>
            </w:tcMar>
            <w:vAlign w:val="center"/>
          </w:tcPr>
          <w:p>
            <w:pPr>
              <w:bidi/>
              <w:spacing w:after="0" w:before="0" w:line="276"/>
            </w:pPr>
            <w:r>
              <w:rPr>
                <w:rFonts w:ascii="Arial" w:cs="Arial" w:eastAsia="Arial" w:hAnsi="Arial"/>
                <w:b/>
                <w:bCs/>
                <w:i w:val="false"/>
                <w:iCs w:val="false"/>
                <w:color w:val="FFFFFF"/>
                <w:sz w:val="21"/>
                <w:szCs w:val="21"/>
                <w:rtl/>
              </w:rPr>
              <w:t xml:space="preserve">פסק דין</w:t>
            </w:r>
          </w:p>
        </w:tc>
        <w:tc>
          <w:tcPr>
            <w:tcW w:type="dxa" w:w="1624"/>
            <w:shd w:fill="1F3864" w:val="clear"/>
            <w:tcMar>
              <w:top w:type="dxa" w:w="60"/>
              <w:left w:type="dxa" w:w="100"/>
              <w:bottom w:type="dxa" w:w="60"/>
              <w:right w:type="dxa" w:w="100"/>
            </w:tcMar>
            <w:vAlign w:val="center"/>
          </w:tcPr>
          <w:p>
            <w:pPr>
              <w:bidi/>
              <w:spacing w:after="0" w:before="0" w:line="276"/>
            </w:pPr>
            <w:r>
              <w:rPr>
                <w:rFonts w:ascii="Arial" w:cs="Arial" w:eastAsia="Arial" w:hAnsi="Arial"/>
                <w:b/>
                <w:bCs/>
                <w:i w:val="false"/>
                <w:iCs w:val="false"/>
                <w:color w:val="FFFFFF"/>
                <w:sz w:val="21"/>
                <w:szCs w:val="21"/>
                <w:rtl/>
              </w:rPr>
              <w:t xml:space="preserve">נושא</w:t>
            </w:r>
          </w:p>
        </w:tc>
        <w:tc>
          <w:tcPr>
            <w:tcW w:type="dxa" w:w="5232"/>
            <w:shd w:fill="1F3864" w:val="clear"/>
            <w:tcMar>
              <w:top w:type="dxa" w:w="60"/>
              <w:left w:type="dxa" w:w="100"/>
              <w:bottom w:type="dxa" w:w="60"/>
              <w:right w:type="dxa" w:w="100"/>
            </w:tcMar>
            <w:vAlign w:val="center"/>
          </w:tcPr>
          <w:p>
            <w:pPr>
              <w:bidi/>
              <w:spacing w:after="0" w:before="0" w:line="276"/>
            </w:pPr>
            <w:r>
              <w:rPr>
                <w:rFonts w:ascii="Arial" w:cs="Arial" w:eastAsia="Arial" w:hAnsi="Arial"/>
                <w:b/>
                <w:bCs/>
                <w:i w:val="false"/>
                <w:iCs w:val="false"/>
                <w:color w:val="FFFFFF"/>
                <w:sz w:val="21"/>
                <w:szCs w:val="21"/>
                <w:rtl/>
              </w:rPr>
              <w:t xml:space="preserve">ההלכה בקצרה</w:t>
            </w:r>
          </w:p>
        </w:tc>
      </w:tr>
      <w:tr>
        <w:tc>
          <w:tcPr>
            <w:tcW w:type="dxa" w:w="2165"/>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ע"א 1932/90 פרץ בוני הנגב נ׳ בוחבוט</w:t>
            </w:r>
          </w:p>
        </w:tc>
        <w:tc>
          <w:tcPr>
            <w:tcW w:type="dxa" w:w="1624"/>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גמירת דעת</w:t>
            </w:r>
          </w:p>
        </w:tc>
        <w:tc>
          <w:tcPr>
            <w:tcW w:type="dxa" w:w="5232"/>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מבחן אובייקטיבי מרוכך: לא אדם זר, אלא "מתקשר סביר במעמדם" של הצדדים — האם ממעשיהם, דבריהם והתנהגותם היה מסיק שגמרו בדעתם לכרות חוזה.</w:t>
            </w:r>
          </w:p>
        </w:tc>
      </w:tr>
      <w:tr>
        <w:tc>
          <w:tcPr>
            <w:tcW w:type="dxa" w:w="2165"/>
            <w:shd w:fill="F2F6FC" w:val="clear"/>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ע"א 440/75 זנדבנק נ׳ דנציגר</w:t>
            </w:r>
          </w:p>
        </w:tc>
        <w:tc>
          <w:tcPr>
            <w:tcW w:type="dxa" w:w="1624"/>
            <w:shd w:fill="F2F6FC" w:val="clear"/>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מסוימות</w:t>
            </w:r>
          </w:p>
        </w:tc>
        <w:tc>
          <w:tcPr>
            <w:tcW w:type="dxa" w:w="5232"/>
            <w:shd w:fill="F2F6FC" w:val="clear"/>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ההצעה צריכה להיות מלאה ומדויקת במידה מספקת, כך שעם הקיבול ייכרת חוזה שניתן לקיימו.</w:t>
            </w:r>
          </w:p>
        </w:tc>
      </w:tr>
      <w:tr>
        <w:tc>
          <w:tcPr>
            <w:tcW w:type="dxa" w:w="2165"/>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נוה עם נ׳ יעקבסון</w:t>
            </w:r>
          </w:p>
        </w:tc>
        <w:tc>
          <w:tcPr>
            <w:tcW w:type="dxa" w:w="1624"/>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דחיית הצעה</w:t>
            </w:r>
          </w:p>
        </w:tc>
        <w:tc>
          <w:tcPr>
            <w:tcW w:type="dxa" w:w="5232"/>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דחייה מפקיעה הצעה רק אם היא מפורשת ואקטיבית; יש להבחין בינה לבין אמירות לבירור מידע או לשיפור ההצעה.</w:t>
            </w:r>
          </w:p>
        </w:tc>
      </w:tr>
      <w:tr>
        <w:tc>
          <w:tcPr>
            <w:tcW w:type="dxa" w:w="2165"/>
            <w:shd w:fill="F2F6FC" w:val="clear"/>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שג"מ חניונים</w:t>
            </w:r>
          </w:p>
        </w:tc>
        <w:tc>
          <w:tcPr>
            <w:tcW w:type="dxa" w:w="1624"/>
            <w:shd w:fill="F2F6FC" w:val="clear"/>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קיבול בהתנהגות</w:t>
            </w:r>
          </w:p>
        </w:tc>
        <w:tc>
          <w:tcPr>
            <w:tcW w:type="dxa" w:w="5232"/>
            <w:shd w:fill="F2F6FC" w:val="clear"/>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כניסה לחניון בתשלום = קיבול במעשה לביצוע החוזה (ס׳ 6(א)) — אין להתווכח על המחיר בדיעבד.</w:t>
            </w:r>
          </w:p>
        </w:tc>
      </w:tr>
      <w:tr>
        <w:tc>
          <w:tcPr>
            <w:tcW w:type="dxa" w:w="2165"/>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ע"א 7824/95 תשובה נ׳ בר נתן</w:t>
            </w:r>
          </w:p>
        </w:tc>
        <w:tc>
          <w:tcPr>
            <w:tcW w:type="dxa" w:w="1624"/>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חזרה מהצעה</w:t>
            </w:r>
          </w:p>
        </w:tc>
        <w:tc>
          <w:tcPr>
            <w:tcW w:type="dxa" w:w="5232"/>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המציע התחרט (בטלפון ובפקס) לפני שההצעה שנשלחה בדואר נמסרה לניצע — החזרה תופסת; קיבול מאוחר להצעה שנחזרה אינו כורת חוזה.</w:t>
            </w:r>
          </w:p>
        </w:tc>
      </w:tr>
      <w:tr>
        <w:tc>
          <w:tcPr>
            <w:tcW w:type="dxa" w:w="2165"/>
            <w:shd w:fill="F2F6FC" w:val="clear"/>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ע"א 158/77 רבינאי נ׳ מן שקד</w:t>
            </w:r>
          </w:p>
        </w:tc>
        <w:tc>
          <w:tcPr>
            <w:tcW w:type="dxa" w:w="1624"/>
            <w:shd w:fill="F2F6FC" w:val="clear"/>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זיכרון דברים</w:t>
            </w:r>
          </w:p>
        </w:tc>
        <w:tc>
          <w:tcPr>
            <w:tcW w:type="dxa" w:w="5232"/>
            <w:shd w:fill="F2F6FC" w:val="clear"/>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שני מבחנים מצטברים: כוונה ליצור קשר חוזי מחייב (גמירת דעת) + הסכמה על הפרטים המהותיים (מסוימות). מתקיימים — זיכרון הדברים הוא חוזה, וממלא את דרישת הכתב במקרקעין.</w:t>
            </w:r>
          </w:p>
        </w:tc>
      </w:tr>
      <w:tr>
        <w:tc>
          <w:tcPr>
            <w:tcW w:type="dxa" w:w="2165"/>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ע"א 6295/16 קוזלי נ׳ מדינת ישראל (פרשת מג׳די חלבי)</w:t>
            </w:r>
          </w:p>
        </w:tc>
        <w:tc>
          <w:tcPr>
            <w:tcW w:type="dxa" w:w="1624"/>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הצעת פרס לציבור</w:t>
            </w:r>
          </w:p>
        </w:tc>
        <w:tc>
          <w:tcPr>
            <w:tcW w:type="dxa" w:w="5232"/>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ראו מסגרת מפורטת בחלק ה׳ — 4 המשוכות: ידיעה על ההצעה; קישור בין המעשה לפרס; אין צורך בידיעה ודאית שההתנהגות תזכה; מציאה אקראית אינה שוללת (מבחן "הניצע הסביר"). ההצעה לא פקעה והמדינה לא חזרה בה כדין — הפרס שולם. דנ"א 4165/19 נדחה.</w:t>
            </w:r>
          </w:p>
        </w:tc>
      </w:tr>
      <w:tr>
        <w:tc>
          <w:tcPr>
            <w:tcW w:type="dxa" w:w="2165"/>
            <w:shd w:fill="F2F6FC" w:val="clear"/>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זעירא זבולון נ׳ קנית</w:t>
            </w:r>
          </w:p>
        </w:tc>
        <w:tc>
          <w:tcPr>
            <w:tcW w:type="dxa" w:w="1624"/>
            <w:shd w:fill="F2F6FC" w:val="clear"/>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מו"מ מקביל</w:t>
            </w:r>
          </w:p>
        </w:tc>
        <w:tc>
          <w:tcPr>
            <w:tcW w:type="dxa" w:w="5232"/>
            <w:shd w:fill="F2F6FC" w:val="clear"/>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ניהול מו"מ מקביל עם אחרים נבחן במסגרת חובת תום הלב — הפסול הוא בהסתרה וביצירת מצג כוזב, לא בעצם הקיום המקביל.</w:t>
            </w:r>
          </w:p>
        </w:tc>
      </w:tr>
      <w:tr>
        <w:tc>
          <w:tcPr>
            <w:tcW w:type="dxa" w:w="2165"/>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קוט נ׳ ארגון הדיירים</w:t>
            </w:r>
          </w:p>
        </w:tc>
        <w:tc>
          <w:tcPr>
            <w:tcW w:type="dxa" w:w="1624"/>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חוסר תום לב</w:t>
            </w:r>
          </w:p>
        </w:tc>
        <w:tc>
          <w:tcPr>
            <w:tcW w:type="dxa" w:w="5232"/>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עריכת חוזה בלי כוונה לקיימו, או תוך ידיעה שהחוזה יופר — חוסר תום לב במו"מ.</w:t>
            </w:r>
          </w:p>
        </w:tc>
      </w:tr>
      <w:tr>
        <w:tc>
          <w:tcPr>
            <w:tcW w:type="dxa" w:w="2165"/>
            <w:shd w:fill="F2F6FC" w:val="clear"/>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פנידר נ׳ קסטרו</w:t>
            </w:r>
          </w:p>
        </w:tc>
        <w:tc>
          <w:tcPr>
            <w:tcW w:type="dxa" w:w="1624"/>
            <w:shd w:fill="F2F6FC" w:val="clear"/>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חובת גילוי</w:t>
            </w:r>
          </w:p>
        </w:tc>
        <w:tc>
          <w:tcPr>
            <w:tcW w:type="dxa" w:w="5232"/>
            <w:shd w:fill="F2F6FC" w:val="clear"/>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חובת גילוי עובדות מהותיות במו"מ; היקפה נקבע לפי זהות הצדדים, קלות ועלות השגת המידע ומומחיות הצד השני.</w:t>
            </w:r>
          </w:p>
        </w:tc>
      </w:tr>
      <w:tr>
        <w:tc>
          <w:tcPr>
            <w:tcW w:type="dxa" w:w="2165"/>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קל בניין נ׳ ע.ר.מ. רעננה</w:t>
            </w:r>
          </w:p>
        </w:tc>
        <w:tc>
          <w:tcPr>
            <w:tcW w:type="dxa" w:w="1624"/>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פיצויי קיום</w:t>
            </w:r>
          </w:p>
        </w:tc>
        <w:tc>
          <w:tcPr>
            <w:tcW w:type="dxa" w:w="5232"/>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החריג: כשכל תנאי העסקה סוכמו והפרישה ברגע האחרון נעשתה בחוסר תום לב — נפסקים פיצויי קיום (כאילו נכרת החוזה).</w:t>
            </w:r>
          </w:p>
        </w:tc>
      </w:tr>
      <w:tr>
        <w:tc>
          <w:tcPr>
            <w:tcW w:type="dxa" w:w="2165"/>
            <w:shd w:fill="F2F6FC" w:val="clear"/>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שיכון עובדים נ׳ זפניק</w:t>
            </w:r>
          </w:p>
        </w:tc>
        <w:tc>
          <w:tcPr>
            <w:tcW w:type="dxa" w:w="1624"/>
            <w:shd w:fill="F2F6FC" w:val="clear"/>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אכיפה</w:t>
            </w:r>
          </w:p>
        </w:tc>
        <w:tc>
          <w:tcPr>
            <w:tcW w:type="dxa" w:w="5232"/>
            <w:shd w:fill="F2F6FC" w:val="clear"/>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במקרים נדירים של נסיגה בשלב מתקדם מאוד — בית המשפט עשוי להורות על השלמת העסקה.</w:t>
            </w:r>
          </w:p>
        </w:tc>
      </w:tr>
      <w:tr>
        <w:tc>
          <w:tcPr>
            <w:tcW w:type="dxa" w:w="2165"/>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פס"ד רבינוביץ</w:t>
            </w:r>
          </w:p>
        </w:tc>
        <w:tc>
          <w:tcPr>
            <w:tcW w:type="dxa" w:w="1624"/>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הגדרת טעות</w:t>
            </w:r>
          </w:p>
        </w:tc>
        <w:tc>
          <w:tcPr>
            <w:tcW w:type="dxa" w:w="5232"/>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"טעות היא אמונה של צד לחוזה שאינה תואמת את המציאות" (פרופ׳ שלו, השופט שמגר). הטעות מתייחסת להווה או לעבר בלבד.</w:t>
            </w:r>
          </w:p>
        </w:tc>
      </w:tr>
      <w:tr>
        <w:tc>
          <w:tcPr>
            <w:tcW w:type="dxa" w:w="2165"/>
            <w:shd w:fill="F2F6FC" w:val="clear"/>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פס"ד בן לולו</w:t>
            </w:r>
          </w:p>
        </w:tc>
        <w:tc>
          <w:tcPr>
            <w:tcW w:type="dxa" w:w="1624"/>
            <w:shd w:fill="F2F6FC" w:val="clear"/>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כדאיות העסקה</w:t>
            </w:r>
          </w:p>
        </w:tc>
        <w:tc>
          <w:tcPr>
            <w:tcW w:type="dxa" w:w="5232"/>
            <w:shd w:fill="F2F6FC" w:val="clear"/>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הסכם פשרה עם ויתור על תביעות עתידיות = נטילת סיכון מודע; החמרה מאוחרת היא התממשות הסיכון — טעות בכדאיות בלבד, אין ביטול.</w:t>
            </w:r>
          </w:p>
        </w:tc>
      </w:tr>
      <w:tr>
        <w:tc>
          <w:tcPr>
            <w:tcW w:type="dxa" w:w="2165"/>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ע"א 7920/13 כרמל נ׳ טלמון (+דנ"א 2128/16)</w:t>
            </w:r>
          </w:p>
        </w:tc>
        <w:tc>
          <w:tcPr>
            <w:tcW w:type="dxa" w:w="1624"/>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כדאיות העסקה</w:t>
            </w:r>
          </w:p>
        </w:tc>
        <w:tc>
          <w:tcPr>
            <w:tcW w:type="dxa" w:w="5232"/>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מוכר שהצהיר כי מוכר "AS-IS" והוסיף שאין לו אחריות למצב הממכר — נטל על עצמו את הסיכון למצב התכנוני ולשווי; טעות בשווי = כדאיות, אין ביטול (השופטת חיות).</w:t>
            </w:r>
          </w:p>
        </w:tc>
      </w:tr>
      <w:tr>
        <w:tc>
          <w:tcPr>
            <w:tcW w:type="dxa" w:w="2165"/>
            <w:shd w:fill="F2F6FC" w:val="clear"/>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פס"ד ספקטור (נ׳ צרפתי)</w:t>
            </w:r>
          </w:p>
        </w:tc>
        <w:tc>
          <w:tcPr>
            <w:tcW w:type="dxa" w:w="1624"/>
            <w:shd w:fill="F2F6FC" w:val="clear"/>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טעות/גילוי</w:t>
            </w:r>
          </w:p>
        </w:tc>
        <w:tc>
          <w:tcPr>
            <w:tcW w:type="dxa" w:w="5232"/>
            <w:shd w:fill="F2F6FC" w:val="clear"/>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טעות עובדתית לגבי נתון אחר המשליכה על שווי הממכר (למשל הפקעה צפויה) איננה "טעות בכדאיות"; נדונה גם חובת הגילוי — ובמחלוקת נפסק שעל קבלן מקצועי היה לבדוק בעצמו.</w:t>
            </w:r>
          </w:p>
        </w:tc>
      </w:tr>
    </w:tbl>
    <w:p>
      <w:pPr>
        <w:bidi/>
        <w:spacing w:after="80"/>
      </w:pPr>
    </w:p>
    <w:p>
      <w:pPr>
        <w:bidi/>
        <w:spacing w:after="80" w:before="0" w:line="276"/>
      </w:pPr>
      <w:r>
        <w:rPr>
          <w:rFonts w:ascii="Arial" w:cs="Arial" w:eastAsia="Arial" w:hAnsi="Arial"/>
          <w:b/>
          <w:bCs/>
          <w:i w:val="false"/>
          <w:iCs w:val="false"/>
          <w:color w:val="666666"/>
          <w:sz w:val="22"/>
          <w:szCs w:val="22"/>
          <w:rtl/>
        </w:rPr>
        <w:t xml:space="preserve">פסקי דין נוספים שסופרו בשיעורים (הכיתה המקבילה) — תוספת העשרה לנימוק</w:t>
      </w:r>
    </w:p>
    <w:tbl>
      <w:tblPr>
        <w:bidiVisual/>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165"/>
        <w:gridCol w:w="1624"/>
        <w:gridCol w:w="5232"/>
      </w:tblGrid>
      <w:tr>
        <w:trPr>
          <w:tblHeader/>
        </w:trPr>
        <w:tc>
          <w:tcPr>
            <w:tcW w:type="dxa" w:w="2165"/>
            <w:shd w:fill="1F3864" w:val="clear"/>
            <w:tcMar>
              <w:top w:type="dxa" w:w="60"/>
              <w:left w:type="dxa" w:w="100"/>
              <w:bottom w:type="dxa" w:w="60"/>
              <w:right w:type="dxa" w:w="100"/>
            </w:tcMar>
            <w:vAlign w:val="center"/>
          </w:tcPr>
          <w:p>
            <w:pPr>
              <w:bidi/>
              <w:spacing w:after="0" w:before="0" w:line="276"/>
            </w:pPr>
            <w:r>
              <w:rPr>
                <w:rFonts w:ascii="Arial" w:cs="Arial" w:eastAsia="Arial" w:hAnsi="Arial"/>
                <w:b/>
                <w:bCs/>
                <w:i w:val="false"/>
                <w:iCs w:val="false"/>
                <w:color w:val="FFFFFF"/>
                <w:sz w:val="21"/>
                <w:szCs w:val="21"/>
                <w:rtl/>
              </w:rPr>
              <w:t xml:space="preserve">פסק דין</w:t>
            </w:r>
          </w:p>
        </w:tc>
        <w:tc>
          <w:tcPr>
            <w:tcW w:type="dxa" w:w="1624"/>
            <w:shd w:fill="1F3864" w:val="clear"/>
            <w:tcMar>
              <w:top w:type="dxa" w:w="60"/>
              <w:left w:type="dxa" w:w="100"/>
              <w:bottom w:type="dxa" w:w="60"/>
              <w:right w:type="dxa" w:w="100"/>
            </w:tcMar>
            <w:vAlign w:val="center"/>
          </w:tcPr>
          <w:p>
            <w:pPr>
              <w:bidi/>
              <w:spacing w:after="0" w:before="0" w:line="276"/>
            </w:pPr>
            <w:r>
              <w:rPr>
                <w:rFonts w:ascii="Arial" w:cs="Arial" w:eastAsia="Arial" w:hAnsi="Arial"/>
                <w:b/>
                <w:bCs/>
                <w:i w:val="false"/>
                <w:iCs w:val="false"/>
                <w:color w:val="FFFFFF"/>
                <w:sz w:val="21"/>
                <w:szCs w:val="21"/>
                <w:rtl/>
              </w:rPr>
              <w:t xml:space="preserve">נושא</w:t>
            </w:r>
          </w:p>
        </w:tc>
        <w:tc>
          <w:tcPr>
            <w:tcW w:type="dxa" w:w="5232"/>
            <w:shd w:fill="1F3864" w:val="clear"/>
            <w:tcMar>
              <w:top w:type="dxa" w:w="60"/>
              <w:left w:type="dxa" w:w="100"/>
              <w:bottom w:type="dxa" w:w="60"/>
              <w:right w:type="dxa" w:w="100"/>
            </w:tcMar>
            <w:vAlign w:val="center"/>
          </w:tcPr>
          <w:p>
            <w:pPr>
              <w:bidi/>
              <w:spacing w:after="0" w:before="0" w:line="276"/>
            </w:pPr>
            <w:r>
              <w:rPr>
                <w:rFonts w:ascii="Arial" w:cs="Arial" w:eastAsia="Arial" w:hAnsi="Arial"/>
                <w:b/>
                <w:bCs/>
                <w:i w:val="false"/>
                <w:iCs w:val="false"/>
                <w:color w:val="FFFFFF"/>
                <w:sz w:val="21"/>
                <w:szCs w:val="21"/>
                <w:rtl/>
              </w:rPr>
              <w:t xml:space="preserve">ההלכה בקצרה</w:t>
            </w:r>
          </w:p>
        </w:tc>
      </w:tr>
      <w:tr>
        <w:tc>
          <w:tcPr>
            <w:tcW w:type="dxa" w:w="2165"/>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סויסה נ׳ זגה</w:t>
            </w:r>
          </w:p>
        </w:tc>
        <w:tc>
          <w:tcPr>
            <w:tcW w:type="dxa" w:w="1624"/>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גילוי — איש מקצוע</w:t>
            </w:r>
          </w:p>
        </w:tc>
        <w:tc>
          <w:tcPr>
            <w:tcW w:type="dxa" w:w="5232"/>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מתווך שרכש בעצמו קרקע בלי לגלות שינוי ייעוד צפוי — חובת גילוי מוגברת על איש מקצוע; החוזה בוטל ונפסקו פיצויים.</w:t>
            </w:r>
          </w:p>
        </w:tc>
      </w:tr>
      <w:tr>
        <w:tc>
          <w:tcPr>
            <w:tcW w:type="dxa" w:w="2165"/>
            <w:shd w:fill="F2F6FC" w:val="clear"/>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קלמר נ׳ גיא</w:t>
            </w:r>
          </w:p>
        </w:tc>
        <w:tc>
          <w:tcPr>
            <w:tcW w:type="dxa" w:w="1624"/>
            <w:shd w:fill="F2F6FC" w:val="clear"/>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תו"ל מול דרישת הכתב</w:t>
            </w:r>
          </w:p>
        </w:tc>
        <w:tc>
          <w:tcPr>
            <w:tcW w:type="dxa" w:w="5232"/>
            <w:shd w:fill="F2F6FC" w:val="clear"/>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חוסר תום לב קיצוני ("זעקת ההגינות") יכול לגבור על דרישת הכתב שבס׳ 8 לחוק המקרקעין.</w:t>
            </w:r>
          </w:p>
        </w:tc>
      </w:tr>
      <w:tr>
        <w:tc>
          <w:tcPr>
            <w:tcW w:type="dxa" w:w="2165"/>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זהבה כנען נ׳ ממשלת ארה"ב</w:t>
            </w:r>
          </w:p>
        </w:tc>
        <w:tc>
          <w:tcPr>
            <w:tcW w:type="dxa" w:w="1624"/>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טעות משותפת</w:t>
            </w:r>
          </w:p>
        </w:tc>
        <w:tc>
          <w:tcPr>
            <w:tcW w:type="dxa" w:w="5232"/>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טעות משותפת של שני הצדדים (תמונות יקרות שנמכרו ב-250 ₪) מסווגת למסלול 14(ב) — ביטול בשיקול דעת בית המשפט.</w:t>
            </w:r>
          </w:p>
        </w:tc>
      </w:tr>
      <w:tr>
        <w:tc>
          <w:tcPr>
            <w:tcW w:type="dxa" w:w="2165"/>
            <w:shd w:fill="F2F6FC" w:val="clear"/>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שושנה קרן נ׳ דיור לעולה</w:t>
            </w:r>
          </w:p>
        </w:tc>
        <w:tc>
          <w:tcPr>
            <w:tcW w:type="dxa" w:w="1624"/>
            <w:shd w:fill="F2F6FC" w:val="clear"/>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כפייה — מקור הלחץ</w:t>
            </w:r>
          </w:p>
        </w:tc>
        <w:tc>
          <w:tcPr>
            <w:tcW w:type="dxa" w:w="5232"/>
            <w:shd w:fill="F2F6FC" w:val="clear"/>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לחץ מצד שלישי עצמאי (שכנים) אינו כפייה לפי ס׳ 17 — הכפייה חייבת לבוא מהצד השני או מי מטעמו. [נספח]</w:t>
            </w:r>
          </w:p>
        </w:tc>
      </w:tr>
    </w:tbl>
    <w:p>
      <w:r>
        <w:br w:type="page"/>
      </w:r>
    </w:p>
    <w:p>
      <w:pPr>
        <w:pStyle w:val="Heading1"/>
        <w:keepNext/>
        <w:bidi/>
        <w:spacing w:after="160" w:before="240" w:line="276"/>
      </w:pPr>
      <w:r>
        <w:rPr>
          <w:rFonts w:ascii="Arial" w:cs="Arial" w:eastAsia="Arial" w:hAnsi="Arial"/>
          <w:b/>
          <w:bCs/>
          <w:i w:val="false"/>
          <w:iCs w:val="false"/>
          <w:color w:val="1F3864"/>
          <w:sz w:val="32"/>
          <w:szCs w:val="32"/>
          <w:rtl/>
        </w:rPr>
        <w:t xml:space="preserve">חלק ד׳ — 14 מלכודות קלאסיות בהיגדים</w:t>
      </w:r>
    </w:p>
    <w:p>
      <w:pPr>
        <w:pStyle w:val="ListParagraph"/>
        <w:numPr>
          <w:ilvl w:val="0"/>
          <w:numId w:val="4"/>
        </w:numPr>
        <w:bidi/>
        <w:spacing w:after="60" w:line="276"/>
      </w:pPr>
      <w:r>
        <w:rPr>
          <w:rFonts w:ascii="Arial" w:cs="Arial" w:eastAsia="Arial" w:hAnsi="Arial"/>
          <w:b/>
          <w:bCs/>
          <w:i w:val="false"/>
          <w:iCs w:val="false"/>
          <w:color w:val="222222"/>
          <w:sz w:val="22"/>
          <w:szCs w:val="22"/>
          <w:rtl/>
        </w:rPr>
        <w:t xml:space="preserve">"בטל" לעומת "ניתן לביטול": </w:t>
      </w:r>
      <w:r>
        <w:rPr>
          <w:rFonts w:ascii="Arial" w:cs="Arial" w:eastAsia="Arial" w:hAnsi="Arial"/>
          <w:b w:val="false"/>
          <w:bCs w:val="false"/>
          <w:i w:val="false"/>
          <w:iCs w:val="false"/>
          <w:color w:val="222222"/>
          <w:sz w:val="22"/>
          <w:szCs w:val="22"/>
          <w:rtl/>
        </w:rPr>
        <w:t xml:space="preserve">חוזה פסול (ס׳ 30) — בטל מעצמו. פגמים ברצון (טעות, הטעיה, כפייה, עושק) — החוזה תקף אך ניתן לביטול ע"י הנפגע (או ביהמ"ש ב-14(ב)) בלבד.</w:t>
      </w:r>
    </w:p>
    <w:p>
      <w:pPr>
        <w:pStyle w:val="ListParagraph"/>
        <w:numPr>
          <w:ilvl w:val="0"/>
          <w:numId w:val="4"/>
        </w:numPr>
        <w:bidi/>
        <w:spacing w:after="60" w:line="276"/>
      </w:pPr>
      <w:r>
        <w:rPr>
          <w:rFonts w:ascii="Arial" w:cs="Arial" w:eastAsia="Arial" w:hAnsi="Arial"/>
          <w:b/>
          <w:bCs/>
          <w:i w:val="false"/>
          <w:iCs w:val="false"/>
          <w:color w:val="222222"/>
          <w:sz w:val="22"/>
          <w:szCs w:val="22"/>
          <w:rtl/>
        </w:rPr>
        <w:t xml:space="preserve">מילים מוחלטות: </w:t>
      </w:r>
      <w:r>
        <w:rPr>
          <w:rFonts w:ascii="Arial" w:cs="Arial" w:eastAsia="Arial" w:hAnsi="Arial"/>
          <w:b w:val="false"/>
          <w:bCs w:val="false"/>
          <w:i w:val="false"/>
          <w:iCs w:val="false"/>
          <w:color w:val="222222"/>
          <w:sz w:val="22"/>
          <w:szCs w:val="22"/>
          <w:rtl/>
        </w:rPr>
        <w:t xml:space="preserve">"תמיד", "רק", "בכל מקרה", "כל פרט" — ברוב המקרים ההיגד לא נכון; חפשו את החריג, והוא הנימוק.</w:t>
      </w:r>
    </w:p>
    <w:p>
      <w:pPr>
        <w:pStyle w:val="ListParagraph"/>
        <w:numPr>
          <w:ilvl w:val="0"/>
          <w:numId w:val="4"/>
        </w:numPr>
        <w:bidi/>
        <w:spacing w:after="60" w:line="276"/>
      </w:pPr>
      <w:r>
        <w:rPr>
          <w:rFonts w:ascii="Arial" w:cs="Arial" w:eastAsia="Arial" w:hAnsi="Arial"/>
          <w:b/>
          <w:bCs/>
          <w:i w:val="false"/>
          <w:iCs w:val="false"/>
          <w:color w:val="222222"/>
          <w:sz w:val="22"/>
          <w:szCs w:val="22"/>
          <w:rtl/>
        </w:rPr>
        <w:t xml:space="preserve">מתן מול מסירה: </w:t>
      </w:r>
      <w:r>
        <w:rPr>
          <w:rFonts w:ascii="Arial" w:cs="Arial" w:eastAsia="Arial" w:hAnsi="Arial"/>
          <w:b w:val="false"/>
          <w:bCs w:val="false"/>
          <w:i w:val="false"/>
          <w:iCs w:val="false"/>
          <w:color w:val="222222"/>
          <w:sz w:val="22"/>
          <w:szCs w:val="22"/>
          <w:rtl/>
        </w:rPr>
        <w:t xml:space="preserve">"מתן הודעת קיבול" = רגע אמירת/משלוח ה"כן"; "מסירת הודעת קיבול" = הגעתו למציע; "מסירת הצעה" = הגעתה לניצע/למענו. היגד שמערבב בין הרגעים — לא נכון.</w:t>
      </w:r>
    </w:p>
    <w:p>
      <w:pPr>
        <w:pStyle w:val="ListParagraph"/>
        <w:numPr>
          <w:ilvl w:val="0"/>
          <w:numId w:val="4"/>
        </w:numPr>
        <w:bidi/>
        <w:spacing w:after="60" w:line="276"/>
      </w:pPr>
      <w:r>
        <w:rPr>
          <w:rFonts w:ascii="Arial" w:cs="Arial" w:eastAsia="Arial" w:hAnsi="Arial"/>
          <w:b/>
          <w:bCs/>
          <w:i w:val="false"/>
          <w:iCs w:val="false"/>
          <w:color w:val="222222"/>
          <w:sz w:val="22"/>
          <w:szCs w:val="22"/>
          <w:rtl/>
        </w:rPr>
        <w:t xml:space="preserve">חרטת מציע — שני מסלולים: </w:t>
      </w:r>
      <w:r>
        <w:rPr>
          <w:rFonts w:ascii="Arial" w:cs="Arial" w:eastAsia="Arial" w:hAnsi="Arial"/>
          <w:b w:val="false"/>
          <w:bCs w:val="false"/>
          <w:i w:val="false"/>
          <w:iCs w:val="false"/>
          <w:color w:val="222222"/>
          <w:sz w:val="22"/>
          <w:szCs w:val="22"/>
          <w:rtl/>
        </w:rPr>
        <w:t xml:space="preserve">הצעה רגילה: חזרה עד מתן הודעת הקיבול (3(א)). הצעה ללא חזרה / עם מועד קיבול: אין חזרה משנמסרה לניצע, אך כן אפשר לפני שנמסרה (3(ב)).</w:t>
      </w:r>
    </w:p>
    <w:p>
      <w:pPr>
        <w:pStyle w:val="ListParagraph"/>
        <w:numPr>
          <w:ilvl w:val="0"/>
          <w:numId w:val="4"/>
        </w:numPr>
        <w:bidi/>
        <w:spacing w:after="60" w:line="276"/>
      </w:pPr>
      <w:r>
        <w:rPr>
          <w:rFonts w:ascii="Arial" w:cs="Arial" w:eastAsia="Arial" w:hAnsi="Arial"/>
          <w:b/>
          <w:bCs/>
          <w:i w:val="false"/>
          <w:iCs w:val="false"/>
          <w:color w:val="222222"/>
          <w:sz w:val="22"/>
          <w:szCs w:val="22"/>
          <w:rtl/>
        </w:rPr>
        <w:t xml:space="preserve">חרטת ניצע: </w:t>
      </w:r>
      <w:r>
        <w:rPr>
          <w:rFonts w:ascii="Arial" w:cs="Arial" w:eastAsia="Arial" w:hAnsi="Arial"/>
          <w:b w:val="false"/>
          <w:bCs w:val="false"/>
          <w:i w:val="false"/>
          <w:iCs w:val="false"/>
          <w:color w:val="222222"/>
          <w:sz w:val="22"/>
          <w:szCs w:val="22"/>
          <w:rtl/>
        </w:rPr>
        <w:t xml:space="preserve">הודעת החזרה נמסרת למציע לא לאחר הודעת הקיבול — הגיעו יחד? החזרה גוברת ואין חוזה (ס׳ 10).</w:t>
      </w:r>
    </w:p>
    <w:p>
      <w:pPr>
        <w:pStyle w:val="ListParagraph"/>
        <w:numPr>
          <w:ilvl w:val="0"/>
          <w:numId w:val="4"/>
        </w:numPr>
        <w:bidi/>
        <w:spacing w:after="60" w:line="276"/>
      </w:pPr>
      <w:r>
        <w:rPr>
          <w:rFonts w:ascii="Arial" w:cs="Arial" w:eastAsia="Arial" w:hAnsi="Arial"/>
          <w:b/>
          <w:bCs/>
          <w:i w:val="false"/>
          <w:iCs w:val="false"/>
          <w:color w:val="222222"/>
          <w:sz w:val="22"/>
          <w:szCs w:val="22"/>
          <w:rtl/>
        </w:rPr>
        <w:t xml:space="preserve">מוות: </w:t>
      </w:r>
      <w:r>
        <w:rPr>
          <w:rFonts w:ascii="Arial" w:cs="Arial" w:eastAsia="Arial" w:hAnsi="Arial"/>
          <w:b w:val="false"/>
          <w:bCs w:val="false"/>
          <w:i w:val="false"/>
          <w:iCs w:val="false"/>
          <w:color w:val="222222"/>
          <w:sz w:val="22"/>
          <w:szCs w:val="22"/>
          <w:rtl/>
        </w:rPr>
        <w:t xml:space="preserve">לפני מתן הודעת הקיבול — ההצעה פוקעת (4(2)). אחרי — יש חוזה, והוא מחייב את היורשים/העיזבון.</w:t>
      </w:r>
    </w:p>
    <w:p>
      <w:pPr>
        <w:pStyle w:val="ListParagraph"/>
        <w:numPr>
          <w:ilvl w:val="0"/>
          <w:numId w:val="4"/>
        </w:numPr>
        <w:bidi/>
        <w:spacing w:after="60" w:line="276"/>
      </w:pPr>
      <w:r>
        <w:rPr>
          <w:rFonts w:ascii="Arial" w:cs="Arial" w:eastAsia="Arial" w:hAnsi="Arial"/>
          <w:b/>
          <w:bCs/>
          <w:i w:val="false"/>
          <w:iCs w:val="false"/>
          <w:color w:val="222222"/>
          <w:sz w:val="22"/>
          <w:szCs w:val="22"/>
          <w:rtl/>
        </w:rPr>
        <w:t xml:space="preserve">שתיקה: </w:t>
      </w:r>
      <w:r>
        <w:rPr>
          <w:rFonts w:ascii="Arial" w:cs="Arial" w:eastAsia="Arial" w:hAnsi="Arial"/>
          <w:b w:val="false"/>
          <w:bCs w:val="false"/>
          <w:i w:val="false"/>
          <w:iCs w:val="false"/>
          <w:color w:val="222222"/>
          <w:sz w:val="22"/>
          <w:szCs w:val="22"/>
          <w:rtl/>
        </w:rPr>
        <w:t xml:space="preserve">המציע לא כופה שתיקה כקיבול (6(ב)); הניצע רשאי להסכים לכך מיוזמתו — ואז זה מחייב את המציע. ובהצעה מזכה — חזקת קיבול (ס׳ 7).</w:t>
      </w:r>
    </w:p>
    <w:p>
      <w:pPr>
        <w:pStyle w:val="ListParagraph"/>
        <w:numPr>
          <w:ilvl w:val="0"/>
          <w:numId w:val="4"/>
        </w:numPr>
        <w:bidi/>
        <w:spacing w:after="60" w:line="276"/>
      </w:pPr>
      <w:r>
        <w:rPr>
          <w:rFonts w:ascii="Arial" w:cs="Arial" w:eastAsia="Arial" w:hAnsi="Arial"/>
          <w:b/>
          <w:bCs/>
          <w:i w:val="false"/>
          <w:iCs w:val="false"/>
          <w:color w:val="222222"/>
          <w:sz w:val="22"/>
          <w:szCs w:val="22"/>
          <w:rtl/>
        </w:rPr>
        <w:t xml:space="preserve">קיבול בהתנהגות: </w:t>
      </w:r>
      <w:r>
        <w:rPr>
          <w:rFonts w:ascii="Arial" w:cs="Arial" w:eastAsia="Arial" w:hAnsi="Arial"/>
          <w:b w:val="false"/>
          <w:bCs w:val="false"/>
          <w:i w:val="false"/>
          <w:iCs w:val="false"/>
          <w:color w:val="222222"/>
          <w:sz w:val="22"/>
          <w:szCs w:val="22"/>
          <w:rtl/>
        </w:rPr>
        <w:t xml:space="preserve">רק כשנקבע ע"י המציע או משתמע מההצעה (6(א), שג"מ חניונים); משבוצעה ההתנהגות — דינה כהודעת קיבול והמציע כבר אינו חוזר בו.</w:t>
      </w:r>
    </w:p>
    <w:p>
      <w:pPr>
        <w:pStyle w:val="ListParagraph"/>
        <w:numPr>
          <w:ilvl w:val="0"/>
          <w:numId w:val="4"/>
        </w:numPr>
        <w:bidi/>
        <w:spacing w:after="60" w:line="276"/>
      </w:pPr>
      <w:r>
        <w:rPr>
          <w:rFonts w:ascii="Arial" w:cs="Arial" w:eastAsia="Arial" w:hAnsi="Arial"/>
          <w:b/>
          <w:bCs/>
          <w:i w:val="false"/>
          <w:iCs w:val="false"/>
          <w:color w:val="222222"/>
          <w:sz w:val="22"/>
          <w:szCs w:val="22"/>
          <w:rtl/>
        </w:rPr>
        <w:t xml:space="preserve">דחיית הצעה: </w:t>
      </w:r>
      <w:r>
        <w:rPr>
          <w:rFonts w:ascii="Arial" w:cs="Arial" w:eastAsia="Arial" w:hAnsi="Arial"/>
          <w:b w:val="false"/>
          <w:bCs w:val="false"/>
          <w:i w:val="false"/>
          <w:iCs w:val="false"/>
          <w:color w:val="222222"/>
          <w:sz w:val="22"/>
          <w:szCs w:val="22"/>
          <w:rtl/>
        </w:rPr>
        <w:t xml:space="preserve">רק דחייה מפורשת ואקטיבית מפקיעה (נוה עם); שאלות הבהרה או ניסיון שיפור אינם דחייה.</w:t>
      </w:r>
    </w:p>
    <w:p>
      <w:pPr>
        <w:pStyle w:val="ListParagraph"/>
        <w:numPr>
          <w:ilvl w:val="0"/>
          <w:numId w:val="4"/>
        </w:numPr>
        <w:bidi/>
        <w:spacing w:after="60" w:line="276"/>
      </w:pPr>
      <w:r>
        <w:rPr>
          <w:rFonts w:ascii="Arial" w:cs="Arial" w:eastAsia="Arial" w:hAnsi="Arial"/>
          <w:b/>
          <w:bCs/>
          <w:i w:val="false"/>
          <w:iCs w:val="false"/>
          <w:color w:val="222222"/>
          <w:sz w:val="22"/>
          <w:szCs w:val="22"/>
          <w:rtl/>
        </w:rPr>
        <w:t xml:space="preserve">טעות — הווה/עבר בלבד: </w:t>
      </w:r>
      <w:r>
        <w:rPr>
          <w:rFonts w:ascii="Arial" w:cs="Arial" w:eastAsia="Arial" w:hAnsi="Arial"/>
          <w:b w:val="false"/>
          <w:bCs w:val="false"/>
          <w:i w:val="false"/>
          <w:iCs w:val="false"/>
          <w:color w:val="222222"/>
          <w:sz w:val="22"/>
          <w:szCs w:val="22"/>
          <w:rtl/>
        </w:rPr>
        <w:t xml:space="preserve">טעות (ס׳ 14) היא אמונה שאינה תואמת את המציאות הקיימת; ציפייה או תחזית לעתיד שהתבדתה = טעות בכדאיות (14(ד)) — לעולם לא עילה. וגם AS-IS ונטילת סיכון מפורשת — כדאיות (כרמל נ׳ טלמון).</w:t>
      </w:r>
    </w:p>
    <w:p>
      <w:pPr>
        <w:pStyle w:val="ListParagraph"/>
        <w:numPr>
          <w:ilvl w:val="0"/>
          <w:numId w:val="4"/>
        </w:numPr>
        <w:bidi/>
        <w:spacing w:after="60" w:line="276"/>
      </w:pPr>
      <w:r>
        <w:rPr>
          <w:rFonts w:ascii="Arial" w:cs="Arial" w:eastAsia="Arial" w:hAnsi="Arial"/>
          <w:b/>
          <w:bCs/>
          <w:i w:val="false"/>
          <w:iCs w:val="false"/>
          <w:color w:val="222222"/>
          <w:sz w:val="22"/>
          <w:szCs w:val="22"/>
          <w:rtl/>
        </w:rPr>
        <w:t xml:space="preserve">14(א) מול 14(ב): </w:t>
      </w:r>
      <w:r>
        <w:rPr>
          <w:rFonts w:ascii="Arial" w:cs="Arial" w:eastAsia="Arial" w:hAnsi="Arial"/>
          <w:b w:val="false"/>
          <w:bCs w:val="false"/>
          <w:i w:val="false"/>
          <w:iCs w:val="false"/>
          <w:color w:val="222222"/>
          <w:sz w:val="22"/>
          <w:szCs w:val="22"/>
          <w:rtl/>
        </w:rPr>
        <w:t xml:space="preserve">ההבדל היחיד — ידיעת הצד השני (בפועל או בכוח). ידע → ביטול עצמי; לא ידע → רק בית משפט משיקולי צדק + חשיפה לפיצויים. טעות משותפת → 14(ב).</w:t>
      </w:r>
    </w:p>
    <w:p>
      <w:pPr>
        <w:pStyle w:val="ListParagraph"/>
        <w:numPr>
          <w:ilvl w:val="0"/>
          <w:numId w:val="4"/>
        </w:numPr>
        <w:bidi/>
        <w:spacing w:after="60" w:line="276"/>
      </w:pPr>
      <w:r>
        <w:rPr>
          <w:rFonts w:ascii="Arial" w:cs="Arial" w:eastAsia="Arial" w:hAnsi="Arial"/>
          <w:b/>
          <w:bCs/>
          <w:i w:val="false"/>
          <w:iCs w:val="false"/>
          <w:color w:val="222222"/>
          <w:sz w:val="22"/>
          <w:szCs w:val="22"/>
          <w:rtl/>
        </w:rPr>
        <w:t xml:space="preserve">זיכרון דברים: </w:t>
      </w:r>
      <w:r>
        <w:rPr>
          <w:rFonts w:ascii="Arial" w:cs="Arial" w:eastAsia="Arial" w:hAnsi="Arial"/>
          <w:b w:val="false"/>
          <w:bCs w:val="false"/>
          <w:i w:val="false"/>
          <w:iCs w:val="false"/>
          <w:color w:val="222222"/>
          <w:sz w:val="22"/>
          <w:szCs w:val="22"/>
          <w:rtl/>
        </w:rPr>
        <w:t xml:space="preserve">בוחנים תוכן ולא כותרת. עיקרי הדברים חובה — בלעדיהם אין חוזה; פרטים משניים מושלמים לפי ס׳ 26 (נוהג צדדים ← נוהג מקובל ← הוראות חוק 41–50). "בכפוף לחוזה" = לא מחייב.</w:t>
      </w:r>
    </w:p>
    <w:p>
      <w:pPr>
        <w:pStyle w:val="ListParagraph"/>
        <w:numPr>
          <w:ilvl w:val="0"/>
          <w:numId w:val="4"/>
        </w:numPr>
        <w:bidi/>
        <w:spacing w:after="60" w:line="276"/>
      </w:pPr>
      <w:r>
        <w:rPr>
          <w:rFonts w:ascii="Arial" w:cs="Arial" w:eastAsia="Arial" w:hAnsi="Arial"/>
          <w:b/>
          <w:bCs/>
          <w:i w:val="false"/>
          <w:iCs w:val="false"/>
          <w:color w:val="222222"/>
          <w:sz w:val="22"/>
          <w:szCs w:val="22"/>
          <w:rtl/>
        </w:rPr>
        <w:t xml:space="preserve">סעד ס׳ 12: </w:t>
      </w:r>
      <w:r>
        <w:rPr>
          <w:rFonts w:ascii="Arial" w:cs="Arial" w:eastAsia="Arial" w:hAnsi="Arial"/>
          <w:b w:val="false"/>
          <w:bCs w:val="false"/>
          <w:i w:val="false"/>
          <w:iCs w:val="false"/>
          <w:color w:val="222222"/>
          <w:sz w:val="22"/>
          <w:szCs w:val="22"/>
          <w:rtl/>
        </w:rPr>
        <w:t xml:space="preserve">פיצויים (הסתמכות; ובחריג — קיום). לא ביטול. ניתן לתבוע בין אם נכרת חוזה ובין אם לאו, וגם כשהחוזה נשאר בתוקף. החובה חלה על כל משתתף במו"מ.</w:t>
      </w:r>
    </w:p>
    <w:p>
      <w:pPr>
        <w:pStyle w:val="ListParagraph"/>
        <w:numPr>
          <w:ilvl w:val="0"/>
          <w:numId w:val="4"/>
        </w:numPr>
        <w:bidi/>
        <w:spacing w:after="60" w:line="276"/>
      </w:pPr>
      <w:r>
        <w:rPr>
          <w:rFonts w:ascii="Arial" w:cs="Arial" w:eastAsia="Arial" w:hAnsi="Arial"/>
          <w:b/>
          <w:bCs/>
          <w:i w:val="false"/>
          <w:iCs w:val="false"/>
          <w:color w:val="222222"/>
          <w:sz w:val="22"/>
          <w:szCs w:val="22"/>
          <w:rtl/>
        </w:rPr>
        <w:t xml:space="preserve">השלמה "רק מנוהג": </w:t>
      </w:r>
      <w:r>
        <w:rPr>
          <w:rFonts w:ascii="Arial" w:cs="Arial" w:eastAsia="Arial" w:hAnsi="Arial"/>
          <w:b w:val="false"/>
          <w:bCs w:val="false"/>
          <w:i w:val="false"/>
          <w:iCs w:val="false"/>
          <w:color w:val="222222"/>
          <w:sz w:val="22"/>
          <w:szCs w:val="22"/>
          <w:rtl/>
        </w:rPr>
        <w:t xml:space="preserve">לא נכון — מקורות ההשלמה הם נוהג בין הצדדים, נוהג מקובל, וגם הוראות החוק המשלימות (ס׳ 41, 44, 45, 46).</w:t>
      </w:r>
    </w:p>
    <w:p>
      <w:r>
        <w:br w:type="page"/>
      </w:r>
    </w:p>
    <w:p>
      <w:pPr>
        <w:pStyle w:val="Heading1"/>
        <w:keepNext/>
        <w:bidi/>
        <w:spacing w:after="160" w:before="240" w:line="276"/>
      </w:pPr>
      <w:r>
        <w:rPr>
          <w:rFonts w:ascii="Arial" w:cs="Arial" w:eastAsia="Arial" w:hAnsi="Arial"/>
          <w:b/>
          <w:bCs/>
          <w:i w:val="false"/>
          <w:iCs w:val="false"/>
          <w:color w:val="1F3864"/>
          <w:sz w:val="32"/>
          <w:szCs w:val="32"/>
          <w:rtl/>
        </w:rPr>
        <w:t xml:space="preserve">חלק ה׳ — סיכום נושאים מלא</w:t>
      </w:r>
    </w:p>
    <w:p>
      <w:pPr>
        <w:pStyle w:val="Heading2"/>
        <w:keepNext/>
        <w:bidi/>
        <w:spacing w:after="120" w:before="200" w:line="276"/>
      </w:pPr>
      <w:r>
        <w:rPr>
          <w:rFonts w:ascii="Arial" w:cs="Arial" w:eastAsia="Arial" w:hAnsi="Arial"/>
          <w:b/>
          <w:bCs/>
          <w:i w:val="false"/>
          <w:iCs w:val="false"/>
          <w:color w:val="2E5395"/>
          <w:sz w:val="27"/>
          <w:szCs w:val="27"/>
          <w:rtl/>
        </w:rPr>
        <w:t xml:space="preserve">1 · מצגת מבוא — מפת המשפט ועקרונות היסוד</w:t>
      </w:r>
    </w:p>
    <w:p>
      <w:pPr>
        <w:pStyle w:val="ListParagraph"/>
        <w:numPr>
          <w:ilvl w:val="0"/>
          <w:numId w:val="2"/>
        </w:numPr>
        <w:bidi/>
        <w:spacing w:after="60" w:line="276"/>
      </w:pPr>
      <w:r>
        <w:rPr>
          <w:rFonts w:ascii="Arial" w:cs="Arial" w:eastAsia="Arial" w:hAnsi="Arial"/>
          <w:b/>
          <w:bCs/>
          <w:i w:val="false"/>
          <w:iCs w:val="false"/>
          <w:color w:val="222222"/>
          <w:sz w:val="22"/>
          <w:szCs w:val="22"/>
          <w:rtl/>
        </w:rPr>
        <w:t xml:space="preserve">ענפי המשפט: </w:t>
      </w:r>
      <w:r>
        <w:rPr>
          <w:rFonts w:ascii="Arial" w:cs="Arial" w:eastAsia="Arial" w:hAnsi="Arial"/>
          <w:b w:val="false"/>
          <w:bCs w:val="false"/>
          <w:i w:val="false"/>
          <w:iCs w:val="false"/>
          <w:color w:val="222222"/>
          <w:sz w:val="22"/>
          <w:szCs w:val="22"/>
          <w:rtl/>
        </w:rPr>
        <w:t xml:space="preserve">ציבורי (המדינה כריבון): עונשין, חוקתי, מנהלי, מסים, צבא. פרטי: דיני ממון (קניין, חיובים — חוזים, נזיקין, עשיית עושר), משפחה, עבודה, מסחרי (תאגידים, הגבלים, ניירות ערך). וכן משפט פרוצדורלי ובינלאומי. הקורס — משפט פרטי.</w:t>
      </w:r>
    </w:p>
    <w:p>
      <w:pPr>
        <w:pStyle w:val="ListParagraph"/>
        <w:numPr>
          <w:ilvl w:val="0"/>
          <w:numId w:val="2"/>
        </w:numPr>
        <w:bidi/>
        <w:spacing w:after="60" w:line="276"/>
      </w:pPr>
      <w:r>
        <w:rPr>
          <w:rFonts w:ascii="Arial" w:cs="Arial" w:eastAsia="Arial" w:hAnsi="Arial"/>
          <w:b/>
          <w:bCs/>
          <w:i w:val="false"/>
          <w:iCs w:val="false"/>
          <w:color w:val="222222"/>
          <w:sz w:val="22"/>
          <w:szCs w:val="22"/>
          <w:rtl/>
        </w:rPr>
        <w:t xml:space="preserve">חוזים יש לכבד: </w:t>
      </w:r>
      <w:r>
        <w:rPr>
          <w:rFonts w:ascii="Arial" w:cs="Arial" w:eastAsia="Arial" w:hAnsi="Arial"/>
          <w:b w:val="false"/>
          <w:bCs w:val="false"/>
          <w:i w:val="false"/>
          <w:iCs w:val="false"/>
          <w:color w:val="222222"/>
          <w:sz w:val="22"/>
          <w:szCs w:val="22"/>
          <w:rtl/>
        </w:rPr>
        <w:t xml:space="preserve">עיקרון-על; ביהמ"ש יעדיף קיום ואכיפה. "הפרה יעילה" אמריקאית אינה מוכרת בישראל; שידול צד ג׳ להפר = גרם הפרת חוזה (נזיקין).</w:t>
      </w:r>
    </w:p>
    <w:p>
      <w:pPr>
        <w:pStyle w:val="ListParagraph"/>
        <w:numPr>
          <w:ilvl w:val="0"/>
          <w:numId w:val="2"/>
        </w:numPr>
        <w:bidi/>
        <w:spacing w:after="60" w:line="276"/>
      </w:pPr>
      <w:r>
        <w:rPr>
          <w:rFonts w:ascii="Arial" w:cs="Arial" w:eastAsia="Arial" w:hAnsi="Arial"/>
          <w:b/>
          <w:bCs/>
          <w:i w:val="false"/>
          <w:iCs w:val="false"/>
          <w:color w:val="222222"/>
          <w:sz w:val="22"/>
          <w:szCs w:val="22"/>
          <w:rtl/>
        </w:rPr>
        <w:t xml:space="preserve">חופש החוזים — שלוש חירויות: </w:t>
      </w:r>
      <w:r>
        <w:rPr>
          <w:rFonts w:ascii="Arial" w:cs="Arial" w:eastAsia="Arial" w:hAnsi="Arial"/>
          <w:b w:val="false"/>
          <w:bCs w:val="false"/>
          <w:i w:val="false"/>
          <w:iCs w:val="false"/>
          <w:color w:val="222222"/>
          <w:sz w:val="22"/>
          <w:szCs w:val="22"/>
          <w:rtl/>
        </w:rPr>
        <w:t xml:space="preserve">צורה (ס׳ 23; חריגים: מקרקעין ס׳ 8, מתנה עתידית ס׳ 5(א)); תוכן (ס׳ 24, בכפוף לס׳ 30 — בטלות); התקשרות (כשרות משפטית — חוק הכשרות ס׳ 2–5).</w:t>
      </w:r>
    </w:p>
    <w:p>
      <w:pPr>
        <w:pStyle w:val="Heading2"/>
        <w:keepNext/>
        <w:bidi/>
        <w:spacing w:after="120" w:before="200" w:line="276"/>
      </w:pPr>
      <w:r>
        <w:rPr>
          <w:rFonts w:ascii="Arial" w:cs="Arial" w:eastAsia="Arial" w:hAnsi="Arial"/>
          <w:b/>
          <w:bCs/>
          <w:i w:val="false"/>
          <w:iCs w:val="false"/>
          <w:color w:val="2E5395"/>
          <w:sz w:val="27"/>
          <w:szCs w:val="27"/>
          <w:rtl/>
        </w:rPr>
        <w:t xml:space="preserve">2 · מצגת 1 — כריתת חוזה (ס׳ 1–12)</w:t>
      </w:r>
    </w:p>
    <w:p>
      <w:pPr>
        <w:bidi/>
        <w:spacing w:after="120" w:before="0" w:line="276"/>
      </w:pPr>
      <w:r>
        <w:rPr>
          <w:rFonts w:ascii="Arial" w:cs="Arial" w:eastAsia="Arial" w:hAnsi="Arial"/>
          <w:b/>
          <w:bCs/>
          <w:i w:val="false"/>
          <w:iCs w:val="false"/>
          <w:color w:val="222222"/>
          <w:sz w:val="22"/>
          <w:szCs w:val="22"/>
          <w:rtl/>
        </w:rPr>
        <w:t xml:space="preserve">חוזה = הצעה + קיבול (ס׳ 1). </w:t>
      </w:r>
      <w:r>
        <w:rPr>
          <w:rFonts w:ascii="Arial" w:cs="Arial" w:eastAsia="Arial" w:hAnsi="Arial"/>
          <w:b w:val="false"/>
          <w:bCs w:val="false"/>
          <w:i w:val="false"/>
          <w:iCs w:val="false"/>
          <w:color w:val="222222"/>
          <w:sz w:val="22"/>
          <w:szCs w:val="22"/>
          <w:rtl/>
        </w:rPr>
        <w:t xml:space="preserve">חוזה הוא הסכמה ליצור יחסים משפטיים מחייבים. בכל שאלה מזהים כרונולוגית: מי פנה? הצעה או הזמנה להציע הצעות? מה התגובה?</w:t>
      </w:r>
    </w:p>
    <w:p>
      <w:pPr>
        <w:pStyle w:val="Heading3"/>
        <w:keepNext/>
        <w:bidi/>
        <w:spacing w:after="80" w:before="140" w:line="276"/>
      </w:pPr>
      <w:r>
        <w:rPr>
          <w:rFonts w:ascii="Arial" w:cs="Arial" w:eastAsia="Arial" w:hAnsi="Arial"/>
          <w:b/>
          <w:bCs/>
          <w:i w:val="false"/>
          <w:iCs w:val="false"/>
          <w:color w:val="404040"/>
          <w:sz w:val="23"/>
          <w:szCs w:val="23"/>
          <w:rtl/>
        </w:rPr>
        <w:t xml:space="preserve">הצעה (ס׳ 2) — פנייה + גמירת דעת + מסוימות</w:t>
      </w:r>
    </w:p>
    <w:p>
      <w:pPr>
        <w:pStyle w:val="ListParagraph"/>
        <w:numPr>
          <w:ilvl w:val="0"/>
          <w:numId w:val="2"/>
        </w:numPr>
        <w:bidi/>
        <w:spacing w:after="60" w:line="276"/>
      </w:pPr>
      <w:r>
        <w:rPr>
          <w:rFonts w:ascii="Arial" w:cs="Arial" w:eastAsia="Arial" w:hAnsi="Arial"/>
          <w:b/>
          <w:bCs/>
          <w:i w:val="false"/>
          <w:iCs w:val="false"/>
          <w:color w:val="222222"/>
          <w:sz w:val="22"/>
          <w:szCs w:val="22"/>
          <w:rtl/>
        </w:rPr>
        <w:t xml:space="preserve">גמירת דעת: </w:t>
      </w:r>
      <w:r>
        <w:rPr>
          <w:rFonts w:ascii="Arial" w:cs="Arial" w:eastAsia="Arial" w:hAnsi="Arial"/>
          <w:b w:val="false"/>
          <w:bCs w:val="false"/>
          <w:i w:val="false"/>
          <w:iCs w:val="false"/>
          <w:color w:val="222222"/>
          <w:sz w:val="22"/>
          <w:szCs w:val="22"/>
          <w:rtl/>
        </w:rPr>
        <w:t xml:space="preserve">רצינות וכוונה ליצור יחסים משפטיים מחייבים. מבחן אובייקטיבי מרוכך (פרץ בוני הנגב נ׳ בוחבוט): מתקשר סביר במעמד הצדדים. העדה: אמירה מפורשת, נסיבות, מונחים משפטיים, מסוימות, התנהגות לפני ואחרי, חתימה, העברת כספים.</w:t>
      </w:r>
    </w:p>
    <w:p>
      <w:pPr>
        <w:pStyle w:val="ListParagraph"/>
        <w:numPr>
          <w:ilvl w:val="0"/>
          <w:numId w:val="2"/>
        </w:numPr>
        <w:bidi/>
        <w:spacing w:after="60" w:line="276"/>
      </w:pPr>
      <w:r>
        <w:rPr>
          <w:rFonts w:ascii="Arial" w:cs="Arial" w:eastAsia="Arial" w:hAnsi="Arial"/>
          <w:b/>
          <w:bCs/>
          <w:i w:val="false"/>
          <w:iCs w:val="false"/>
          <w:color w:val="222222"/>
          <w:sz w:val="22"/>
          <w:szCs w:val="22"/>
          <w:rtl/>
        </w:rPr>
        <w:t xml:space="preserve">מסוימות: </w:t>
      </w:r>
      <w:r>
        <w:rPr>
          <w:rFonts w:ascii="Arial" w:cs="Arial" w:eastAsia="Arial" w:hAnsi="Arial"/>
          <w:b w:val="false"/>
          <w:bCs w:val="false"/>
          <w:i w:val="false"/>
          <w:iCs w:val="false"/>
          <w:color w:val="222222"/>
          <w:sz w:val="22"/>
          <w:szCs w:val="22"/>
          <w:rtl/>
        </w:rPr>
        <w:t xml:space="preserve">עיקרי הדברים — הצעה מלאה ומדויקת במידה מספקת (זנדבנק נ׳ דנציגר). הפניה למחירון = מחיר. פרטים חסרים שאינם עיקר ניתנים להשלמה.</w:t>
      </w:r>
    </w:p>
    <w:p>
      <w:pPr>
        <w:pStyle w:val="ListParagraph"/>
        <w:numPr>
          <w:ilvl w:val="0"/>
          <w:numId w:val="2"/>
        </w:numPr>
        <w:bidi/>
        <w:spacing w:after="60" w:line="276"/>
      </w:pPr>
      <w:r>
        <w:rPr>
          <w:rFonts w:ascii="Arial" w:cs="Arial" w:eastAsia="Arial" w:hAnsi="Arial"/>
          <w:b/>
          <w:bCs/>
          <w:i w:val="false"/>
          <w:iCs w:val="false"/>
          <w:color w:val="222222"/>
          <w:sz w:val="22"/>
          <w:szCs w:val="22"/>
          <w:rtl/>
        </w:rPr>
        <w:t xml:space="preserve">חסר יסוד? </w:t>
      </w:r>
      <w:r>
        <w:rPr>
          <w:rFonts w:ascii="Arial" w:cs="Arial" w:eastAsia="Arial" w:hAnsi="Arial"/>
          <w:b w:val="false"/>
          <w:bCs w:val="false"/>
          <w:i w:val="false"/>
          <w:iCs w:val="false"/>
          <w:color w:val="222222"/>
          <w:sz w:val="22"/>
          <w:szCs w:val="22"/>
          <w:rtl/>
        </w:rPr>
        <w:t xml:space="preserve">הזמנה להציע הצעות בלבד (מודעה כללית: "מחפשת מורה לגיטרה") — התגובה אליה היא ההצעה.</w:t>
      </w:r>
    </w:p>
    <w:p>
      <w:pPr>
        <w:pStyle w:val="Heading3"/>
        <w:keepNext/>
        <w:bidi/>
        <w:spacing w:after="80" w:before="140" w:line="276"/>
      </w:pPr>
      <w:r>
        <w:rPr>
          <w:rFonts w:ascii="Arial" w:cs="Arial" w:eastAsia="Arial" w:hAnsi="Arial"/>
          <w:b/>
          <w:bCs/>
          <w:i w:val="false"/>
          <w:iCs w:val="false"/>
          <w:color w:val="404040"/>
          <w:sz w:val="23"/>
          <w:szCs w:val="23"/>
          <w:rtl/>
        </w:rPr>
        <w:t xml:space="preserve">השלמת פרטים (ס׳ 26 + 41–50)</w:t>
      </w:r>
    </w:p>
    <w:p>
      <w:pPr>
        <w:pStyle w:val="ListParagraph"/>
        <w:numPr>
          <w:ilvl w:val="0"/>
          <w:numId w:val="2"/>
        </w:numPr>
        <w:bidi/>
        <w:spacing w:after="60" w:line="276"/>
      </w:pPr>
      <w:r>
        <w:rPr>
          <w:rFonts w:ascii="Arial" w:cs="Arial" w:eastAsia="Arial" w:hAnsi="Arial"/>
          <w:b w:val="false"/>
          <w:bCs w:val="false"/>
          <w:i w:val="false"/>
          <w:iCs w:val="false"/>
          <w:color w:val="222222"/>
          <w:sz w:val="22"/>
          <w:szCs w:val="22"/>
          <w:rtl/>
        </w:rPr>
        <w:t xml:space="preserve">מקורות ההשלמה בסדר: נוהג קיים בין הצדדים ← נוהג מקובל בחוזים מאותו סוג ← הוראות החוק המשלימות: מועד הקיום (41), מקום הקיום (44), השלמה בבינוניות (45), תמורה בסכום ראוי (46). עיקרי הדברים — לעולם לא מושלמים.</w:t>
      </w:r>
    </w:p>
    <w:p>
      <w:pPr>
        <w:pStyle w:val="Heading3"/>
        <w:keepNext/>
        <w:bidi/>
        <w:spacing w:after="80" w:before="140" w:line="276"/>
      </w:pPr>
      <w:r>
        <w:rPr>
          <w:rFonts w:ascii="Arial" w:cs="Arial" w:eastAsia="Arial" w:hAnsi="Arial"/>
          <w:b/>
          <w:bCs/>
          <w:i w:val="false"/>
          <w:iCs w:val="false"/>
          <w:color w:val="404040"/>
          <w:sz w:val="23"/>
          <w:szCs w:val="23"/>
          <w:rtl/>
        </w:rPr>
        <w:t xml:space="preserve">חיי ההצעה: חזרה (ס׳ 3) ופקיעה (ס׳ 4)</w:t>
      </w:r>
    </w:p>
    <w:p>
      <w:pPr>
        <w:pStyle w:val="ListParagraph"/>
        <w:numPr>
          <w:ilvl w:val="0"/>
          <w:numId w:val="2"/>
        </w:numPr>
        <w:bidi/>
        <w:spacing w:after="60" w:line="276"/>
      </w:pPr>
      <w:r>
        <w:rPr>
          <w:rFonts w:ascii="Arial" w:cs="Arial" w:eastAsia="Arial" w:hAnsi="Arial"/>
          <w:b/>
          <w:bCs/>
          <w:i w:val="false"/>
          <w:iCs w:val="false"/>
          <w:color w:val="222222"/>
          <w:sz w:val="22"/>
          <w:szCs w:val="22"/>
          <w:rtl/>
        </w:rPr>
        <w:t xml:space="preserve">חזרת המציע (3(א)): </w:t>
      </w:r>
      <w:r>
        <w:rPr>
          <w:rFonts w:ascii="Arial" w:cs="Arial" w:eastAsia="Arial" w:hAnsi="Arial"/>
          <w:b w:val="false"/>
          <w:bCs w:val="false"/>
          <w:i w:val="false"/>
          <w:iCs w:val="false"/>
          <w:color w:val="222222"/>
          <w:sz w:val="22"/>
          <w:szCs w:val="22"/>
          <w:rtl/>
        </w:rPr>
        <w:t xml:space="preserve">בהודעה לניצע, שנמסרה לפני שנתן הניצע הודעת קיבול. שלושה שלבים (מפ"ד קוזלי): כוונה לחזור + הודעה לניצע + מרוץ הפעולות.</w:t>
      </w:r>
    </w:p>
    <w:p>
      <w:pPr>
        <w:pStyle w:val="ListParagraph"/>
        <w:numPr>
          <w:ilvl w:val="0"/>
          <w:numId w:val="2"/>
        </w:numPr>
        <w:bidi/>
        <w:spacing w:after="60" w:line="276"/>
      </w:pPr>
      <w:r>
        <w:rPr>
          <w:rFonts w:ascii="Arial" w:cs="Arial" w:eastAsia="Arial" w:hAnsi="Arial"/>
          <w:b/>
          <w:bCs/>
          <w:i w:val="false"/>
          <w:iCs w:val="false"/>
          <w:color w:val="222222"/>
          <w:sz w:val="22"/>
          <w:szCs w:val="22"/>
          <w:rtl/>
        </w:rPr>
        <w:t xml:space="preserve">הצעה בלתי הדירה (3(ב)): </w:t>
      </w:r>
      <w:r>
        <w:rPr>
          <w:rFonts w:ascii="Arial" w:cs="Arial" w:eastAsia="Arial" w:hAnsi="Arial"/>
          <w:b w:val="false"/>
          <w:bCs w:val="false"/>
          <w:i w:val="false"/>
          <w:iCs w:val="false"/>
          <w:color w:val="222222"/>
          <w:sz w:val="22"/>
          <w:szCs w:val="22"/>
          <w:rtl/>
        </w:rPr>
        <w:t xml:space="preserve">"ללא חזרה" או עם מועד לקיבול — משנמסרה לניצע אין חזרה; לפני מסירתה אפשר (תשובה נ׳ בר נתן: חרטה בטלפון/פקס לפני הגעת המכתב — תפסה).</w:t>
      </w:r>
    </w:p>
    <w:p>
      <w:pPr>
        <w:pStyle w:val="ListParagraph"/>
        <w:numPr>
          <w:ilvl w:val="0"/>
          <w:numId w:val="2"/>
        </w:numPr>
        <w:bidi/>
        <w:spacing w:after="60" w:line="276"/>
      </w:pPr>
      <w:r>
        <w:rPr>
          <w:rFonts w:ascii="Arial" w:cs="Arial" w:eastAsia="Arial" w:hAnsi="Arial"/>
          <w:b/>
          <w:bCs/>
          <w:i w:val="false"/>
          <w:iCs w:val="false"/>
          <w:color w:val="222222"/>
          <w:sz w:val="22"/>
          <w:szCs w:val="22"/>
          <w:rtl/>
        </w:rPr>
        <w:t xml:space="preserve">פקיעה (ס׳ 4): </w:t>
      </w:r>
      <w:r>
        <w:rPr>
          <w:rFonts w:ascii="Arial" w:cs="Arial" w:eastAsia="Arial" w:hAnsi="Arial"/>
          <w:b w:val="false"/>
          <w:bCs w:val="false"/>
          <w:i w:val="false"/>
          <w:iCs w:val="false"/>
          <w:color w:val="222222"/>
          <w:sz w:val="22"/>
          <w:szCs w:val="22"/>
          <w:rtl/>
        </w:rPr>
        <w:t xml:space="preserve">(1) דחייה מפורשת ואקטיבית (נוה עם) או חלוף המועד/זמן סביר (ס׳ 8(א)) — הזמן הסביר לפי טיב ההצעה: פרחים — שעות; נכס יקר — חודשים; פרס על נעדרים — שנים. (2) גורם מסכל: מוות, פסלות דין, צו נכסים, פירוק — לפני מתן הודעת הקיבול.</w:t>
      </w:r>
    </w:p>
    <w:p>
      <w:pPr>
        <w:pStyle w:val="Heading3"/>
        <w:keepNext/>
        <w:bidi/>
        <w:spacing w:after="80" w:before="140" w:line="276"/>
      </w:pPr>
      <w:r>
        <w:rPr>
          <w:rFonts w:ascii="Arial" w:cs="Arial" w:eastAsia="Arial" w:hAnsi="Arial"/>
          <w:b/>
          <w:bCs/>
          <w:i w:val="false"/>
          <w:iCs w:val="false"/>
          <w:color w:val="404040"/>
          <w:sz w:val="23"/>
          <w:szCs w:val="23"/>
          <w:rtl/>
        </w:rPr>
        <w:t xml:space="preserve">קיבול (ס׳ 5–11)</w:t>
      </w:r>
    </w:p>
    <w:p>
      <w:pPr>
        <w:pStyle w:val="ListParagraph"/>
        <w:numPr>
          <w:ilvl w:val="0"/>
          <w:numId w:val="2"/>
        </w:numPr>
        <w:bidi/>
        <w:spacing w:after="60" w:line="276"/>
      </w:pPr>
      <w:r>
        <w:rPr>
          <w:rFonts w:ascii="Arial" w:cs="Arial" w:eastAsia="Arial" w:hAnsi="Arial"/>
          <w:b/>
          <w:bCs/>
          <w:i w:val="false"/>
          <w:iCs w:val="false"/>
          <w:color w:val="222222"/>
          <w:sz w:val="22"/>
          <w:szCs w:val="22"/>
          <w:rtl/>
        </w:rPr>
        <w:t xml:space="preserve">קיבול (5): </w:t>
      </w:r>
      <w:r>
        <w:rPr>
          <w:rFonts w:ascii="Arial" w:cs="Arial" w:eastAsia="Arial" w:hAnsi="Arial"/>
          <w:b w:val="false"/>
          <w:bCs w:val="false"/>
          <w:i w:val="false"/>
          <w:iCs w:val="false"/>
          <w:color w:val="222222"/>
          <w:sz w:val="22"/>
          <w:szCs w:val="22"/>
          <w:rtl/>
        </w:rPr>
        <w:t xml:space="preserve">הודעת הניצע שנמסרה למציע + גמירת דעת + נעשה על יסוד ההצעה ותואם אותה; קיבול = התנהגות אקטיבית.</w:t>
      </w:r>
    </w:p>
    <w:p>
      <w:pPr>
        <w:pStyle w:val="ListParagraph"/>
        <w:numPr>
          <w:ilvl w:val="0"/>
          <w:numId w:val="2"/>
        </w:numPr>
        <w:bidi/>
        <w:spacing w:after="60" w:line="276"/>
      </w:pPr>
      <w:r>
        <w:rPr>
          <w:rFonts w:ascii="Arial" w:cs="Arial" w:eastAsia="Arial" w:hAnsi="Arial"/>
          <w:b/>
          <w:bCs/>
          <w:i w:val="false"/>
          <w:iCs w:val="false"/>
          <w:color w:val="222222"/>
          <w:sz w:val="22"/>
          <w:szCs w:val="22"/>
          <w:rtl/>
        </w:rPr>
        <w:t xml:space="preserve">בהתנהגות (6(א)): </w:t>
      </w:r>
      <w:r>
        <w:rPr>
          <w:rFonts w:ascii="Arial" w:cs="Arial" w:eastAsia="Arial" w:hAnsi="Arial"/>
          <w:b w:val="false"/>
          <w:bCs w:val="false"/>
          <w:i w:val="false"/>
          <w:iCs w:val="false"/>
          <w:color w:val="222222"/>
          <w:sz w:val="22"/>
          <w:szCs w:val="22"/>
          <w:rtl/>
        </w:rPr>
        <w:t xml:space="preserve">מעשה לביצוע החוזה — רק אם נקבע או משתמע מההצעה (שג"מ חניונים; הצעות פרס). ההתנהגות כדין הודעת קיבול לעניין 3(א) ו-4(2).</w:t>
      </w:r>
    </w:p>
    <w:p>
      <w:pPr>
        <w:pStyle w:val="ListParagraph"/>
        <w:numPr>
          <w:ilvl w:val="0"/>
          <w:numId w:val="2"/>
        </w:numPr>
        <w:bidi/>
        <w:spacing w:after="60" w:line="276"/>
      </w:pPr>
      <w:r>
        <w:rPr>
          <w:rFonts w:ascii="Arial" w:cs="Arial" w:eastAsia="Arial" w:hAnsi="Arial"/>
          <w:b/>
          <w:bCs/>
          <w:i w:val="false"/>
          <w:iCs w:val="false"/>
          <w:color w:val="222222"/>
          <w:sz w:val="22"/>
          <w:szCs w:val="22"/>
          <w:rtl/>
        </w:rPr>
        <w:t xml:space="preserve">שתיקה (6(ב)): </w:t>
      </w:r>
      <w:r>
        <w:rPr>
          <w:rFonts w:ascii="Arial" w:cs="Arial" w:eastAsia="Arial" w:hAnsi="Arial"/>
          <w:b w:val="false"/>
          <w:bCs w:val="false"/>
          <w:i w:val="false"/>
          <w:iCs w:val="false"/>
          <w:color w:val="222222"/>
          <w:sz w:val="22"/>
          <w:szCs w:val="22"/>
          <w:rtl/>
        </w:rPr>
        <w:t xml:space="preserve">קביעת מציע שהעדר תגובה = קיבול — אין לה תוקף; הברירה בידי הניצע.</w:t>
      </w:r>
    </w:p>
    <w:p>
      <w:pPr>
        <w:pStyle w:val="ListParagraph"/>
        <w:numPr>
          <w:ilvl w:val="0"/>
          <w:numId w:val="2"/>
        </w:numPr>
        <w:bidi/>
        <w:spacing w:after="60" w:line="276"/>
      </w:pPr>
      <w:r>
        <w:rPr>
          <w:rFonts w:ascii="Arial" w:cs="Arial" w:eastAsia="Arial" w:hAnsi="Arial"/>
          <w:b/>
          <w:bCs/>
          <w:i w:val="false"/>
          <w:iCs w:val="false"/>
          <w:color w:val="222222"/>
          <w:sz w:val="22"/>
          <w:szCs w:val="22"/>
          <w:rtl/>
        </w:rPr>
        <w:t xml:space="preserve">הצעה מזכה (7): </w:t>
      </w:r>
      <w:r>
        <w:rPr>
          <w:rFonts w:ascii="Arial" w:cs="Arial" w:eastAsia="Arial" w:hAnsi="Arial"/>
          <w:b w:val="false"/>
          <w:bCs w:val="false"/>
          <w:i w:val="false"/>
          <w:iCs w:val="false"/>
          <w:color w:val="222222"/>
          <w:sz w:val="22"/>
          <w:szCs w:val="22"/>
          <w:rtl/>
        </w:rPr>
        <w:t xml:space="preserve">כל-כולה לטובת הניצע, נקייה מחיובים ותנאים — חזקת קיבול בשתיקה; ביטול החזקה בהודעת התנגדות תוך זמן סביר. "מתנה" עם נטל (לזכור לבטל, לטפל בגור) — אינה מזכה.</w:t>
      </w:r>
    </w:p>
    <w:p>
      <w:pPr>
        <w:pStyle w:val="ListParagraph"/>
        <w:numPr>
          <w:ilvl w:val="0"/>
          <w:numId w:val="2"/>
        </w:numPr>
        <w:bidi/>
        <w:spacing w:after="60" w:line="276"/>
      </w:pPr>
      <w:r>
        <w:rPr>
          <w:rFonts w:ascii="Arial" w:cs="Arial" w:eastAsia="Arial" w:hAnsi="Arial"/>
          <w:b/>
          <w:bCs/>
          <w:i w:val="false"/>
          <w:iCs w:val="false"/>
          <w:color w:val="222222"/>
          <w:sz w:val="22"/>
          <w:szCs w:val="22"/>
          <w:rtl/>
        </w:rPr>
        <w:t xml:space="preserve">מועד ואיחור (8): </w:t>
      </w:r>
      <w:r>
        <w:rPr>
          <w:rFonts w:ascii="Arial" w:cs="Arial" w:eastAsia="Arial" w:hAnsi="Arial"/>
          <w:b w:val="false"/>
          <w:bCs w:val="false"/>
          <w:i w:val="false"/>
          <w:iCs w:val="false"/>
          <w:color w:val="222222"/>
          <w:sz w:val="22"/>
          <w:szCs w:val="22"/>
          <w:rtl/>
        </w:rPr>
        <w:t xml:space="preserve">קיבול תוך התקופה/זמן סביר; איחור מתקלה שאינה תלויה בניצע — נכרת חוזה אלא אם המציע דחה מיד (8(ב)).</w:t>
      </w:r>
    </w:p>
    <w:p>
      <w:pPr>
        <w:pStyle w:val="ListParagraph"/>
        <w:numPr>
          <w:ilvl w:val="0"/>
          <w:numId w:val="2"/>
        </w:numPr>
        <w:bidi/>
        <w:spacing w:after="60" w:line="276"/>
      </w:pPr>
      <w:r>
        <w:rPr>
          <w:rFonts w:ascii="Arial" w:cs="Arial" w:eastAsia="Arial" w:hAnsi="Arial"/>
          <w:b/>
          <w:bCs/>
          <w:i w:val="false"/>
          <w:iCs w:val="false"/>
          <w:color w:val="222222"/>
          <w:sz w:val="22"/>
          <w:szCs w:val="22"/>
          <w:rtl/>
        </w:rPr>
        <w:t xml:space="preserve">אחרי פקיעה (9): </w:t>
      </w:r>
      <w:r>
        <w:rPr>
          <w:rFonts w:ascii="Arial" w:cs="Arial" w:eastAsia="Arial" w:hAnsi="Arial"/>
          <w:b w:val="false"/>
          <w:bCs w:val="false"/>
          <w:i w:val="false"/>
          <w:iCs w:val="false"/>
          <w:color w:val="222222"/>
          <w:sz w:val="22"/>
          <w:szCs w:val="22"/>
          <w:rtl/>
        </w:rPr>
        <w:t xml:space="preserve">כמוהו כהצעה חדשה.</w:t>
      </w:r>
    </w:p>
    <w:p>
      <w:pPr>
        <w:pStyle w:val="ListParagraph"/>
        <w:numPr>
          <w:ilvl w:val="0"/>
          <w:numId w:val="2"/>
        </w:numPr>
        <w:bidi/>
        <w:spacing w:after="60" w:line="276"/>
      </w:pPr>
      <w:r>
        <w:rPr>
          <w:rFonts w:ascii="Arial" w:cs="Arial" w:eastAsia="Arial" w:hAnsi="Arial"/>
          <w:b/>
          <w:bCs/>
          <w:i w:val="false"/>
          <w:iCs w:val="false"/>
          <w:color w:val="222222"/>
          <w:sz w:val="22"/>
          <w:szCs w:val="22"/>
          <w:rtl/>
        </w:rPr>
        <w:t xml:space="preserve">חרטת ניצע (10): </w:t>
      </w:r>
      <w:r>
        <w:rPr>
          <w:rFonts w:ascii="Arial" w:cs="Arial" w:eastAsia="Arial" w:hAnsi="Arial"/>
          <w:b w:val="false"/>
          <w:bCs w:val="false"/>
          <w:i w:val="false"/>
          <w:iCs w:val="false"/>
          <w:color w:val="222222"/>
          <w:sz w:val="22"/>
          <w:szCs w:val="22"/>
          <w:rtl/>
        </w:rPr>
        <w:t xml:space="preserve">החזרה נמסרת למציע לא לאחר הודעת הקיבול (או משנודע לו על קיבול בהתנהגות) — לפני או יחד, החזרה גוברת.</w:t>
      </w:r>
    </w:p>
    <w:p>
      <w:pPr>
        <w:pStyle w:val="ListParagraph"/>
        <w:numPr>
          <w:ilvl w:val="0"/>
          <w:numId w:val="2"/>
        </w:numPr>
        <w:bidi/>
        <w:spacing w:after="60" w:line="276"/>
      </w:pPr>
      <w:r>
        <w:rPr>
          <w:rFonts w:ascii="Arial" w:cs="Arial" w:eastAsia="Arial" w:hAnsi="Arial"/>
          <w:b/>
          <w:bCs/>
          <w:i w:val="false"/>
          <w:iCs w:val="false"/>
          <w:color w:val="222222"/>
          <w:sz w:val="22"/>
          <w:szCs w:val="22"/>
          <w:rtl/>
        </w:rPr>
        <w:t xml:space="preserve">קיבול תוך שינוי (11): </w:t>
      </w:r>
      <w:r>
        <w:rPr>
          <w:rFonts w:ascii="Arial" w:cs="Arial" w:eastAsia="Arial" w:hAnsi="Arial"/>
          <w:b w:val="false"/>
          <w:bCs w:val="false"/>
          <w:i w:val="false"/>
          <w:iCs w:val="false"/>
          <w:color w:val="222222"/>
          <w:sz w:val="22"/>
          <w:szCs w:val="22"/>
          <w:rtl/>
        </w:rPr>
        <w:t xml:space="preserve">"כן, אבל..." = הצעה חדשה; התפקידים מתהפכים. הוספת תנאים לאחר הכריתה — רק בהסכמת שני הצדדים.</w:t>
      </w:r>
    </w:p>
    <w:p>
      <w:pPr>
        <w:pStyle w:val="Heading3"/>
        <w:keepNext/>
        <w:bidi/>
        <w:spacing w:after="80" w:before="140" w:line="276"/>
      </w:pPr>
      <w:r>
        <w:rPr>
          <w:rFonts w:ascii="Arial" w:cs="Arial" w:eastAsia="Arial" w:hAnsi="Arial"/>
          <w:b/>
          <w:bCs/>
          <w:i w:val="false"/>
          <w:iCs w:val="false"/>
          <w:color w:val="404040"/>
          <w:sz w:val="23"/>
          <w:szCs w:val="23"/>
          <w:rtl/>
        </w:rPr>
        <w:t xml:space="preserve">פ"ד קוזלי (ע"א 6295/16) — פרשת מג׳די חלבי: הצעת פרס לציבור</w:t>
      </w:r>
    </w:p>
    <w:p>
      <w:pPr>
        <w:bidi/>
        <w:spacing w:after="120" w:before="0" w:line="276"/>
      </w:pPr>
      <w:r>
        <w:rPr>
          <w:rFonts w:ascii="Arial" w:cs="Arial" w:eastAsia="Arial" w:hAnsi="Arial"/>
          <w:b w:val="false"/>
          <w:bCs w:val="false"/>
          <w:i w:val="false"/>
          <w:iCs w:val="false"/>
          <w:color w:val="222222"/>
          <w:sz w:val="22"/>
          <w:szCs w:val="22"/>
          <w:rtl/>
        </w:rPr>
        <w:t xml:space="preserve">מצגת שלמה בקורס מוקדשת לפסק הדין — צפוי מאוד בהיגדים. המדינה פרסמה פרס של 10 מיליון דולר למידע על נעדרים; המערערים נתקלו בשרידי גופה ביערות הכרמל ודיווחו. העליון חייב את המדינה לשלם:</w:t>
      </w:r>
    </w:p>
    <w:p>
      <w:pPr>
        <w:pStyle w:val="ListParagraph"/>
        <w:numPr>
          <w:ilvl w:val="0"/>
          <w:numId w:val="5"/>
        </w:numPr>
        <w:bidi/>
        <w:spacing w:after="60" w:line="276"/>
      </w:pPr>
      <w:r>
        <w:rPr>
          <w:rFonts w:ascii="Arial" w:cs="Arial" w:eastAsia="Arial" w:hAnsi="Arial"/>
          <w:b/>
          <w:bCs/>
          <w:i w:val="false"/>
          <w:iCs w:val="false"/>
          <w:color w:val="222222"/>
          <w:sz w:val="22"/>
          <w:szCs w:val="22"/>
          <w:rtl/>
        </w:rPr>
        <w:t xml:space="preserve">משוכה 1 — ידיעה על ההצעה: </w:t>
      </w:r>
      <w:r>
        <w:rPr>
          <w:rFonts w:ascii="Arial" w:cs="Arial" w:eastAsia="Arial" w:hAnsi="Arial"/>
          <w:b w:val="false"/>
          <w:bCs w:val="false"/>
          <w:i w:val="false"/>
          <w:iCs w:val="false"/>
          <w:color w:val="222222"/>
          <w:sz w:val="22"/>
          <w:szCs w:val="22"/>
          <w:rtl/>
        </w:rPr>
        <w:t xml:space="preserve">הוכח שהמערערים ידעו על הפרס.</w:t>
      </w:r>
    </w:p>
    <w:p>
      <w:pPr>
        <w:pStyle w:val="ListParagraph"/>
        <w:numPr>
          <w:ilvl w:val="0"/>
          <w:numId w:val="5"/>
        </w:numPr>
        <w:bidi/>
        <w:spacing w:after="60" w:line="276"/>
      </w:pPr>
      <w:r>
        <w:rPr>
          <w:rFonts w:ascii="Arial" w:cs="Arial" w:eastAsia="Arial" w:hAnsi="Arial"/>
          <w:b/>
          <w:bCs/>
          <w:i w:val="false"/>
          <w:iCs w:val="false"/>
          <w:color w:val="222222"/>
          <w:sz w:val="22"/>
          <w:szCs w:val="22"/>
          <w:rtl/>
        </w:rPr>
        <w:t xml:space="preserve">משוכה 2 — סימולטניות: </w:t>
      </w:r>
      <w:r>
        <w:rPr>
          <w:rFonts w:ascii="Arial" w:cs="Arial" w:eastAsia="Arial" w:hAnsi="Arial"/>
          <w:b w:val="false"/>
          <w:bCs w:val="false"/>
          <w:i w:val="false"/>
          <w:iCs w:val="false"/>
          <w:color w:val="222222"/>
          <w:sz w:val="22"/>
          <w:szCs w:val="22"/>
          <w:rtl/>
        </w:rPr>
        <w:t xml:space="preserve">העלו על דעתם שמדובר בנעדר ופנו למשטרה מתוך תקווה לזכות — נדרשת מודעות להצעה בעת פעולת הקיבול.</w:t>
      </w:r>
    </w:p>
    <w:p>
      <w:pPr>
        <w:pStyle w:val="ListParagraph"/>
        <w:numPr>
          <w:ilvl w:val="0"/>
          <w:numId w:val="5"/>
        </w:numPr>
        <w:bidi/>
        <w:spacing w:after="60" w:line="276"/>
      </w:pPr>
      <w:r>
        <w:rPr>
          <w:rFonts w:ascii="Arial" w:cs="Arial" w:eastAsia="Arial" w:hAnsi="Arial"/>
          <w:b/>
          <w:bCs/>
          <w:i w:val="false"/>
          <w:iCs w:val="false"/>
          <w:color w:val="222222"/>
          <w:sz w:val="22"/>
          <w:szCs w:val="22"/>
          <w:rtl/>
        </w:rPr>
        <w:t xml:space="preserve">משוכה 3 — אין צורך בידיעה ודאית: </w:t>
      </w:r>
      <w:r>
        <w:rPr>
          <w:rFonts w:ascii="Arial" w:cs="Arial" w:eastAsia="Arial" w:hAnsi="Arial"/>
          <w:b w:val="false"/>
          <w:bCs w:val="false"/>
          <w:i w:val="false"/>
          <w:iCs w:val="false"/>
          <w:color w:val="222222"/>
          <w:sz w:val="22"/>
          <w:szCs w:val="22"/>
          <w:rtl/>
        </w:rPr>
        <w:t xml:space="preserve">די בביצוע ההתנהגות מתוך כוונה ותקווה לזכות, גם ללא ודאות שההתנהגות תתברר כקיבול. מפגש רצונות — לא הסתברות אובייקטיבית.</w:t>
      </w:r>
    </w:p>
    <w:p>
      <w:pPr>
        <w:pStyle w:val="ListParagraph"/>
        <w:numPr>
          <w:ilvl w:val="0"/>
          <w:numId w:val="5"/>
        </w:numPr>
        <w:bidi/>
        <w:spacing w:after="60" w:line="276"/>
      </w:pPr>
      <w:r>
        <w:rPr>
          <w:rFonts w:ascii="Arial" w:cs="Arial" w:eastAsia="Arial" w:hAnsi="Arial"/>
          <w:b/>
          <w:bCs/>
          <w:i w:val="false"/>
          <w:iCs w:val="false"/>
          <w:color w:val="222222"/>
          <w:sz w:val="22"/>
          <w:szCs w:val="22"/>
          <w:rtl/>
        </w:rPr>
        <w:t xml:space="preserve">משוכה 4 — מציאה אקראית אינה שוללת: </w:t>
      </w:r>
      <w:r>
        <w:rPr>
          <w:rFonts w:ascii="Arial" w:cs="Arial" w:eastAsia="Arial" w:hAnsi="Arial"/>
          <w:b w:val="false"/>
          <w:bCs w:val="false"/>
          <w:i w:val="false"/>
          <w:iCs w:val="false"/>
          <w:color w:val="222222"/>
          <w:sz w:val="22"/>
          <w:szCs w:val="22"/>
          <w:rtl/>
        </w:rPr>
        <w:t xml:space="preserve">פרשנות ההצעה לפי "הניצע הסביר": "פרס תמורת מידע אמין שיוביל אל הנעדרים" — אינו מותנה במאמצי חיפוש (משל מוצא הכלבלב בכניסה לבניין).</w:t>
      </w:r>
    </w:p>
    <w:p>
      <w:pPr>
        <w:pStyle w:val="ListParagraph"/>
        <w:numPr>
          <w:ilvl w:val="0"/>
          <w:numId w:val="2"/>
        </w:numPr>
        <w:bidi/>
        <w:spacing w:after="60" w:line="276"/>
      </w:pPr>
      <w:r>
        <w:rPr>
          <w:rFonts w:ascii="Arial" w:cs="Arial" w:eastAsia="Arial" w:hAnsi="Arial"/>
          <w:b/>
          <w:bCs/>
          <w:i w:val="false"/>
          <w:iCs w:val="false"/>
          <w:color w:val="222222"/>
          <w:sz w:val="22"/>
          <w:szCs w:val="22"/>
          <w:rtl/>
        </w:rPr>
        <w:t xml:space="preserve">פקיעה: </w:t>
      </w:r>
      <w:r>
        <w:rPr>
          <w:rFonts w:ascii="Arial" w:cs="Arial" w:eastAsia="Arial" w:hAnsi="Arial"/>
          <w:b w:val="false"/>
          <w:bCs w:val="false"/>
          <w:i w:val="false"/>
          <w:iCs w:val="false"/>
          <w:color w:val="222222"/>
          <w:sz w:val="22"/>
          <w:szCs w:val="22"/>
          <w:rtl/>
        </w:rPr>
        <w:t xml:space="preserve">תשעה חודשים ללא פרסום אקטיבי אינם "זמן סביר" לפקיעה — סבירות הזמן נגזרת מרקע ההצעה ותוכנה (מניות — פוקעת מהר; מידע על נעדרים/עבריין — תקפה זמן רב, פרידמן וכהן).</w:t>
      </w:r>
    </w:p>
    <w:p>
      <w:pPr>
        <w:pStyle w:val="ListParagraph"/>
        <w:numPr>
          <w:ilvl w:val="0"/>
          <w:numId w:val="2"/>
        </w:numPr>
        <w:bidi/>
        <w:spacing w:after="60" w:line="276"/>
      </w:pPr>
      <w:r>
        <w:rPr>
          <w:rFonts w:ascii="Arial" w:cs="Arial" w:eastAsia="Arial" w:hAnsi="Arial"/>
          <w:b/>
          <w:bCs/>
          <w:i w:val="false"/>
          <w:iCs w:val="false"/>
          <w:color w:val="222222"/>
          <w:sz w:val="22"/>
          <w:szCs w:val="22"/>
          <w:rtl/>
        </w:rPr>
        <w:t xml:space="preserve">חזרה מהצעה: </w:t>
      </w:r>
      <w:r>
        <w:rPr>
          <w:rFonts w:ascii="Arial" w:cs="Arial" w:eastAsia="Arial" w:hAnsi="Arial"/>
          <w:b w:val="false"/>
          <w:bCs w:val="false"/>
          <w:i w:val="false"/>
          <w:iCs w:val="false"/>
          <w:color w:val="222222"/>
          <w:sz w:val="22"/>
          <w:szCs w:val="22"/>
          <w:rtl/>
        </w:rPr>
        <w:t xml:space="preserve">הפסקת מימון העמותה והורדת שלטים ≠ חזרה; חזרה דורשת כוונה + הודעה לניצעים בדרך מקבילה לפרסום המקורי (אתר, מוקד טלפוני) + לפני הקיבול. דנ"א 4165/19 — נדחה.</w:t>
      </w:r>
    </w:p>
    <w:p>
      <w:pPr>
        <w:pStyle w:val="Heading3"/>
        <w:keepNext/>
        <w:bidi/>
        <w:spacing w:after="80" w:before="140" w:line="276"/>
      </w:pPr>
      <w:r>
        <w:rPr>
          <w:rFonts w:ascii="Arial" w:cs="Arial" w:eastAsia="Arial" w:hAnsi="Arial"/>
          <w:b/>
          <w:bCs/>
          <w:i w:val="false"/>
          <w:iCs w:val="false"/>
          <w:color w:val="404040"/>
          <w:sz w:val="23"/>
          <w:szCs w:val="23"/>
          <w:rtl/>
        </w:rPr>
        <w:t xml:space="preserve">זיכרון דברים (רבינאי נ׳ מן שקד, ע"א 158/77)</w:t>
      </w:r>
    </w:p>
    <w:p>
      <w:pPr>
        <w:pStyle w:val="ListParagraph"/>
        <w:numPr>
          <w:ilvl w:val="0"/>
          <w:numId w:val="2"/>
        </w:numPr>
        <w:bidi/>
        <w:spacing w:after="60" w:line="276"/>
      </w:pPr>
      <w:r>
        <w:rPr>
          <w:rFonts w:ascii="Arial" w:cs="Arial" w:eastAsia="Arial" w:hAnsi="Arial"/>
          <w:b/>
          <w:bCs/>
          <w:i w:val="false"/>
          <w:iCs w:val="false"/>
          <w:color w:val="222222"/>
          <w:sz w:val="22"/>
          <w:szCs w:val="22"/>
          <w:rtl/>
        </w:rPr>
        <w:t xml:space="preserve">שתי נקודות מבט: </w:t>
      </w:r>
      <w:r>
        <w:rPr>
          <w:rFonts w:ascii="Arial" w:cs="Arial" w:eastAsia="Arial" w:hAnsi="Arial"/>
          <w:b w:val="false"/>
          <w:bCs w:val="false"/>
          <w:i w:val="false"/>
          <w:iCs w:val="false"/>
          <w:color w:val="222222"/>
          <w:sz w:val="22"/>
          <w:szCs w:val="22"/>
          <w:rtl/>
        </w:rPr>
        <w:t xml:space="preserve">שלב ביניים במו"מ ("חומר גלמי" ללא גמירת דעת סופית) — או חוזה גמור שהצדדים מבקשים לתת לו לבוש פורמלי בהמשך.</w:t>
      </w:r>
    </w:p>
    <w:p>
      <w:pPr>
        <w:pStyle w:val="ListParagraph"/>
        <w:numPr>
          <w:ilvl w:val="0"/>
          <w:numId w:val="2"/>
        </w:numPr>
        <w:bidi/>
        <w:spacing w:after="60" w:line="276"/>
      </w:pPr>
      <w:r>
        <w:rPr>
          <w:rFonts w:ascii="Arial" w:cs="Arial" w:eastAsia="Arial" w:hAnsi="Arial"/>
          <w:b/>
          <w:bCs/>
          <w:i w:val="false"/>
          <w:iCs w:val="false"/>
          <w:color w:val="222222"/>
          <w:sz w:val="22"/>
          <w:szCs w:val="22"/>
          <w:rtl/>
        </w:rPr>
        <w:t xml:space="preserve">שני מבחנים מצטברים: </w:t>
      </w:r>
      <w:r>
        <w:rPr>
          <w:rFonts w:ascii="Arial" w:cs="Arial" w:eastAsia="Arial" w:hAnsi="Arial"/>
          <w:b w:val="false"/>
          <w:bCs w:val="false"/>
          <w:i w:val="false"/>
          <w:iCs w:val="false"/>
          <w:color w:val="222222"/>
          <w:sz w:val="22"/>
          <w:szCs w:val="22"/>
          <w:rtl/>
        </w:rPr>
        <w:t xml:space="preserve">(1) כוונה ליצור קשר חוזי מחייב כבר עתה (חתימות, ניסוח, התנהגות, מקדמה); (2) מסוימות — הפרטים המהותיים והחיוניים. התקיימו — חוזה מחייב, גם אם תוכנן "חוזה מפורט", והמסמך ממלא את דרישת הכתב במקרקעין.</w:t>
      </w:r>
    </w:p>
    <w:p>
      <w:pPr>
        <w:pStyle w:val="ListParagraph"/>
        <w:numPr>
          <w:ilvl w:val="0"/>
          <w:numId w:val="2"/>
        </w:numPr>
        <w:bidi/>
        <w:spacing w:after="60" w:line="276"/>
      </w:pPr>
      <w:r>
        <w:rPr>
          <w:rFonts w:ascii="Arial" w:cs="Arial" w:eastAsia="Arial" w:hAnsi="Arial"/>
          <w:b/>
          <w:bCs/>
          <w:i w:val="false"/>
          <w:iCs w:val="false"/>
          <w:color w:val="222222"/>
          <w:sz w:val="22"/>
          <w:szCs w:val="22"/>
          <w:rtl/>
        </w:rPr>
        <w:t xml:space="preserve">נוסחאות קישור: </w:t>
      </w:r>
      <w:r>
        <w:rPr>
          <w:rFonts w:ascii="Arial" w:cs="Arial" w:eastAsia="Arial" w:hAnsi="Arial"/>
          <w:b w:val="false"/>
          <w:bCs w:val="false"/>
          <w:i w:val="false"/>
          <w:iCs w:val="false"/>
          <w:color w:val="222222"/>
          <w:sz w:val="22"/>
          <w:szCs w:val="22"/>
          <w:rtl/>
        </w:rPr>
        <w:t xml:space="preserve">"בכפוף לחוזה שייחתם" — מעיד על העדר גמירת דעת; "חוזה מפורט ייערך תוך שבוע" — מחייב גם אם לא נחתם.</w:t>
      </w:r>
    </w:p>
    <w:p>
      <w:pPr>
        <w:pStyle w:val="Heading3"/>
        <w:keepNext/>
        <w:bidi/>
        <w:spacing w:after="80" w:before="140" w:line="276"/>
      </w:pPr>
      <w:r>
        <w:rPr>
          <w:rFonts w:ascii="Arial" w:cs="Arial" w:eastAsia="Arial" w:hAnsi="Arial"/>
          <w:b/>
          <w:bCs/>
          <w:i w:val="false"/>
          <w:iCs w:val="false"/>
          <w:color w:val="404040"/>
          <w:sz w:val="23"/>
          <w:szCs w:val="23"/>
          <w:rtl/>
        </w:rPr>
        <w:t xml:space="preserve">תום לב במשא ומתן (ס׳ 12)</w:t>
      </w:r>
    </w:p>
    <w:p>
      <w:pPr>
        <w:pStyle w:val="ListParagraph"/>
        <w:numPr>
          <w:ilvl w:val="0"/>
          <w:numId w:val="2"/>
        </w:numPr>
        <w:bidi/>
        <w:spacing w:after="60" w:line="276"/>
      </w:pPr>
      <w:r>
        <w:rPr>
          <w:rFonts w:ascii="Arial" w:cs="Arial" w:eastAsia="Arial" w:hAnsi="Arial"/>
          <w:b/>
          <w:bCs/>
          <w:i w:val="false"/>
          <w:iCs w:val="false"/>
          <w:color w:val="222222"/>
          <w:sz w:val="22"/>
          <w:szCs w:val="22"/>
          <w:rtl/>
        </w:rPr>
        <w:t xml:space="preserve">מהות ותחולה: </w:t>
      </w:r>
      <w:r>
        <w:rPr>
          <w:rFonts w:ascii="Arial" w:cs="Arial" w:eastAsia="Arial" w:hAnsi="Arial"/>
          <w:b w:val="false"/>
          <w:bCs w:val="false"/>
          <w:i w:val="false"/>
          <w:iCs w:val="false"/>
          <w:color w:val="222222"/>
          <w:sz w:val="22"/>
          <w:szCs w:val="22"/>
          <w:rtl/>
        </w:rPr>
        <w:t xml:space="preserve">"בדרך מקובלת ובתום לב" — מושג רחב ודינמי, סטנדרט אובייקטיבי (האדם הסביר בנסיבות). חל מרגע הקשר הראשון ועד הכריתה או סיום הקשר בלעדיה; על כל מי שנטל חלק במו"מ — צד, עובד חברה, מתווך; וממשיך בתקופת החוזה מכוח ס׳ 39.</w:t>
      </w:r>
    </w:p>
    <w:p>
      <w:pPr>
        <w:pStyle w:val="ListParagraph"/>
        <w:numPr>
          <w:ilvl w:val="0"/>
          <w:numId w:val="2"/>
        </w:numPr>
        <w:bidi/>
        <w:spacing w:after="60" w:line="276"/>
      </w:pPr>
      <w:r>
        <w:rPr>
          <w:rFonts w:ascii="Arial" w:cs="Arial" w:eastAsia="Arial" w:hAnsi="Arial"/>
          <w:b/>
          <w:bCs/>
          <w:i w:val="false"/>
          <w:iCs w:val="false"/>
          <w:color w:val="222222"/>
          <w:sz w:val="22"/>
          <w:szCs w:val="22"/>
          <w:rtl/>
        </w:rPr>
        <w:t xml:space="preserve">ניתן לתבוע: </w:t>
      </w:r>
      <w:r>
        <w:rPr>
          <w:rFonts w:ascii="Arial" w:cs="Arial" w:eastAsia="Arial" w:hAnsi="Arial"/>
          <w:b w:val="false"/>
          <w:bCs w:val="false"/>
          <w:i w:val="false"/>
          <w:iCs w:val="false"/>
          <w:color w:val="222222"/>
          <w:sz w:val="22"/>
          <w:szCs w:val="22"/>
          <w:rtl/>
        </w:rPr>
        <w:t xml:space="preserve">בין אם נכרת חוזה ובין אם לאו — וגם אם הנפגע בוחר להשאיר את החוזה בתוקפו.</w:t>
      </w:r>
    </w:p>
    <w:p>
      <w:pPr>
        <w:pStyle w:val="ListParagraph"/>
        <w:numPr>
          <w:ilvl w:val="0"/>
          <w:numId w:val="2"/>
        </w:numPr>
        <w:bidi/>
        <w:spacing w:after="60" w:line="276"/>
      </w:pPr>
      <w:r>
        <w:rPr>
          <w:rFonts w:ascii="Arial" w:cs="Arial" w:eastAsia="Arial" w:hAnsi="Arial"/>
          <w:b/>
          <w:bCs/>
          <w:i w:val="false"/>
          <w:iCs w:val="false"/>
          <w:color w:val="222222"/>
          <w:sz w:val="22"/>
          <w:szCs w:val="22"/>
          <w:rtl/>
        </w:rPr>
        <w:t xml:space="preserve">מצבים של חוסר תום לב: </w:t>
      </w:r>
      <w:r>
        <w:rPr>
          <w:rFonts w:ascii="Arial" w:cs="Arial" w:eastAsia="Arial" w:hAnsi="Arial"/>
          <w:b w:val="false"/>
          <w:bCs w:val="false"/>
          <w:i w:val="false"/>
          <w:iCs w:val="false"/>
          <w:color w:val="222222"/>
          <w:sz w:val="22"/>
          <w:szCs w:val="22"/>
          <w:rtl/>
        </w:rPr>
        <w:t xml:space="preserve">מו"מ מקביל תוך הסתרה (זעירא נ׳ קנית); כניסה למו"מ או ניהולו ללא כוונת התקשרות; פרישה ממו"מ שלא בתום לב; עריכת חוזה בלי לקיימו או בידיעה שיופר (קוט נ׳ ארגון הדיירים); הפרת חובת גילוי (פנידר נ׳ קסטרו).</w:t>
      </w:r>
    </w:p>
    <w:p>
      <w:pPr>
        <w:pStyle w:val="ListParagraph"/>
        <w:numPr>
          <w:ilvl w:val="0"/>
          <w:numId w:val="2"/>
        </w:numPr>
        <w:bidi/>
        <w:spacing w:after="60" w:line="276"/>
      </w:pPr>
      <w:r>
        <w:rPr>
          <w:rFonts w:ascii="Arial" w:cs="Arial" w:eastAsia="Arial" w:hAnsi="Arial"/>
          <w:b/>
          <w:bCs/>
          <w:i w:val="false"/>
          <w:iCs w:val="false"/>
          <w:color w:val="222222"/>
          <w:sz w:val="22"/>
          <w:szCs w:val="22"/>
          <w:rtl/>
        </w:rPr>
        <w:t xml:space="preserve">היקף חובת הגילוי — פרמטרים: </w:t>
      </w:r>
      <w:r>
        <w:rPr>
          <w:rFonts w:ascii="Arial" w:cs="Arial" w:eastAsia="Arial" w:hAnsi="Arial"/>
          <w:b w:val="false"/>
          <w:bCs w:val="false"/>
          <w:i w:val="false"/>
          <w:iCs w:val="false"/>
          <w:color w:val="222222"/>
          <w:sz w:val="22"/>
          <w:szCs w:val="22"/>
          <w:rtl/>
        </w:rPr>
        <w:t xml:space="preserve">זהות הצדדים, קלות השגת המידע, עלות השגתו, מומחיות הצד השני (מקביל להוראת ס׳ 15).</w:t>
      </w:r>
    </w:p>
    <w:p>
      <w:pPr>
        <w:pStyle w:val="ListParagraph"/>
        <w:numPr>
          <w:ilvl w:val="0"/>
          <w:numId w:val="2"/>
        </w:numPr>
        <w:bidi/>
        <w:spacing w:after="60" w:line="276"/>
      </w:pPr>
      <w:r>
        <w:rPr>
          <w:rFonts w:ascii="Arial" w:cs="Arial" w:eastAsia="Arial" w:hAnsi="Arial"/>
          <w:b/>
          <w:bCs/>
          <w:i w:val="false"/>
          <w:iCs w:val="false"/>
          <w:color w:val="222222"/>
          <w:sz w:val="22"/>
          <w:szCs w:val="22"/>
          <w:rtl/>
        </w:rPr>
        <w:t xml:space="preserve">הסעד (12(ב)): </w:t>
      </w:r>
      <w:r>
        <w:rPr>
          <w:rFonts w:ascii="Arial" w:cs="Arial" w:eastAsia="Arial" w:hAnsi="Arial"/>
          <w:b w:val="false"/>
          <w:bCs w:val="false"/>
          <w:i w:val="false"/>
          <w:iCs w:val="false"/>
          <w:color w:val="222222"/>
          <w:sz w:val="22"/>
          <w:szCs w:val="22"/>
          <w:rtl/>
        </w:rPr>
        <w:t xml:space="preserve">פיצויי הסתמכות (שליליים) — הוצאות המו"מ, שכ"ט עו"ד ורו"ח. חריג: פיצויים חיוביים (קיום) כשכל תנאי העסקה ידועים לחלוטין (קל בניין); לעיתים אכיפה (שיכון עובדים נ׳ זפניק). [מהשיעורים: קלמר נ׳ גיא — תו"ל קיצוני גובר על דרישת הכתב.]</w:t>
      </w:r>
    </w:p>
    <w:p>
      <w:pPr>
        <w:pStyle w:val="Heading2"/>
        <w:keepNext/>
        <w:bidi/>
        <w:spacing w:after="120" w:before="200" w:line="276"/>
      </w:pPr>
      <w:r>
        <w:rPr>
          <w:rFonts w:ascii="Arial" w:cs="Arial" w:eastAsia="Arial" w:hAnsi="Arial"/>
          <w:b/>
          <w:bCs/>
          <w:i w:val="false"/>
          <w:iCs w:val="false"/>
          <w:color w:val="2E5395"/>
          <w:sz w:val="27"/>
          <w:szCs w:val="27"/>
          <w:rtl/>
        </w:rPr>
        <w:t xml:space="preserve">3 · מצגת 2 — פגמים בכריתה (עד ס׳ 14(ב) + ס׳ 19–21)</w:t>
      </w:r>
    </w:p>
    <w:p>
      <w:pPr>
        <w:bidi/>
        <w:spacing w:after="120" w:before="0" w:line="276"/>
      </w:pPr>
      <w:r>
        <w:rPr>
          <w:rFonts w:ascii="Arial" w:cs="Arial" w:eastAsia="Arial" w:hAnsi="Arial"/>
          <w:b/>
          <w:bCs/>
          <w:i w:val="false"/>
          <w:iCs w:val="false"/>
          <w:color w:val="222222"/>
          <w:sz w:val="22"/>
          <w:szCs w:val="22"/>
          <w:rtl/>
        </w:rPr>
        <w:t xml:space="preserve">המסגרת: </w:t>
      </w:r>
      <w:r>
        <w:rPr>
          <w:rFonts w:ascii="Arial" w:cs="Arial" w:eastAsia="Arial" w:hAnsi="Arial"/>
          <w:b w:val="false"/>
          <w:bCs w:val="false"/>
          <w:i w:val="false"/>
          <w:iCs w:val="false"/>
          <w:color w:val="222222"/>
          <w:sz w:val="22"/>
          <w:szCs w:val="22"/>
          <w:rtl/>
        </w:rPr>
        <w:t xml:space="preserve">ארבע עילות — טעות (14), הטעיה (15), כפייה (17), עושק (18). הפגם מתגלה אחרי הכריתה; הסעד — ביטול חד-צדדי (14(א), 15, 17, 18) או באישור בית המשפט (14(ב)) + השבה (21). החוזה ניתן לביטול — לא בטל.</w:t>
      </w:r>
    </w:p>
    <w:p>
      <w:pPr>
        <w:pStyle w:val="Heading3"/>
        <w:keepNext/>
        <w:bidi/>
        <w:spacing w:after="80" w:before="140" w:line="276"/>
      </w:pPr>
      <w:r>
        <w:rPr>
          <w:rFonts w:ascii="Arial" w:cs="Arial" w:eastAsia="Arial" w:hAnsi="Arial"/>
          <w:b/>
          <w:bCs/>
          <w:i w:val="false"/>
          <w:iCs w:val="false"/>
          <w:color w:val="404040"/>
          <w:sz w:val="23"/>
          <w:szCs w:val="23"/>
          <w:rtl/>
        </w:rPr>
        <w:t xml:space="preserve">טעות (ס׳ 14) — נלמד</w:t>
      </w:r>
    </w:p>
    <w:p>
      <w:pPr>
        <w:pStyle w:val="ListParagraph"/>
        <w:numPr>
          <w:ilvl w:val="0"/>
          <w:numId w:val="2"/>
        </w:numPr>
        <w:bidi/>
        <w:spacing w:after="60" w:line="276"/>
      </w:pPr>
      <w:r>
        <w:rPr>
          <w:rFonts w:ascii="Arial" w:cs="Arial" w:eastAsia="Arial" w:hAnsi="Arial"/>
          <w:b/>
          <w:bCs/>
          <w:i w:val="false"/>
          <w:iCs w:val="false"/>
          <w:color w:val="222222"/>
          <w:sz w:val="22"/>
          <w:szCs w:val="22"/>
          <w:rtl/>
        </w:rPr>
        <w:t xml:space="preserve">הגדרה: </w:t>
      </w:r>
      <w:r>
        <w:rPr>
          <w:rFonts w:ascii="Arial" w:cs="Arial" w:eastAsia="Arial" w:hAnsi="Arial"/>
          <w:b w:val="false"/>
          <w:bCs w:val="false"/>
          <w:i w:val="false"/>
          <w:iCs w:val="false"/>
          <w:color w:val="222222"/>
          <w:sz w:val="22"/>
          <w:szCs w:val="22"/>
          <w:rtl/>
        </w:rPr>
        <w:t xml:space="preserve">"אמונה של צד לחוזה שאינה תואמת את המציאות" (שלו/שמגר, פס"ד רבינוביץ). מתייחסת להווה או לעבר — לא לעתיד.</w:t>
      </w:r>
    </w:p>
    <w:p>
      <w:pPr>
        <w:pStyle w:val="ListParagraph"/>
        <w:numPr>
          <w:ilvl w:val="0"/>
          <w:numId w:val="2"/>
        </w:numPr>
        <w:bidi/>
        <w:spacing w:after="60" w:line="276"/>
      </w:pPr>
      <w:r>
        <w:rPr>
          <w:rFonts w:ascii="Arial" w:cs="Arial" w:eastAsia="Arial" w:hAnsi="Arial"/>
          <w:b/>
          <w:bCs/>
          <w:i w:val="false"/>
          <w:iCs w:val="false"/>
          <w:color w:val="222222"/>
          <w:sz w:val="22"/>
          <w:szCs w:val="22"/>
          <w:rtl/>
        </w:rPr>
        <w:t xml:space="preserve">14(א) — טעות ידועה: </w:t>
      </w:r>
      <w:r>
        <w:rPr>
          <w:rFonts w:ascii="Arial" w:cs="Arial" w:eastAsia="Arial" w:hAnsi="Arial"/>
          <w:b w:val="false"/>
          <w:bCs w:val="false"/>
          <w:i w:val="false"/>
          <w:iCs w:val="false"/>
          <w:color w:val="222222"/>
          <w:sz w:val="22"/>
          <w:szCs w:val="22"/>
          <w:rtl/>
        </w:rPr>
        <w:t xml:space="preserve">יסודות: חוזה תקף; טעות (לא בכדאיות); קשר סיבתי; יסודיות (מבחן אובייקטיבי — "ניתן להניח שלולא הטעות לא היה מתקשר"); ידיעת הצד השני — בפועל (סובייקטיבית) או בכוח (אובייקטיבית, "היה עליו לדעת"). הסעד: ביטול עצמי בהודעה תוך זמן סביר (ס׳ 20) + השבה (ס׳ 21); כפוף לביטול חלקי (19) ולתיקון (14(ג)).</w:t>
      </w:r>
    </w:p>
    <w:p>
      <w:pPr>
        <w:pStyle w:val="ListParagraph"/>
        <w:numPr>
          <w:ilvl w:val="0"/>
          <w:numId w:val="2"/>
        </w:numPr>
        <w:bidi/>
        <w:spacing w:after="60" w:line="276"/>
      </w:pPr>
      <w:r>
        <w:rPr>
          <w:rFonts w:ascii="Arial" w:cs="Arial" w:eastAsia="Arial" w:hAnsi="Arial"/>
          <w:b/>
          <w:bCs/>
          <w:i w:val="false"/>
          <w:iCs w:val="false"/>
          <w:color w:val="222222"/>
          <w:sz w:val="22"/>
          <w:szCs w:val="22"/>
          <w:rtl/>
        </w:rPr>
        <w:t xml:space="preserve">14(ב) — טעות לא ידועה: </w:t>
      </w:r>
      <w:r>
        <w:rPr>
          <w:rFonts w:ascii="Arial" w:cs="Arial" w:eastAsia="Arial" w:hAnsi="Arial"/>
          <w:b w:val="false"/>
          <w:bCs w:val="false"/>
          <w:i w:val="false"/>
          <w:iCs w:val="false"/>
          <w:color w:val="222222"/>
          <w:sz w:val="22"/>
          <w:szCs w:val="22"/>
          <w:rtl/>
        </w:rPr>
        <w:t xml:space="preserve">אותם יסודות, אך הצד השני לא ידע ולא היה עליו לדעת. אין ביטול עצמי — רק ביהמ"ש, משיקולי צדק (נזק מול תועלת, רשלנות, אשם תורם), ורשאי לחייב את הטועה בפיצויים לצד השני. [מהשיעורים: טעות משותפת → 14(ב), זהבה כנען.]</w:t>
      </w:r>
    </w:p>
    <w:p>
      <w:pPr>
        <w:pStyle w:val="ListParagraph"/>
        <w:numPr>
          <w:ilvl w:val="0"/>
          <w:numId w:val="2"/>
        </w:numPr>
        <w:bidi/>
        <w:spacing w:after="60" w:line="276"/>
      </w:pPr>
      <w:r>
        <w:rPr>
          <w:rFonts w:ascii="Arial" w:cs="Arial" w:eastAsia="Arial" w:hAnsi="Arial"/>
          <w:b/>
          <w:bCs/>
          <w:i w:val="false"/>
          <w:iCs w:val="false"/>
          <w:color w:val="222222"/>
          <w:sz w:val="22"/>
          <w:szCs w:val="22"/>
          <w:rtl/>
        </w:rPr>
        <w:t xml:space="preserve">14(ג) — תיקון: </w:t>
      </w:r>
      <w:r>
        <w:rPr>
          <w:rFonts w:ascii="Arial" w:cs="Arial" w:eastAsia="Arial" w:hAnsi="Arial"/>
          <w:b w:val="false"/>
          <w:bCs w:val="false"/>
          <w:i w:val="false"/>
          <w:iCs w:val="false"/>
          <w:color w:val="222222"/>
          <w:sz w:val="22"/>
          <w:szCs w:val="22"/>
          <w:rtl/>
        </w:rPr>
        <w:t xml:space="preserve">אין ביטול אם ניתן לקיים בתיקון הטעות והצד השני הודיע לפני הביטול שמוכן לתקן.</w:t>
      </w:r>
    </w:p>
    <w:p>
      <w:pPr>
        <w:pStyle w:val="ListParagraph"/>
        <w:numPr>
          <w:ilvl w:val="0"/>
          <w:numId w:val="2"/>
        </w:numPr>
        <w:bidi/>
        <w:spacing w:after="60" w:line="276"/>
      </w:pPr>
      <w:r>
        <w:rPr>
          <w:rFonts w:ascii="Arial" w:cs="Arial" w:eastAsia="Arial" w:hAnsi="Arial"/>
          <w:b/>
          <w:bCs/>
          <w:i w:val="false"/>
          <w:iCs w:val="false"/>
          <w:color w:val="222222"/>
          <w:sz w:val="22"/>
          <w:szCs w:val="22"/>
          <w:rtl/>
        </w:rPr>
        <w:t xml:space="preserve">14(ד) — כדאיות העסקה: </w:t>
      </w:r>
      <w:r>
        <w:rPr>
          <w:rFonts w:ascii="Arial" w:cs="Arial" w:eastAsia="Arial" w:hAnsi="Arial"/>
          <w:b w:val="false"/>
          <w:bCs w:val="false"/>
          <w:i w:val="false"/>
          <w:iCs w:val="false"/>
          <w:color w:val="222222"/>
          <w:sz w:val="22"/>
          <w:szCs w:val="22"/>
          <w:rtl/>
        </w:rPr>
        <w:t xml:space="preserve">טעות שהיא אך ורק בכדאיות — אינה עילה: סיכון שנטל צד במודע, במפורש או מכללא, והתממש (פרידמן וכהן: מי שיודע שאין לו ידיעה על נתון ובכל זאת מתקשר — נטל את הסיכון). דוגמאות: תשואה/שווי עתידיים, קרקע שלא הופשרה, הסכם פשרה (בן לולו), מכר AS-IS (כרמל נ׳ טלמון). אבל טעות עובדתית על נתון קיים המשליך על שווי — כן טעות (ספקטור).</w:t>
      </w:r>
    </w:p>
    <w:p>
      <w:pPr>
        <w:pStyle w:val="Heading3"/>
        <w:keepNext/>
        <w:bidi/>
        <w:spacing w:after="80" w:before="140" w:line="276"/>
      </w:pPr>
      <w:r>
        <w:rPr>
          <w:rFonts w:ascii="Arial" w:cs="Arial" w:eastAsia="Arial" w:hAnsi="Arial"/>
          <w:b/>
          <w:bCs/>
          <w:i w:val="false"/>
          <w:iCs w:val="false"/>
          <w:color w:val="404040"/>
          <w:sz w:val="23"/>
          <w:szCs w:val="23"/>
          <w:rtl/>
        </w:rPr>
        <w:t xml:space="preserve">סעדים בשל פגם בכריתה (ס׳ 19–22) — נלמד</w:t>
      </w:r>
    </w:p>
    <w:p>
      <w:pPr>
        <w:pStyle w:val="ListParagraph"/>
        <w:numPr>
          <w:ilvl w:val="0"/>
          <w:numId w:val="2"/>
        </w:numPr>
        <w:bidi/>
        <w:spacing w:after="60" w:line="276"/>
      </w:pPr>
      <w:r>
        <w:rPr>
          <w:rFonts w:ascii="Arial" w:cs="Arial" w:eastAsia="Arial" w:hAnsi="Arial"/>
          <w:b/>
          <w:bCs/>
          <w:i w:val="false"/>
          <w:iCs w:val="false"/>
          <w:color w:val="222222"/>
          <w:sz w:val="22"/>
          <w:szCs w:val="22"/>
          <w:rtl/>
        </w:rPr>
        <w:t xml:space="preserve">ביטול חלקי (19): </w:t>
      </w:r>
      <w:r>
        <w:rPr>
          <w:rFonts w:ascii="Arial" w:cs="Arial" w:eastAsia="Arial" w:hAnsi="Arial"/>
          <w:b w:val="false"/>
          <w:bCs w:val="false"/>
          <w:i w:val="false"/>
          <w:iCs w:val="false"/>
          <w:color w:val="222222"/>
          <w:sz w:val="22"/>
          <w:szCs w:val="22"/>
          <w:rtl/>
        </w:rPr>
        <w:t xml:space="preserve">חוזה הניתן להפרדה והעילה בחלק אחד — מבטלים אותו בלבד; אם המתקשר לא היה נכנס לעסקה בלעדיו — רשאי לבטל הכול. אם אין יחידה שלמה הניתנת להפרדה — הברירה היא ביטול החוזה כולו (די וורולי סיאני נ׳ מינהל מקרקעי ישראל).</w:t>
      </w:r>
    </w:p>
    <w:p>
      <w:pPr>
        <w:pStyle w:val="ListParagraph"/>
        <w:numPr>
          <w:ilvl w:val="0"/>
          <w:numId w:val="2"/>
        </w:numPr>
        <w:bidi/>
        <w:spacing w:after="60" w:line="276"/>
      </w:pPr>
      <w:r>
        <w:rPr>
          <w:rFonts w:ascii="Arial" w:cs="Arial" w:eastAsia="Arial" w:hAnsi="Arial"/>
          <w:b/>
          <w:bCs/>
          <w:i w:val="false"/>
          <w:iCs w:val="false"/>
          <w:color w:val="222222"/>
          <w:sz w:val="22"/>
          <w:szCs w:val="22"/>
          <w:rtl/>
        </w:rPr>
        <w:t xml:space="preserve">דרך הביטול (20): </w:t>
      </w:r>
      <w:r>
        <w:rPr>
          <w:rFonts w:ascii="Arial" w:cs="Arial" w:eastAsia="Arial" w:hAnsi="Arial"/>
          <w:b w:val="false"/>
          <w:bCs w:val="false"/>
          <w:i w:val="false"/>
          <w:iCs w:val="false"/>
          <w:color w:val="222222"/>
          <w:sz w:val="22"/>
          <w:szCs w:val="22"/>
          <w:rtl/>
        </w:rPr>
        <w:t xml:space="preserve">הודעה — אף משתמעת — תוך זמן סביר מגילוי העילה (בכפייה: משפסקה הכפייה).</w:t>
      </w:r>
    </w:p>
    <w:p>
      <w:pPr>
        <w:pStyle w:val="ListParagraph"/>
        <w:numPr>
          <w:ilvl w:val="0"/>
          <w:numId w:val="2"/>
        </w:numPr>
        <w:bidi/>
        <w:spacing w:after="60" w:line="276"/>
      </w:pPr>
      <w:r>
        <w:rPr>
          <w:rFonts w:ascii="Arial" w:cs="Arial" w:eastAsia="Arial" w:hAnsi="Arial"/>
          <w:b/>
          <w:bCs/>
          <w:i w:val="false"/>
          <w:iCs w:val="false"/>
          <w:color w:val="222222"/>
          <w:sz w:val="22"/>
          <w:szCs w:val="22"/>
          <w:rtl/>
        </w:rPr>
        <w:t xml:space="preserve">השבה (21): </w:t>
      </w:r>
      <w:r>
        <w:rPr>
          <w:rFonts w:ascii="Arial" w:cs="Arial" w:eastAsia="Arial" w:hAnsi="Arial"/>
          <w:b w:val="false"/>
          <w:bCs w:val="false"/>
          <w:i w:val="false"/>
          <w:iCs w:val="false"/>
          <w:color w:val="222222"/>
          <w:sz w:val="22"/>
          <w:szCs w:val="22"/>
          <w:rtl/>
        </w:rPr>
        <w:t xml:space="preserve">הדדית; בעין, ואם בלתי אפשרית או בלתי סבירה — השבת שווי.</w:t>
      </w:r>
    </w:p>
    <w:p>
      <w:pPr>
        <w:pStyle w:val="ListParagraph"/>
        <w:numPr>
          <w:ilvl w:val="0"/>
          <w:numId w:val="2"/>
        </w:numPr>
        <w:bidi/>
        <w:spacing w:after="60" w:line="276"/>
      </w:pPr>
      <w:r>
        <w:rPr>
          <w:rFonts w:ascii="Arial" w:cs="Arial" w:eastAsia="Arial" w:hAnsi="Arial"/>
          <w:b/>
          <w:bCs/>
          <w:i w:val="false"/>
          <w:iCs w:val="false"/>
          <w:color w:val="222222"/>
          <w:sz w:val="22"/>
          <w:szCs w:val="22"/>
          <w:rtl/>
        </w:rPr>
        <w:t xml:space="preserve">שמירת תרופות (22): </w:t>
      </w:r>
      <w:r>
        <w:rPr>
          <w:rFonts w:ascii="Arial" w:cs="Arial" w:eastAsia="Arial" w:hAnsi="Arial"/>
          <w:b w:val="false"/>
          <w:bCs w:val="false"/>
          <w:i w:val="false"/>
          <w:iCs w:val="false"/>
          <w:color w:val="222222"/>
          <w:sz w:val="22"/>
          <w:szCs w:val="22"/>
          <w:rtl/>
        </w:rPr>
        <w:t xml:space="preserve">אפשר לצרף סעדים — למשל פיצויי הסתמכות מכוח ס׳ 12 בנוסף לביטול ולהשבה.</w:t>
      </w:r>
    </w:p>
    <w:p>
      <w:pPr>
        <w:shd w:fill="FFF6E0" w:val="clear"/>
        <w:bidi/>
        <w:spacing w:after="120" w:before="0" w:line="276"/>
        <w:ind w:left="150" w:right="150"/>
      </w:pPr>
      <w:r>
        <w:rPr>
          <w:rFonts w:ascii="Arial" w:cs="Arial" w:eastAsia="Arial" w:hAnsi="Arial"/>
          <w:b/>
          <w:bCs/>
          <w:i w:val="false"/>
          <w:iCs w:val="false"/>
          <w:color w:val="222222"/>
          <w:sz w:val="22"/>
          <w:szCs w:val="22"/>
          <w:rtl/>
        </w:rPr>
        <w:t xml:space="preserve">הטעיה (ס׳ 15) — צפוי להילמד ב-1.9: </w:t>
      </w:r>
      <w:r>
        <w:rPr>
          <w:rFonts w:ascii="Arial" w:cs="Arial" w:eastAsia="Arial" w:hAnsi="Arial"/>
          <w:b w:val="false"/>
          <w:bCs w:val="false"/>
          <w:i w:val="false"/>
          <w:iCs w:val="false"/>
          <w:color w:val="222222"/>
          <w:sz w:val="22"/>
          <w:szCs w:val="22"/>
          <w:rtl/>
        </w:rPr>
        <w:t xml:space="preserve">מצג שווא, העלמת מידע או הצהרה כוזבת בשלב הטרום-חוזי (בכתב, בע"פ או בהתנהגות), ע"י הצד השני או מטעמו. יסודות: חוזה; הטעיה אקטיבית ("שתילת מידע מוטעה") או פסיבית (אי-גילוי שחובה לגלות לפי דין, נסיבות או נוהג); טעות אצל המתקשר (לא בכדאיות); קשר סיבתי כפול (הטעיה ← טעות ← התקשרות). הסעד: ביטול עצמי (20) + השבה (21); כפוף לביטול חלקי (19). אי-גילוי מהותי = גם חוסר תו"ל (12) וגם הטעיה (15). פירוט נוסף — בנספח.</w:t>
      </w:r>
    </w:p>
    <w:p>
      <w:r>
        <w:br w:type="page"/>
      </w:r>
    </w:p>
    <w:p>
      <w:pPr>
        <w:pStyle w:val="Heading1"/>
        <w:keepNext/>
        <w:bidi/>
        <w:spacing w:after="160" w:before="240" w:line="276"/>
      </w:pPr>
      <w:r>
        <w:rPr>
          <w:rFonts w:ascii="Arial" w:cs="Arial" w:eastAsia="Arial" w:hAnsi="Arial"/>
          <w:b/>
          <w:bCs/>
          <w:i w:val="false"/>
          <w:iCs w:val="false"/>
          <w:color w:val="1F3864"/>
          <w:sz w:val="32"/>
          <w:szCs w:val="32"/>
          <w:rtl/>
        </w:rPr>
        <w:t xml:space="preserve">חלק ו׳ — הבוחן של הכיתה המקבילה (20.5) + פתרון מלא</w:t>
      </w:r>
    </w:p>
    <w:p>
      <w:pPr>
        <w:bidi/>
        <w:spacing w:after="120" w:before="0" w:line="276"/>
      </w:pPr>
      <w:r>
        <w:rPr>
          <w:rFonts w:ascii="Arial" w:cs="Arial" w:eastAsia="Arial" w:hAnsi="Arial"/>
          <w:b w:val="false"/>
          <w:bCs w:val="false"/>
          <w:i/>
          <w:iCs/>
          <w:color w:val="222222"/>
          <w:sz w:val="22"/>
          <w:szCs w:val="22"/>
          <w:rtl/>
        </w:rPr>
        <w:t xml:space="preserve">חמשת ההיגדים שנשאלו בפועל. נסו לענות לפני שמציצים בפתרון:</w:t>
      </w:r>
    </w:p>
    <w:p>
      <w:pPr>
        <w:bidi/>
        <w:spacing w:after="40" w:before="120" w:line="276"/>
      </w:pPr>
      <w:r>
        <w:rPr>
          <w:rFonts w:ascii="Arial" w:cs="Arial" w:eastAsia="Arial" w:hAnsi="Arial"/>
          <w:b/>
          <w:bCs/>
          <w:i w:val="false"/>
          <w:iCs w:val="false"/>
          <w:color w:val="222222"/>
          <w:sz w:val="22"/>
          <w:szCs w:val="22"/>
          <w:rtl/>
        </w:rPr>
        <w:t xml:space="preserve">1. </w:t>
      </w:r>
      <w:r>
        <w:rPr>
          <w:rFonts w:ascii="Arial" w:cs="Arial" w:eastAsia="Arial" w:hAnsi="Arial"/>
          <w:b/>
          <w:bCs/>
          <w:i w:val="false"/>
          <w:iCs w:val="false"/>
          <w:color w:val="222222"/>
          <w:sz w:val="22"/>
          <w:szCs w:val="22"/>
          <w:rtl/>
        </w:rPr>
        <w:t xml:space="preserve">הסעד של הפרת חובת תום לב במשא ומתן הוא ביטול החוזה או פיצויים לבחירת הנפגע.</w:t>
      </w:r>
    </w:p>
    <w:p>
      <w:pPr>
        <w:shd w:fill="F5F5F0" w:val="clear"/>
        <w:bidi/>
        <w:spacing w:after="140" w:before="0" w:line="276"/>
        <w:ind w:left="150" w:right="150"/>
      </w:pPr>
      <w:r>
        <w:rPr>
          <w:rFonts w:ascii="Arial" w:cs="Arial" w:eastAsia="Arial" w:hAnsi="Arial"/>
          <w:b/>
          <w:bCs/>
          <w:i w:val="false"/>
          <w:iCs w:val="false"/>
          <w:color w:val="B02A2A"/>
          <w:sz w:val="22"/>
          <w:szCs w:val="22"/>
          <w:rtl/>
        </w:rPr>
        <w:t xml:space="preserve">לא נכון — </w:t>
      </w:r>
      <w:r>
        <w:rPr>
          <w:rFonts w:ascii="Arial" w:cs="Arial" w:eastAsia="Arial" w:hAnsi="Arial"/>
          <w:b w:val="false"/>
          <w:bCs w:val="false"/>
          <w:i w:val="false"/>
          <w:iCs w:val="false"/>
          <w:color w:val="222222"/>
          <w:sz w:val="22"/>
          <w:szCs w:val="22"/>
          <w:rtl/>
        </w:rPr>
        <w:t xml:space="preserve">הסעד הקבוע בס׳ 12(ב) הוא פיצויים — ככלל פיצויי הסתמכות, ובחריגים פיצויי קיום (קל בניין) או אכיפה (זפניק). ביטול חוזה אינו הסעד — פעמים רבות כלל לא נכרת חוזה, וניתן לתבוע גם כשהחוזה נשאר בתוקף.</w:t>
      </w:r>
    </w:p>
    <w:p>
      <w:pPr>
        <w:bidi/>
        <w:spacing w:after="40" w:before="120" w:line="276"/>
      </w:pPr>
      <w:r>
        <w:rPr>
          <w:rFonts w:ascii="Arial" w:cs="Arial" w:eastAsia="Arial" w:hAnsi="Arial"/>
          <w:b/>
          <w:bCs/>
          <w:i w:val="false"/>
          <w:iCs w:val="false"/>
          <w:color w:val="222222"/>
          <w:sz w:val="22"/>
          <w:szCs w:val="22"/>
          <w:rtl/>
        </w:rPr>
        <w:t xml:space="preserve">2. </w:t>
      </w:r>
      <w:r>
        <w:rPr>
          <w:rFonts w:ascii="Arial" w:cs="Arial" w:eastAsia="Arial" w:hAnsi="Arial"/>
          <w:b/>
          <w:bCs/>
          <w:i w:val="false"/>
          <w:iCs w:val="false"/>
          <w:color w:val="222222"/>
          <w:sz w:val="22"/>
          <w:szCs w:val="22"/>
          <w:rtl/>
        </w:rPr>
        <w:t xml:space="preserve">שלומי הציע פרס למי שימצא את העגיל שאיבד בכיתה בבר אילן. יוסי יצא לחפש את העגיל. שלומי אינו רשאי כבר להתחרט מההצעה.</w:t>
      </w:r>
    </w:p>
    <w:p>
      <w:pPr>
        <w:shd w:fill="F5F5F0" w:val="clear"/>
        <w:bidi/>
        <w:spacing w:after="20" w:before="0" w:line="276"/>
        <w:ind w:left="150" w:right="150"/>
      </w:pPr>
      <w:r>
        <w:rPr>
          <w:rFonts w:ascii="Arial" w:cs="Arial" w:eastAsia="Arial" w:hAnsi="Arial"/>
          <w:b/>
          <w:bCs/>
          <w:i w:val="false"/>
          <w:iCs w:val="false"/>
          <w:color w:val="1E7B34"/>
          <w:sz w:val="22"/>
          <w:szCs w:val="22"/>
          <w:rtl/>
        </w:rPr>
        <w:t xml:space="preserve">נכון — </w:t>
      </w:r>
      <w:r>
        <w:rPr>
          <w:rFonts w:ascii="Arial" w:cs="Arial" w:eastAsia="Arial" w:hAnsi="Arial"/>
          <w:b w:val="false"/>
          <w:bCs w:val="false"/>
          <w:i w:val="false"/>
          <w:iCs w:val="false"/>
          <w:color w:val="222222"/>
          <w:sz w:val="22"/>
          <w:szCs w:val="22"/>
          <w:rtl/>
        </w:rPr>
        <w:t xml:space="preserve">הצעה לציבור (ס׳ 2 סיפא) שקיבולה במעשה לביצוע החוזה (ס׳ 6(א)). לפי סיפת ס׳ 6(א), לעניין ס׳ 3(א) דין ההתנהגות כדין הודעת קיבול — משהחל יוסי בביצוע (יצא לחפש), שלומי אינו רשאי עוד לחזור בו כלפיו.</w:t>
      </w:r>
    </w:p>
    <w:p>
      <w:pPr>
        <w:shd w:fill="F5F5F0" w:val="clear"/>
        <w:bidi/>
        <w:spacing w:after="140" w:before="0" w:line="276"/>
        <w:ind w:left="150" w:right="150"/>
      </w:pPr>
      <w:r>
        <w:rPr>
          <w:rFonts w:ascii="Arial" w:cs="Arial" w:eastAsia="Arial" w:hAnsi="Arial"/>
          <w:b w:val="false"/>
          <w:bCs w:val="false"/>
          <w:i w:val="false"/>
          <w:iCs w:val="false"/>
          <w:color w:val="555555"/>
          <w:sz w:val="20"/>
          <w:szCs w:val="20"/>
          <w:rtl/>
        </w:rPr>
        <w:t xml:space="preserve">השוו פ"ד קוזלי: חזרה מהצעת פרס דורשת כוונה + הודעה שפורסמה בדרך מקבילה לפרסום ההצעה — וכלפי מי שכבר החל לפעול, מאוחר מדי.</w:t>
      </w:r>
    </w:p>
    <w:p>
      <w:pPr>
        <w:bidi/>
        <w:spacing w:after="40" w:before="120" w:line="276"/>
      </w:pPr>
      <w:r>
        <w:rPr>
          <w:rFonts w:ascii="Arial" w:cs="Arial" w:eastAsia="Arial" w:hAnsi="Arial"/>
          <w:b/>
          <w:bCs/>
          <w:i w:val="false"/>
          <w:iCs w:val="false"/>
          <w:color w:val="222222"/>
          <w:sz w:val="22"/>
          <w:szCs w:val="22"/>
          <w:rtl/>
        </w:rPr>
        <w:t xml:space="preserve">3. </w:t>
      </w:r>
      <w:r>
        <w:rPr>
          <w:rFonts w:ascii="Arial" w:cs="Arial" w:eastAsia="Arial" w:hAnsi="Arial"/>
          <w:b/>
          <w:bCs/>
          <w:i w:val="false"/>
          <w:iCs w:val="false"/>
          <w:color w:val="222222"/>
          <w:sz w:val="22"/>
          <w:szCs w:val="22"/>
          <w:rtl/>
        </w:rPr>
        <w:t xml:space="preserve">זיכרון דברים יכול להיחשב לחוזה במקרקעין.</w:t>
      </w:r>
    </w:p>
    <w:p>
      <w:pPr>
        <w:shd w:fill="F5F5F0" w:val="clear"/>
        <w:bidi/>
        <w:spacing w:after="140" w:before="0" w:line="276"/>
        <w:ind w:left="150" w:right="150"/>
      </w:pPr>
      <w:r>
        <w:rPr>
          <w:rFonts w:ascii="Arial" w:cs="Arial" w:eastAsia="Arial" w:hAnsi="Arial"/>
          <w:b/>
          <w:bCs/>
          <w:i w:val="false"/>
          <w:iCs w:val="false"/>
          <w:color w:val="1E7B34"/>
          <w:sz w:val="22"/>
          <w:szCs w:val="22"/>
          <w:rtl/>
        </w:rPr>
        <w:t xml:space="preserve">נכון — </w:t>
      </w:r>
      <w:r>
        <w:rPr>
          <w:rFonts w:ascii="Arial" w:cs="Arial" w:eastAsia="Arial" w:hAnsi="Arial"/>
          <w:b w:val="false"/>
          <w:bCs w:val="false"/>
          <w:i w:val="false"/>
          <w:iCs w:val="false"/>
          <w:color w:val="222222"/>
          <w:sz w:val="22"/>
          <w:szCs w:val="22"/>
          <w:rtl/>
        </w:rPr>
        <w:t xml:space="preserve">לפי הלכת רבינאי נ׳ מן שקד (ע"א 158/77), זיכרון דברים שיש בו גמירת דעת של שני הצדדים ומסוימות (הפרטים המהותיים) הוא חוזה מחייב, והמסמך הכתוב ממלא גם את דרישת הכתב שבס׳ 8 לחוק המקרקעין.</w:t>
      </w:r>
    </w:p>
    <w:p>
      <w:pPr>
        <w:bidi/>
        <w:spacing w:after="40" w:before="120" w:line="276"/>
      </w:pPr>
      <w:r>
        <w:rPr>
          <w:rFonts w:ascii="Arial" w:cs="Arial" w:eastAsia="Arial" w:hAnsi="Arial"/>
          <w:b/>
          <w:bCs/>
          <w:i w:val="false"/>
          <w:iCs w:val="false"/>
          <w:color w:val="222222"/>
          <w:sz w:val="22"/>
          <w:szCs w:val="22"/>
          <w:rtl/>
        </w:rPr>
        <w:t xml:space="preserve">4. </w:t>
      </w:r>
      <w:r>
        <w:rPr>
          <w:rFonts w:ascii="Arial" w:cs="Arial" w:eastAsia="Arial" w:hAnsi="Arial"/>
          <w:b/>
          <w:bCs/>
          <w:i w:val="false"/>
          <w:iCs w:val="false"/>
          <w:color w:val="222222"/>
          <w:sz w:val="22"/>
          <w:szCs w:val="22"/>
          <w:rtl/>
        </w:rPr>
        <w:t xml:space="preserve">כאשר מציע מת לפני מתן הודעת קיבול ההצעה פוקעת.</w:t>
      </w:r>
    </w:p>
    <w:p>
      <w:pPr>
        <w:shd w:fill="F5F5F0" w:val="clear"/>
        <w:bidi/>
        <w:spacing w:after="140" w:before="0" w:line="276"/>
        <w:ind w:left="150" w:right="150"/>
      </w:pPr>
      <w:r>
        <w:rPr>
          <w:rFonts w:ascii="Arial" w:cs="Arial" w:eastAsia="Arial" w:hAnsi="Arial"/>
          <w:b/>
          <w:bCs/>
          <w:i w:val="false"/>
          <w:iCs w:val="false"/>
          <w:color w:val="1E7B34"/>
          <w:sz w:val="22"/>
          <w:szCs w:val="22"/>
          <w:rtl/>
        </w:rPr>
        <w:t xml:space="preserve">נכון — </w:t>
      </w:r>
      <w:r>
        <w:rPr>
          <w:rFonts w:ascii="Arial" w:cs="Arial" w:eastAsia="Arial" w:hAnsi="Arial"/>
          <w:b w:val="false"/>
          <w:bCs w:val="false"/>
          <w:i w:val="false"/>
          <w:iCs w:val="false"/>
          <w:color w:val="222222"/>
          <w:sz w:val="22"/>
          <w:szCs w:val="22"/>
          <w:rtl/>
        </w:rPr>
        <w:t xml:space="preserve">ס׳ 4(2) לחוק החוזים: ההצעה פוקעת כשמת המציע או הניצע לפני מתן הודעת הקיבול. (אם המוות אחרי מתן ההודעה — החוזה נכרת ומחייב את היורשים.)</w:t>
      </w:r>
    </w:p>
    <w:p>
      <w:pPr>
        <w:bidi/>
        <w:spacing w:after="40" w:before="120" w:line="276"/>
      </w:pPr>
      <w:r>
        <w:rPr>
          <w:rFonts w:ascii="Arial" w:cs="Arial" w:eastAsia="Arial" w:hAnsi="Arial"/>
          <w:b/>
          <w:bCs/>
          <w:i w:val="false"/>
          <w:iCs w:val="false"/>
          <w:color w:val="222222"/>
          <w:sz w:val="22"/>
          <w:szCs w:val="22"/>
          <w:rtl/>
        </w:rPr>
        <w:t xml:space="preserve">5. </w:t>
      </w:r>
      <w:r>
        <w:rPr>
          <w:rFonts w:ascii="Arial" w:cs="Arial" w:eastAsia="Arial" w:hAnsi="Arial"/>
          <w:b/>
          <w:bCs/>
          <w:i w:val="false"/>
          <w:iCs w:val="false"/>
          <w:color w:val="222222"/>
          <w:sz w:val="22"/>
          <w:szCs w:val="22"/>
          <w:rtl/>
        </w:rPr>
        <w:t xml:space="preserve">ניתן להשלים מכוח הנוהג כל פרט חסר בזיכרון דברים.</w:t>
      </w:r>
    </w:p>
    <w:p>
      <w:pPr>
        <w:shd w:fill="F5F5F0" w:val="clear"/>
        <w:bidi/>
        <w:spacing w:after="140" w:before="0" w:line="276"/>
        <w:ind w:left="150" w:right="150"/>
      </w:pPr>
      <w:r>
        <w:rPr>
          <w:rFonts w:ascii="Arial" w:cs="Arial" w:eastAsia="Arial" w:hAnsi="Arial"/>
          <w:b/>
          <w:bCs/>
          <w:i w:val="false"/>
          <w:iCs w:val="false"/>
          <w:color w:val="B02A2A"/>
          <w:sz w:val="22"/>
          <w:szCs w:val="22"/>
          <w:rtl/>
        </w:rPr>
        <w:t xml:space="preserve">לא נכון — </w:t>
      </w:r>
      <w:r>
        <w:rPr>
          <w:rFonts w:ascii="Arial" w:cs="Arial" w:eastAsia="Arial" w:hAnsi="Arial"/>
          <w:b w:val="false"/>
          <w:bCs w:val="false"/>
          <w:i w:val="false"/>
          <w:iCs w:val="false"/>
          <w:color w:val="222222"/>
          <w:sz w:val="22"/>
          <w:szCs w:val="22"/>
          <w:rtl/>
        </w:rPr>
        <w:t xml:space="preserve">השלמה (ס׳ 26) אפשרית רק לפרטים שאינם מעיקרי הדברים — מכוח נוהג בין הצדדים, נוהג מקובל או הוראות החוק המשלימות (ס׳ 41–46). בהעדר עיקרי הדברים אין מסוימות ואין חוזה כלל — ואין מה להשלים. המילה "כל" היא המלכודת.</w:t>
      </w:r>
    </w:p>
    <w:p>
      <w:r>
        <w:br w:type="page"/>
      </w:r>
    </w:p>
    <w:p>
      <w:pPr>
        <w:pStyle w:val="Heading1"/>
        <w:keepNext/>
        <w:bidi/>
        <w:spacing w:after="160" w:before="240" w:line="276"/>
      </w:pPr>
      <w:r>
        <w:rPr>
          <w:rFonts w:ascii="Arial" w:cs="Arial" w:eastAsia="Arial" w:hAnsi="Arial"/>
          <w:b/>
          <w:bCs/>
          <w:i w:val="false"/>
          <w:iCs w:val="false"/>
          <w:color w:val="1F3864"/>
          <w:sz w:val="32"/>
          <w:szCs w:val="32"/>
          <w:rtl/>
        </w:rPr>
        <w:t xml:space="preserve">חלק ז׳ — מאגר תרגול: 30 היגדים עם פתרונות</w:t>
      </w:r>
    </w:p>
    <w:p>
      <w:pPr>
        <w:bidi/>
        <w:spacing w:after="120" w:before="0" w:line="276"/>
      </w:pPr>
      <w:r>
        <w:rPr>
          <w:rFonts w:ascii="Arial" w:cs="Arial" w:eastAsia="Arial" w:hAnsi="Arial"/>
          <w:b w:val="false"/>
          <w:bCs w:val="false"/>
          <w:i/>
          <w:iCs/>
          <w:color w:val="222222"/>
          <w:sz w:val="22"/>
          <w:szCs w:val="22"/>
          <w:rtl/>
        </w:rPr>
        <w:t xml:space="preserve">היגדים 1–10 מקבצי התרגול הרשמיים ומשאלות הבונוס באתר; 11–26 נכתבו באותו סגנון על החומר שבהיקף; 27–30 על חומר הנספח (מסומנים). מומלץ לענות בכתב לפי התבנית ורק אז לבדוק.</w:t>
      </w:r>
    </w:p>
    <w:p>
      <w:pPr>
        <w:pStyle w:val="Heading2"/>
        <w:keepNext/>
        <w:bidi/>
        <w:spacing w:after="120" w:before="200" w:line="276"/>
      </w:pPr>
      <w:r>
        <w:rPr>
          <w:rFonts w:ascii="Arial" w:cs="Arial" w:eastAsia="Arial" w:hAnsi="Arial"/>
          <w:b/>
          <w:bCs/>
          <w:i w:val="false"/>
          <w:iCs w:val="false"/>
          <w:color w:val="2E5395"/>
          <w:sz w:val="27"/>
          <w:szCs w:val="27"/>
          <w:rtl/>
        </w:rPr>
        <w:t xml:space="preserve">מהתרגולים ומאתר הקורס</w:t>
      </w:r>
    </w:p>
    <w:p>
      <w:pPr>
        <w:bidi/>
        <w:spacing w:after="40" w:before="120" w:line="276"/>
      </w:pPr>
      <w:r>
        <w:rPr>
          <w:rFonts w:ascii="Arial" w:cs="Arial" w:eastAsia="Arial" w:hAnsi="Arial"/>
          <w:b/>
          <w:bCs/>
          <w:i w:val="false"/>
          <w:iCs w:val="false"/>
          <w:color w:val="222222"/>
          <w:sz w:val="22"/>
          <w:szCs w:val="22"/>
          <w:rtl/>
        </w:rPr>
        <w:t xml:space="preserve">1. </w:t>
      </w:r>
      <w:r>
        <w:rPr>
          <w:rFonts w:ascii="Arial" w:cs="Arial" w:eastAsia="Arial" w:hAnsi="Arial"/>
          <w:b/>
          <w:bCs/>
          <w:i w:val="false"/>
          <w:iCs w:val="false"/>
          <w:color w:val="222222"/>
          <w:sz w:val="22"/>
          <w:szCs w:val="22"/>
          <w:rtl/>
        </w:rPr>
        <w:t xml:space="preserve">החובה לנהוג בתום לב במשא ומתן חלה על כל מי שמשתתף במשא ומתן, גם אם בסוף הוא לא יהיה צד לחוזה הצפוי.</w:t>
      </w:r>
    </w:p>
    <w:p>
      <w:pPr>
        <w:shd w:fill="F5F5F0" w:val="clear"/>
        <w:bidi/>
        <w:spacing w:after="140" w:before="0" w:line="276"/>
        <w:ind w:left="150" w:right="150"/>
      </w:pPr>
      <w:r>
        <w:rPr>
          <w:rFonts w:ascii="Arial" w:cs="Arial" w:eastAsia="Arial" w:hAnsi="Arial"/>
          <w:b/>
          <w:bCs/>
          <w:i w:val="false"/>
          <w:iCs w:val="false"/>
          <w:color w:val="1E7B34"/>
          <w:sz w:val="22"/>
          <w:szCs w:val="22"/>
          <w:rtl/>
        </w:rPr>
        <w:t xml:space="preserve">נכון — </w:t>
      </w:r>
      <w:r>
        <w:rPr>
          <w:rFonts w:ascii="Arial" w:cs="Arial" w:eastAsia="Arial" w:hAnsi="Arial"/>
          <w:b w:val="false"/>
          <w:bCs w:val="false"/>
          <w:i w:val="false"/>
          <w:iCs w:val="false"/>
          <w:color w:val="222222"/>
          <w:sz w:val="22"/>
          <w:szCs w:val="22"/>
          <w:rtl/>
        </w:rPr>
        <w:t xml:space="preserve">ס׳ 12(א) מחיל את החובה על כל מי שנטל חלק במו"מ — צד להסכם, עובד חברה, מתווך וכדומה — ללא תלות בשאלה אם יהיה צד לחוזה או אם ייכרת חוזה בכלל.</w:t>
      </w:r>
    </w:p>
    <w:p>
      <w:pPr>
        <w:bidi/>
        <w:spacing w:after="40" w:before="120" w:line="276"/>
      </w:pPr>
      <w:r>
        <w:rPr>
          <w:rFonts w:ascii="Arial" w:cs="Arial" w:eastAsia="Arial" w:hAnsi="Arial"/>
          <w:b/>
          <w:bCs/>
          <w:i w:val="false"/>
          <w:iCs w:val="false"/>
          <w:color w:val="222222"/>
          <w:sz w:val="22"/>
          <w:szCs w:val="22"/>
          <w:rtl/>
        </w:rPr>
        <w:t xml:space="preserve">2. </w:t>
      </w:r>
      <w:r>
        <w:rPr>
          <w:rFonts w:ascii="Arial" w:cs="Arial" w:eastAsia="Arial" w:hAnsi="Arial"/>
          <w:b/>
          <w:bCs/>
          <w:i w:val="false"/>
          <w:iCs w:val="false"/>
          <w:color w:val="222222"/>
          <w:sz w:val="22"/>
          <w:szCs w:val="22"/>
          <w:rtl/>
        </w:rPr>
        <w:t xml:space="preserve">מודעה הקובעת כי התמורה עבור רכב היא בהתאם למחירון לוי יצחק אינה נחשבת הצעה כיוון שאין מסוימות.</w:t>
      </w:r>
    </w:p>
    <w:p>
      <w:pPr>
        <w:shd w:fill="F5F5F0" w:val="clear"/>
        <w:bidi/>
        <w:spacing w:after="140" w:before="0" w:line="276"/>
        <w:ind w:left="150" w:right="150"/>
      </w:pPr>
      <w:r>
        <w:rPr>
          <w:rFonts w:ascii="Arial" w:cs="Arial" w:eastAsia="Arial" w:hAnsi="Arial"/>
          <w:b/>
          <w:bCs/>
          <w:i w:val="false"/>
          <w:iCs w:val="false"/>
          <w:color w:val="B02A2A"/>
          <w:sz w:val="22"/>
          <w:szCs w:val="22"/>
          <w:rtl/>
        </w:rPr>
        <w:t xml:space="preserve">לא נכון — </w:t>
      </w:r>
      <w:r>
        <w:rPr>
          <w:rFonts w:ascii="Arial" w:cs="Arial" w:eastAsia="Arial" w:hAnsi="Arial"/>
          <w:b w:val="false"/>
          <w:bCs w:val="false"/>
          <w:i w:val="false"/>
          <w:iCs w:val="false"/>
          <w:color w:val="222222"/>
          <w:sz w:val="22"/>
          <w:szCs w:val="22"/>
          <w:rtl/>
        </w:rPr>
        <w:t xml:space="preserve">דרישת המסוימות מסתפקת בעיקרי הדברים (זנדבנק נ׳ דנציגר), והפניה למחירון שקולה לנקיבת מחיר. מדובר בהצעה לפי ס׳ 2.</w:t>
      </w:r>
    </w:p>
    <w:p>
      <w:pPr>
        <w:bidi/>
        <w:spacing w:after="40" w:before="120" w:line="276"/>
      </w:pPr>
      <w:r>
        <w:rPr>
          <w:rFonts w:ascii="Arial" w:cs="Arial" w:eastAsia="Arial" w:hAnsi="Arial"/>
          <w:b/>
          <w:bCs/>
          <w:i w:val="false"/>
          <w:iCs w:val="false"/>
          <w:color w:val="222222"/>
          <w:sz w:val="22"/>
          <w:szCs w:val="22"/>
          <w:rtl/>
        </w:rPr>
        <w:t xml:space="preserve">3. </w:t>
      </w:r>
      <w:r>
        <w:rPr>
          <w:rFonts w:ascii="Arial" w:cs="Arial" w:eastAsia="Arial" w:hAnsi="Arial"/>
          <w:b/>
          <w:bCs/>
          <w:i w:val="false"/>
          <w:iCs w:val="false"/>
          <w:color w:val="222222"/>
          <w:sz w:val="22"/>
          <w:szCs w:val="22"/>
          <w:rtl/>
        </w:rPr>
        <w:t xml:space="preserve">הצעה שניתן לקבל בהתנהגות אינה מאפשרת למציע להתחרט.</w:t>
      </w:r>
    </w:p>
    <w:p>
      <w:pPr>
        <w:shd w:fill="F5F5F0" w:val="clear"/>
        <w:bidi/>
        <w:spacing w:after="140" w:before="0" w:line="276"/>
        <w:ind w:left="150" w:right="150"/>
      </w:pPr>
      <w:r>
        <w:rPr>
          <w:rFonts w:ascii="Arial" w:cs="Arial" w:eastAsia="Arial" w:hAnsi="Arial"/>
          <w:b/>
          <w:bCs/>
          <w:i w:val="false"/>
          <w:iCs w:val="false"/>
          <w:color w:val="B02A2A"/>
          <w:sz w:val="22"/>
          <w:szCs w:val="22"/>
          <w:rtl/>
        </w:rPr>
        <w:t xml:space="preserve">לא נכון — </w:t>
      </w:r>
      <w:r>
        <w:rPr>
          <w:rFonts w:ascii="Arial" w:cs="Arial" w:eastAsia="Arial" w:hAnsi="Arial"/>
          <w:b w:val="false"/>
          <w:bCs w:val="false"/>
          <w:i w:val="false"/>
          <w:iCs w:val="false"/>
          <w:color w:val="222222"/>
          <w:sz w:val="22"/>
          <w:szCs w:val="22"/>
          <w:rtl/>
        </w:rPr>
        <w:t xml:space="preserve">גם בהצעה כזו המציע רשאי לחזור בו לפי ס׳ 3(א) — כל עוד לא ניתן קיבול. ס׳ 6(א) קובע רק שמשבוצעה ההתנהגות דינה כהודעת קיבול, ומאותו רגע (ולא לפניו) נחסמת החרטה.</w:t>
      </w:r>
    </w:p>
    <w:p>
      <w:pPr>
        <w:bidi/>
        <w:spacing w:after="40" w:before="120" w:line="276"/>
      </w:pPr>
      <w:r>
        <w:rPr>
          <w:rFonts w:ascii="Arial" w:cs="Arial" w:eastAsia="Arial" w:hAnsi="Arial"/>
          <w:b/>
          <w:bCs/>
          <w:i w:val="false"/>
          <w:iCs w:val="false"/>
          <w:color w:val="222222"/>
          <w:sz w:val="22"/>
          <w:szCs w:val="22"/>
          <w:rtl/>
        </w:rPr>
        <w:t xml:space="preserve">4. </w:t>
      </w:r>
      <w:r>
        <w:rPr>
          <w:rFonts w:ascii="Arial" w:cs="Arial" w:eastAsia="Arial" w:hAnsi="Arial"/>
          <w:b/>
          <w:bCs/>
          <w:i w:val="false"/>
          <w:iCs w:val="false"/>
          <w:color w:val="222222"/>
          <w:sz w:val="22"/>
          <w:szCs w:val="22"/>
          <w:rtl/>
        </w:rPr>
        <w:t xml:space="preserve">זיכרון דברים יכול לחייב את הצדדים גם אם הם תכננו לערוך חוזה מחייב בהמשך.</w:t>
      </w:r>
    </w:p>
    <w:p>
      <w:pPr>
        <w:shd w:fill="F5F5F0" w:val="clear"/>
        <w:bidi/>
        <w:spacing w:after="140" w:before="0" w:line="276"/>
        <w:ind w:left="150" w:right="150"/>
      </w:pPr>
      <w:r>
        <w:rPr>
          <w:rFonts w:ascii="Arial" w:cs="Arial" w:eastAsia="Arial" w:hAnsi="Arial"/>
          <w:b/>
          <w:bCs/>
          <w:i w:val="false"/>
          <w:iCs w:val="false"/>
          <w:color w:val="1E7B34"/>
          <w:sz w:val="22"/>
          <w:szCs w:val="22"/>
          <w:rtl/>
        </w:rPr>
        <w:t xml:space="preserve">נכון — </w:t>
      </w:r>
      <w:r>
        <w:rPr>
          <w:rFonts w:ascii="Arial" w:cs="Arial" w:eastAsia="Arial" w:hAnsi="Arial"/>
          <w:b w:val="false"/>
          <w:bCs w:val="false"/>
          <w:i w:val="false"/>
          <w:iCs w:val="false"/>
          <w:color w:val="222222"/>
          <w:sz w:val="22"/>
          <w:szCs w:val="22"/>
          <w:rtl/>
        </w:rPr>
        <w:t xml:space="preserve">לפי הלכת רבינאי, בהתקיים שתי דרישות מצטברות — גמירת דעת של שני הצדדים ומסוימות — זיכרון הדברים מחייב כחוזה, אף אם תוכנן חוזה מפורט שלא נחתם לבסוף.</w:t>
      </w:r>
    </w:p>
    <w:p>
      <w:pPr>
        <w:bidi/>
        <w:spacing w:after="40" w:before="120" w:line="276"/>
      </w:pPr>
      <w:r>
        <w:rPr>
          <w:rFonts w:ascii="Arial" w:cs="Arial" w:eastAsia="Arial" w:hAnsi="Arial"/>
          <w:b/>
          <w:bCs/>
          <w:i w:val="false"/>
          <w:iCs w:val="false"/>
          <w:color w:val="222222"/>
          <w:sz w:val="22"/>
          <w:szCs w:val="22"/>
          <w:rtl/>
        </w:rPr>
        <w:t xml:space="preserve">5. </w:t>
      </w:r>
      <w:r>
        <w:rPr>
          <w:rFonts w:ascii="Arial" w:cs="Arial" w:eastAsia="Arial" w:hAnsi="Arial"/>
          <w:b/>
          <w:bCs/>
          <w:i w:val="false"/>
          <w:iCs w:val="false"/>
          <w:color w:val="222222"/>
          <w:sz w:val="22"/>
          <w:szCs w:val="22"/>
          <w:rtl/>
        </w:rPr>
        <w:t xml:space="preserve">הודעת חרטה של ניצע הגיעה למציע בדיוק באותו רגע עם הודעת הקיבול שלו — בנסיבות אלו אין חוזה.</w:t>
      </w:r>
    </w:p>
    <w:p>
      <w:pPr>
        <w:shd w:fill="F5F5F0" w:val="clear"/>
        <w:bidi/>
        <w:spacing w:after="140" w:before="0" w:line="276"/>
        <w:ind w:left="150" w:right="150"/>
      </w:pPr>
      <w:r>
        <w:rPr>
          <w:rFonts w:ascii="Arial" w:cs="Arial" w:eastAsia="Arial" w:hAnsi="Arial"/>
          <w:b/>
          <w:bCs/>
          <w:i w:val="false"/>
          <w:iCs w:val="false"/>
          <w:color w:val="1E7B34"/>
          <w:sz w:val="22"/>
          <w:szCs w:val="22"/>
          <w:rtl/>
        </w:rPr>
        <w:t xml:space="preserve">נכון — </w:t>
      </w:r>
      <w:r>
        <w:rPr>
          <w:rFonts w:ascii="Arial" w:cs="Arial" w:eastAsia="Arial" w:hAnsi="Arial"/>
          <w:b w:val="false"/>
          <w:bCs w:val="false"/>
          <w:i w:val="false"/>
          <w:iCs w:val="false"/>
          <w:color w:val="222222"/>
          <w:sz w:val="22"/>
          <w:szCs w:val="22"/>
          <w:rtl/>
        </w:rPr>
        <w:t xml:space="preserve">לפי ס׳ 10, הניצע רשאי לחזור בו אם הודעת החזרה נמסרה למציע "לא לאחר" הודעת הקיבול — כלומר לפני או יחד איתה. בהגעה בו-זמנית החזרה גוברת ואין חוזה.</w:t>
      </w:r>
    </w:p>
    <w:p>
      <w:pPr>
        <w:bidi/>
        <w:spacing w:after="40" w:before="120" w:line="276"/>
      </w:pPr>
      <w:r>
        <w:rPr>
          <w:rFonts w:ascii="Arial" w:cs="Arial" w:eastAsia="Arial" w:hAnsi="Arial"/>
          <w:b/>
          <w:bCs/>
          <w:i w:val="false"/>
          <w:iCs w:val="false"/>
          <w:color w:val="222222"/>
          <w:sz w:val="22"/>
          <w:szCs w:val="22"/>
          <w:rtl/>
        </w:rPr>
        <w:t xml:space="preserve">6. </w:t>
      </w:r>
      <w:r>
        <w:rPr>
          <w:rFonts w:ascii="Arial" w:cs="Arial" w:eastAsia="Arial" w:hAnsi="Arial"/>
          <w:b/>
          <w:bCs/>
          <w:i w:val="false"/>
          <w:iCs w:val="false"/>
          <w:color w:val="222222"/>
          <w:sz w:val="22"/>
          <w:szCs w:val="22"/>
          <w:rtl/>
        </w:rPr>
        <w:t xml:space="preserve">הצעה מזכה ניתן לקבל רק באמצעות קיבול מפורש.</w:t>
      </w:r>
    </w:p>
    <w:p>
      <w:pPr>
        <w:shd w:fill="F5F5F0" w:val="clear"/>
        <w:bidi/>
        <w:spacing w:after="140" w:before="0" w:line="276"/>
        <w:ind w:left="150" w:right="150"/>
      </w:pPr>
      <w:r>
        <w:rPr>
          <w:rFonts w:ascii="Arial" w:cs="Arial" w:eastAsia="Arial" w:hAnsi="Arial"/>
          <w:b/>
          <w:bCs/>
          <w:i w:val="false"/>
          <w:iCs w:val="false"/>
          <w:color w:val="B02A2A"/>
          <w:sz w:val="22"/>
          <w:szCs w:val="22"/>
          <w:rtl/>
        </w:rPr>
        <w:t xml:space="preserve">לא נכון — </w:t>
      </w:r>
      <w:r>
        <w:rPr>
          <w:rFonts w:ascii="Arial" w:cs="Arial" w:eastAsia="Arial" w:hAnsi="Arial"/>
          <w:b w:val="false"/>
          <w:bCs w:val="false"/>
          <w:i w:val="false"/>
          <w:iCs w:val="false"/>
          <w:color w:val="222222"/>
          <w:sz w:val="22"/>
          <w:szCs w:val="22"/>
          <w:rtl/>
        </w:rPr>
        <w:t xml:space="preserve">ס׳ 7 קובע חזקת קיבול בשתיקה בהצעה מזכה; דווקא ההתנגדות היא הטעונה הודעה תוך זמן סביר.</w:t>
      </w:r>
    </w:p>
    <w:p>
      <w:pPr>
        <w:bidi/>
        <w:spacing w:after="40" w:before="120" w:line="276"/>
      </w:pPr>
      <w:r>
        <w:rPr>
          <w:rFonts w:ascii="Arial" w:cs="Arial" w:eastAsia="Arial" w:hAnsi="Arial"/>
          <w:b/>
          <w:bCs/>
          <w:i w:val="false"/>
          <w:iCs w:val="false"/>
          <w:color w:val="222222"/>
          <w:sz w:val="22"/>
          <w:szCs w:val="22"/>
          <w:rtl/>
        </w:rPr>
        <w:t xml:space="preserve">7. </w:t>
      </w:r>
      <w:r>
        <w:rPr>
          <w:rFonts w:ascii="Arial" w:cs="Arial" w:eastAsia="Arial" w:hAnsi="Arial"/>
          <w:b/>
          <w:bCs/>
          <w:i w:val="false"/>
          <w:iCs w:val="false"/>
          <w:color w:val="222222"/>
          <w:sz w:val="22"/>
          <w:szCs w:val="22"/>
          <w:rtl/>
        </w:rPr>
        <w:t xml:space="preserve">אם חסרים עיקרי הפרטים בזיכרון דברים, בית המשפט רשאי להשלימם.</w:t>
      </w:r>
    </w:p>
    <w:p>
      <w:pPr>
        <w:shd w:fill="F5F5F0" w:val="clear"/>
        <w:bidi/>
        <w:spacing w:after="140" w:before="0" w:line="276"/>
        <w:ind w:left="150" w:right="150"/>
      </w:pPr>
      <w:r>
        <w:rPr>
          <w:rFonts w:ascii="Arial" w:cs="Arial" w:eastAsia="Arial" w:hAnsi="Arial"/>
          <w:b/>
          <w:bCs/>
          <w:i w:val="false"/>
          <w:iCs w:val="false"/>
          <w:color w:val="B02A2A"/>
          <w:sz w:val="22"/>
          <w:szCs w:val="22"/>
          <w:rtl/>
        </w:rPr>
        <w:t xml:space="preserve">לא נכון — </w:t>
      </w:r>
      <w:r>
        <w:rPr>
          <w:rFonts w:ascii="Arial" w:cs="Arial" w:eastAsia="Arial" w:hAnsi="Arial"/>
          <w:b w:val="false"/>
          <w:bCs w:val="false"/>
          <w:i w:val="false"/>
          <w:iCs w:val="false"/>
          <w:color w:val="222222"/>
          <w:sz w:val="22"/>
          <w:szCs w:val="22"/>
          <w:rtl/>
        </w:rPr>
        <w:t xml:space="preserve">ניתן להשלים (ס׳ 26) רק פרטים שאינם עיקר; בלי עיקרי הדברים אין מסוימות ואין חוזה בכלל — ואין מה להשלים.</w:t>
      </w:r>
    </w:p>
    <w:p>
      <w:pPr>
        <w:bidi/>
        <w:spacing w:after="40" w:before="120" w:line="276"/>
      </w:pPr>
      <w:r>
        <w:rPr>
          <w:rFonts w:ascii="Arial" w:cs="Arial" w:eastAsia="Arial" w:hAnsi="Arial"/>
          <w:b/>
          <w:bCs/>
          <w:i w:val="false"/>
          <w:iCs w:val="false"/>
          <w:color w:val="222222"/>
          <w:sz w:val="22"/>
          <w:szCs w:val="22"/>
          <w:rtl/>
        </w:rPr>
        <w:t xml:space="preserve">8. </w:t>
      </w:r>
      <w:r>
        <w:rPr>
          <w:rFonts w:ascii="Arial" w:cs="Arial" w:eastAsia="Arial" w:hAnsi="Arial"/>
          <w:b/>
          <w:bCs/>
          <w:i w:val="false"/>
          <w:iCs w:val="false"/>
          <w:color w:val="222222"/>
          <w:sz w:val="22"/>
          <w:szCs w:val="22"/>
          <w:rtl/>
        </w:rPr>
        <w:t xml:space="preserve">קיבול בהתנהגות אפשרי בכל סוג של הצעה.</w:t>
      </w:r>
    </w:p>
    <w:p>
      <w:pPr>
        <w:shd w:fill="F5F5F0" w:val="clear"/>
        <w:bidi/>
        <w:spacing w:after="140" w:before="0" w:line="276"/>
        <w:ind w:left="150" w:right="150"/>
      </w:pPr>
      <w:r>
        <w:rPr>
          <w:rFonts w:ascii="Arial" w:cs="Arial" w:eastAsia="Arial" w:hAnsi="Arial"/>
          <w:b/>
          <w:bCs/>
          <w:i w:val="false"/>
          <w:iCs w:val="false"/>
          <w:color w:val="B02A2A"/>
          <w:sz w:val="22"/>
          <w:szCs w:val="22"/>
          <w:rtl/>
        </w:rPr>
        <w:t xml:space="preserve">לא נכון — </w:t>
      </w:r>
      <w:r>
        <w:rPr>
          <w:rFonts w:ascii="Arial" w:cs="Arial" w:eastAsia="Arial" w:hAnsi="Arial"/>
          <w:b w:val="false"/>
          <w:bCs w:val="false"/>
          <w:i w:val="false"/>
          <w:iCs w:val="false"/>
          <w:color w:val="222222"/>
          <w:sz w:val="22"/>
          <w:szCs w:val="22"/>
          <w:rtl/>
        </w:rPr>
        <w:t xml:space="preserve">לפי ס׳ 6(א), קיבול בהתנהגות אפשרי רק כשנקבע ע"י המציע או משתמע מן ההצעה (שג"מ חניונים — כניסה לחניון; מודעת פרס) — לא בכל הצעה.</w:t>
      </w:r>
    </w:p>
    <w:p>
      <w:pPr>
        <w:bidi/>
        <w:spacing w:after="40" w:before="120" w:line="276"/>
      </w:pPr>
      <w:r>
        <w:rPr>
          <w:rFonts w:ascii="Arial" w:cs="Arial" w:eastAsia="Arial" w:hAnsi="Arial"/>
          <w:b/>
          <w:bCs/>
          <w:i w:val="false"/>
          <w:iCs w:val="false"/>
          <w:color w:val="222222"/>
          <w:sz w:val="22"/>
          <w:szCs w:val="22"/>
          <w:rtl/>
        </w:rPr>
        <w:t xml:space="preserve">9. </w:t>
      </w:r>
      <w:r>
        <w:rPr>
          <w:rFonts w:ascii="Arial" w:cs="Arial" w:eastAsia="Arial" w:hAnsi="Arial"/>
          <w:b/>
          <w:bCs/>
          <w:i w:val="false"/>
          <w:iCs w:val="false"/>
          <w:color w:val="222222"/>
          <w:sz w:val="22"/>
          <w:szCs w:val="22"/>
          <w:rtl/>
        </w:rPr>
        <w:t xml:space="preserve">בנימין שלח לאיתמר הצעה בדואר רשום ובה נכתב שההצעה פתוחה ליומיים מיום הגעתה. כעבור שעה התחרט בנימין. בנימין יוכל לחזור בו רק אם יודיע לאיתמר לפני הגעת המכתב עם ההצעה.</w:t>
      </w:r>
    </w:p>
    <w:p>
      <w:pPr>
        <w:shd w:fill="F5F5F0" w:val="clear"/>
        <w:bidi/>
        <w:spacing w:after="140" w:before="0" w:line="276"/>
        <w:ind w:left="150" w:right="150"/>
      </w:pPr>
      <w:r>
        <w:rPr>
          <w:rFonts w:ascii="Arial" w:cs="Arial" w:eastAsia="Arial" w:hAnsi="Arial"/>
          <w:b/>
          <w:bCs/>
          <w:i w:val="false"/>
          <w:iCs w:val="false"/>
          <w:color w:val="1E7B34"/>
          <w:sz w:val="22"/>
          <w:szCs w:val="22"/>
          <w:rtl/>
        </w:rPr>
        <w:t xml:space="preserve">נכון — </w:t>
      </w:r>
      <w:r>
        <w:rPr>
          <w:rFonts w:ascii="Arial" w:cs="Arial" w:eastAsia="Arial" w:hAnsi="Arial"/>
          <w:b w:val="false"/>
          <w:bCs w:val="false"/>
          <w:i w:val="false"/>
          <w:iCs w:val="false"/>
          <w:color w:val="222222"/>
          <w:sz w:val="22"/>
          <w:szCs w:val="22"/>
          <w:rtl/>
        </w:rPr>
        <w:t xml:space="preserve">משנקבע מועד לקיבול, ההצעה בלתי הדירה לפי ס׳ 3(ב) — אין לחזור ממנה לאחר שנמסרה לניצע. חלון החרטה היחיד הוא עד מסירת ההצעה (השוו תשובה נ׳ בר נתן).</w:t>
      </w:r>
    </w:p>
    <w:p>
      <w:pPr>
        <w:bidi/>
        <w:spacing w:after="40" w:before="120" w:line="276"/>
      </w:pPr>
      <w:r>
        <w:rPr>
          <w:rFonts w:ascii="Arial" w:cs="Arial" w:eastAsia="Arial" w:hAnsi="Arial"/>
          <w:b/>
          <w:bCs/>
          <w:i w:val="false"/>
          <w:iCs w:val="false"/>
          <w:color w:val="222222"/>
          <w:sz w:val="22"/>
          <w:szCs w:val="22"/>
          <w:rtl/>
        </w:rPr>
        <w:t xml:space="preserve">10. </w:t>
      </w:r>
      <w:r>
        <w:rPr>
          <w:rFonts w:ascii="Arial" w:cs="Arial" w:eastAsia="Arial" w:hAnsi="Arial"/>
          <w:b/>
          <w:bCs/>
          <w:i w:val="false"/>
          <w:iCs w:val="false"/>
          <w:color w:val="222222"/>
          <w:sz w:val="22"/>
          <w:szCs w:val="22"/>
          <w:rtl/>
        </w:rPr>
        <w:t xml:space="preserve">רמי מעוניין לבטל חוזה שהתקשר בו עקב כפייה — עליו לעשות זאת תוך זמן סביר מרגע שנכרת החוזה.</w:t>
      </w:r>
      <w:r>
        <w:rPr>
          <w:rFonts w:ascii="Arial" w:cs="Arial" w:eastAsia="Arial" w:hAnsi="Arial"/>
          <w:b/>
          <w:bCs/>
          <w:i w:val="false"/>
          <w:iCs w:val="false"/>
          <w:color w:val="B26B00"/>
          <w:sz w:val="19"/>
          <w:szCs w:val="19"/>
          <w:rtl/>
        </w:rPr>
        <w:t xml:space="preserve">   [שאלת בונוס — נספח]</w:t>
      </w:r>
    </w:p>
    <w:p>
      <w:pPr>
        <w:shd w:fill="F5F5F0" w:val="clear"/>
        <w:bidi/>
        <w:spacing w:after="140" w:before="0" w:line="276"/>
        <w:ind w:left="150" w:right="150"/>
      </w:pPr>
      <w:r>
        <w:rPr>
          <w:rFonts w:ascii="Arial" w:cs="Arial" w:eastAsia="Arial" w:hAnsi="Arial"/>
          <w:b/>
          <w:bCs/>
          <w:i w:val="false"/>
          <w:iCs w:val="false"/>
          <w:color w:val="B02A2A"/>
          <w:sz w:val="22"/>
          <w:szCs w:val="22"/>
          <w:rtl/>
        </w:rPr>
        <w:t xml:space="preserve">לא נכון — </w:t>
      </w:r>
      <w:r>
        <w:rPr>
          <w:rFonts w:ascii="Arial" w:cs="Arial" w:eastAsia="Arial" w:hAnsi="Arial"/>
          <w:b w:val="false"/>
          <w:bCs w:val="false"/>
          <w:i w:val="false"/>
          <w:iCs w:val="false"/>
          <w:color w:val="222222"/>
          <w:sz w:val="22"/>
          <w:szCs w:val="22"/>
          <w:rtl/>
        </w:rPr>
        <w:t xml:space="preserve">לפי ס׳ 20, בכפייה מרוץ הזמן הסביר מתחיל מרגע שפסקה הכפייה — לא מרגע הכריתה — שכן כל עוד הכפייה נמשכת הנכפה אינו חופשי לבטל.</w:t>
      </w:r>
    </w:p>
    <w:p>
      <w:pPr>
        <w:pStyle w:val="Heading2"/>
        <w:keepNext/>
        <w:bidi/>
        <w:spacing w:after="120" w:before="200" w:line="276"/>
      </w:pPr>
      <w:r>
        <w:rPr>
          <w:rFonts w:ascii="Arial" w:cs="Arial" w:eastAsia="Arial" w:hAnsi="Arial"/>
          <w:b/>
          <w:bCs/>
          <w:i w:val="false"/>
          <w:iCs w:val="false"/>
          <w:color w:val="2E5395"/>
          <w:sz w:val="27"/>
          <w:szCs w:val="27"/>
          <w:rtl/>
        </w:rPr>
        <w:t xml:space="preserve">היגדים נוספים על החומר שבהיקף</w:t>
      </w:r>
    </w:p>
    <w:p>
      <w:pPr>
        <w:bidi/>
        <w:spacing w:after="40" w:before="120" w:line="276"/>
      </w:pPr>
      <w:r>
        <w:rPr>
          <w:rFonts w:ascii="Arial" w:cs="Arial" w:eastAsia="Arial" w:hAnsi="Arial"/>
          <w:b/>
          <w:bCs/>
          <w:i w:val="false"/>
          <w:iCs w:val="false"/>
          <w:color w:val="222222"/>
          <w:sz w:val="22"/>
          <w:szCs w:val="22"/>
          <w:rtl/>
        </w:rPr>
        <w:t xml:space="preserve">11. </w:t>
      </w:r>
      <w:r>
        <w:rPr>
          <w:rFonts w:ascii="Arial" w:cs="Arial" w:eastAsia="Arial" w:hAnsi="Arial"/>
          <w:b/>
          <w:bCs/>
          <w:i w:val="false"/>
          <w:iCs w:val="false"/>
          <w:color w:val="222222"/>
          <w:sz w:val="22"/>
          <w:szCs w:val="22"/>
          <w:rtl/>
        </w:rPr>
        <w:t xml:space="preserve">חוזה למכירת רכב שנעשה בעל פה בלבד — אין לו תוקף משפטי.</w:t>
      </w:r>
    </w:p>
    <w:p>
      <w:pPr>
        <w:shd w:fill="F5F5F0" w:val="clear"/>
        <w:bidi/>
        <w:spacing w:after="140" w:before="0" w:line="276"/>
        <w:ind w:left="150" w:right="150"/>
      </w:pPr>
      <w:r>
        <w:rPr>
          <w:rFonts w:ascii="Arial" w:cs="Arial" w:eastAsia="Arial" w:hAnsi="Arial"/>
          <w:b/>
          <w:bCs/>
          <w:i w:val="false"/>
          <w:iCs w:val="false"/>
          <w:color w:val="B02A2A"/>
          <w:sz w:val="22"/>
          <w:szCs w:val="22"/>
          <w:rtl/>
        </w:rPr>
        <w:t xml:space="preserve">לא נכון — </w:t>
      </w:r>
      <w:r>
        <w:rPr>
          <w:rFonts w:ascii="Arial" w:cs="Arial" w:eastAsia="Arial" w:hAnsi="Arial"/>
          <w:b w:val="false"/>
          <w:bCs w:val="false"/>
          <w:i w:val="false"/>
          <w:iCs w:val="false"/>
          <w:color w:val="222222"/>
          <w:sz w:val="22"/>
          <w:szCs w:val="22"/>
          <w:rtl/>
        </w:rPr>
        <w:t xml:space="preserve">ס׳ 23 קובע חופש צורה: חוזה נעשה בעל פה, בכתב או בצורה אחרת. דרישת כתב קיימת רק כשחוק או הסכם קובעים אותה כתנאי לתוקף (מקרקעין — ס׳ 8; מתנה עתידית — ס׳ 5(א) לחוק המתנה). מכר רכב אינו כזה.</w:t>
      </w:r>
    </w:p>
    <w:p>
      <w:pPr>
        <w:bidi/>
        <w:spacing w:after="40" w:before="120" w:line="276"/>
      </w:pPr>
      <w:r>
        <w:rPr>
          <w:rFonts w:ascii="Arial" w:cs="Arial" w:eastAsia="Arial" w:hAnsi="Arial"/>
          <w:b/>
          <w:bCs/>
          <w:i w:val="false"/>
          <w:iCs w:val="false"/>
          <w:color w:val="222222"/>
          <w:sz w:val="22"/>
          <w:szCs w:val="22"/>
          <w:rtl/>
        </w:rPr>
        <w:t xml:space="preserve">12. </w:t>
      </w:r>
      <w:r>
        <w:rPr>
          <w:rFonts w:ascii="Arial" w:cs="Arial" w:eastAsia="Arial" w:hAnsi="Arial"/>
          <w:b/>
          <w:bCs/>
          <w:i w:val="false"/>
          <w:iCs w:val="false"/>
          <w:color w:val="222222"/>
          <w:sz w:val="22"/>
          <w:szCs w:val="22"/>
          <w:rtl/>
        </w:rPr>
        <w:t xml:space="preserve">חוזה שתוכנו נוגד את תקנת הציבור ניתן לביטול על ידי הצד הנפגע.</w:t>
      </w:r>
    </w:p>
    <w:p>
      <w:pPr>
        <w:shd w:fill="F5F5F0" w:val="clear"/>
        <w:bidi/>
        <w:spacing w:after="140" w:before="0" w:line="276"/>
        <w:ind w:left="150" w:right="150"/>
      </w:pPr>
      <w:r>
        <w:rPr>
          <w:rFonts w:ascii="Arial" w:cs="Arial" w:eastAsia="Arial" w:hAnsi="Arial"/>
          <w:b/>
          <w:bCs/>
          <w:i w:val="false"/>
          <w:iCs w:val="false"/>
          <w:color w:val="B02A2A"/>
          <w:sz w:val="22"/>
          <w:szCs w:val="22"/>
          <w:rtl/>
        </w:rPr>
        <w:t xml:space="preserve">לא נכון — </w:t>
      </w:r>
      <w:r>
        <w:rPr>
          <w:rFonts w:ascii="Arial" w:cs="Arial" w:eastAsia="Arial" w:hAnsi="Arial"/>
          <w:b w:val="false"/>
          <w:bCs w:val="false"/>
          <w:i w:val="false"/>
          <w:iCs w:val="false"/>
          <w:color w:val="222222"/>
          <w:sz w:val="22"/>
          <w:szCs w:val="22"/>
          <w:rtl/>
        </w:rPr>
        <w:t xml:space="preserve">לפי ס׳ 30, חוזה כזה בטל — בטלות מעצמה ומלכתחילה, ללא צורך בהודעת ביטול. ההבחנה בין "בטל" ל"ניתן לביטול" היא לב ההיגד.</w:t>
      </w:r>
    </w:p>
    <w:p>
      <w:pPr>
        <w:bidi/>
        <w:spacing w:after="40" w:before="120" w:line="276"/>
      </w:pPr>
      <w:r>
        <w:rPr>
          <w:rFonts w:ascii="Arial" w:cs="Arial" w:eastAsia="Arial" w:hAnsi="Arial"/>
          <w:b/>
          <w:bCs/>
          <w:i w:val="false"/>
          <w:iCs w:val="false"/>
          <w:color w:val="222222"/>
          <w:sz w:val="22"/>
          <w:szCs w:val="22"/>
          <w:rtl/>
        </w:rPr>
        <w:t xml:space="preserve">13. </w:t>
      </w:r>
      <w:r>
        <w:rPr>
          <w:rFonts w:ascii="Arial" w:cs="Arial" w:eastAsia="Arial" w:hAnsi="Arial"/>
          <w:b/>
          <w:bCs/>
          <w:i w:val="false"/>
          <w:iCs w:val="false"/>
          <w:color w:val="222222"/>
          <w:sz w:val="22"/>
          <w:szCs w:val="22"/>
          <w:rtl/>
        </w:rPr>
        <w:t xml:space="preserve">קטין בן 17 אינו כשיר להתקשר בחוזה.</w:t>
      </w:r>
    </w:p>
    <w:p>
      <w:pPr>
        <w:shd w:fill="F5F5F0" w:val="clear"/>
        <w:bidi/>
        <w:spacing w:after="140" w:before="0" w:line="276"/>
        <w:ind w:left="150" w:right="150"/>
      </w:pPr>
      <w:r>
        <w:rPr>
          <w:rFonts w:ascii="Arial" w:cs="Arial" w:eastAsia="Arial" w:hAnsi="Arial"/>
          <w:b/>
          <w:bCs/>
          <w:i w:val="false"/>
          <w:iCs w:val="false"/>
          <w:color w:val="B02A2A"/>
          <w:sz w:val="22"/>
          <w:szCs w:val="22"/>
          <w:rtl/>
        </w:rPr>
        <w:t xml:space="preserve">לא נכון — </w:t>
      </w:r>
      <w:r>
        <w:rPr>
          <w:rFonts w:ascii="Arial" w:cs="Arial" w:eastAsia="Arial" w:hAnsi="Arial"/>
          <w:b w:val="false"/>
          <w:bCs w:val="false"/>
          <w:i w:val="false"/>
          <w:iCs w:val="false"/>
          <w:color w:val="222222"/>
          <w:sz w:val="22"/>
          <w:szCs w:val="22"/>
          <w:rtl/>
        </w:rPr>
        <w:t xml:space="preserve">לפי ס׳ 2 לחוק הכשרות המשפטית, כל אדם כשר לפעולות משפטיות. פעולת קטין טעונה הסכמת נציגו (ס׳ 4) וניתנת לביטול בתנאי ס׳ 5 — אך הקטין אינו נטול כשרות.</w:t>
      </w:r>
    </w:p>
    <w:p>
      <w:pPr>
        <w:bidi/>
        <w:spacing w:after="40" w:before="120" w:line="276"/>
      </w:pPr>
      <w:r>
        <w:rPr>
          <w:rFonts w:ascii="Arial" w:cs="Arial" w:eastAsia="Arial" w:hAnsi="Arial"/>
          <w:b/>
          <w:bCs/>
          <w:i w:val="false"/>
          <w:iCs w:val="false"/>
          <w:color w:val="222222"/>
          <w:sz w:val="22"/>
          <w:szCs w:val="22"/>
          <w:rtl/>
        </w:rPr>
        <w:t xml:space="preserve">14. </w:t>
      </w:r>
      <w:r>
        <w:rPr>
          <w:rFonts w:ascii="Arial" w:cs="Arial" w:eastAsia="Arial" w:hAnsi="Arial"/>
          <w:b/>
          <w:bCs/>
          <w:i w:val="false"/>
          <w:iCs w:val="false"/>
          <w:color w:val="222222"/>
          <w:sz w:val="22"/>
          <w:szCs w:val="22"/>
          <w:rtl/>
        </w:rPr>
        <w:t xml:space="preserve">מציע רשאי לקבוע בהצעתו כי אם הניצע לא יגיב תוך שבוע — ייחשב הדבר כהסכמה.</w:t>
      </w:r>
    </w:p>
    <w:p>
      <w:pPr>
        <w:shd w:fill="F5F5F0" w:val="clear"/>
        <w:bidi/>
        <w:spacing w:after="140" w:before="0" w:line="276"/>
        <w:ind w:left="150" w:right="150"/>
      </w:pPr>
      <w:r>
        <w:rPr>
          <w:rFonts w:ascii="Arial" w:cs="Arial" w:eastAsia="Arial" w:hAnsi="Arial"/>
          <w:b/>
          <w:bCs/>
          <w:i w:val="false"/>
          <w:iCs w:val="false"/>
          <w:color w:val="B02A2A"/>
          <w:sz w:val="22"/>
          <w:szCs w:val="22"/>
          <w:rtl/>
        </w:rPr>
        <w:t xml:space="preserve">לא נכון — </w:t>
      </w:r>
      <w:r>
        <w:rPr>
          <w:rFonts w:ascii="Arial" w:cs="Arial" w:eastAsia="Arial" w:hAnsi="Arial"/>
          <w:b w:val="false"/>
          <w:bCs w:val="false"/>
          <w:i w:val="false"/>
          <w:iCs w:val="false"/>
          <w:color w:val="222222"/>
          <w:sz w:val="22"/>
          <w:szCs w:val="22"/>
          <w:rtl/>
        </w:rPr>
        <w:t xml:space="preserve">ס׳ 6(ב): קביעת המציע שהעדר תגובה ייחשב לקיבול — אין לה תוקף. שתיקה כקיבול אפשרית רק ביוזמת הניצע או בהסכמתו (או בהצעה מזכה — ס׳ 7).</w:t>
      </w:r>
    </w:p>
    <w:p>
      <w:pPr>
        <w:bidi/>
        <w:spacing w:after="40" w:before="120" w:line="276"/>
      </w:pPr>
      <w:r>
        <w:rPr>
          <w:rFonts w:ascii="Arial" w:cs="Arial" w:eastAsia="Arial" w:hAnsi="Arial"/>
          <w:b/>
          <w:bCs/>
          <w:i w:val="false"/>
          <w:iCs w:val="false"/>
          <w:color w:val="222222"/>
          <w:sz w:val="22"/>
          <w:szCs w:val="22"/>
          <w:rtl/>
        </w:rPr>
        <w:t xml:space="preserve">15. </w:t>
      </w:r>
      <w:r>
        <w:rPr>
          <w:rFonts w:ascii="Arial" w:cs="Arial" w:eastAsia="Arial" w:hAnsi="Arial"/>
          <w:b/>
          <w:bCs/>
          <w:i w:val="false"/>
          <w:iCs w:val="false"/>
          <w:color w:val="222222"/>
          <w:sz w:val="22"/>
          <w:szCs w:val="22"/>
          <w:rtl/>
        </w:rPr>
        <w:t xml:space="preserve">ניצע שהשיב "מסכים, בתנאי שהמסירה תוקדם בשבוע" — קיבל את ההצעה ונכרת חוזה.</w:t>
      </w:r>
    </w:p>
    <w:p>
      <w:pPr>
        <w:shd w:fill="F5F5F0" w:val="clear"/>
        <w:bidi/>
        <w:spacing w:after="140" w:before="0" w:line="276"/>
        <w:ind w:left="150" w:right="150"/>
      </w:pPr>
      <w:r>
        <w:rPr>
          <w:rFonts w:ascii="Arial" w:cs="Arial" w:eastAsia="Arial" w:hAnsi="Arial"/>
          <w:b/>
          <w:bCs/>
          <w:i w:val="false"/>
          <w:iCs w:val="false"/>
          <w:color w:val="B02A2A"/>
          <w:sz w:val="22"/>
          <w:szCs w:val="22"/>
          <w:rtl/>
        </w:rPr>
        <w:t xml:space="preserve">לא נכון — </w:t>
      </w:r>
      <w:r>
        <w:rPr>
          <w:rFonts w:ascii="Arial" w:cs="Arial" w:eastAsia="Arial" w:hAnsi="Arial"/>
          <w:b w:val="false"/>
          <w:bCs w:val="false"/>
          <w:i w:val="false"/>
          <w:iCs w:val="false"/>
          <w:color w:val="222222"/>
          <w:sz w:val="22"/>
          <w:szCs w:val="22"/>
          <w:rtl/>
        </w:rPr>
        <w:t xml:space="preserve">קיבול חייב לתאום את ההצעה. תשובה עם תוספת, הגבלה או שינוי היא קיבול תוך שינוי — שדינו הצעה חדשה (ס׳ 11), והתפקידים מתהפכים.</w:t>
      </w:r>
    </w:p>
    <w:p>
      <w:pPr>
        <w:bidi/>
        <w:spacing w:after="40" w:before="120" w:line="276"/>
      </w:pPr>
      <w:r>
        <w:rPr>
          <w:rFonts w:ascii="Arial" w:cs="Arial" w:eastAsia="Arial" w:hAnsi="Arial"/>
          <w:b/>
          <w:bCs/>
          <w:i w:val="false"/>
          <w:iCs w:val="false"/>
          <w:color w:val="222222"/>
          <w:sz w:val="22"/>
          <w:szCs w:val="22"/>
          <w:rtl/>
        </w:rPr>
        <w:t xml:space="preserve">16. </w:t>
      </w:r>
      <w:r>
        <w:rPr>
          <w:rFonts w:ascii="Arial" w:cs="Arial" w:eastAsia="Arial" w:hAnsi="Arial"/>
          <w:b/>
          <w:bCs/>
          <w:i w:val="false"/>
          <w:iCs w:val="false"/>
          <w:color w:val="222222"/>
          <w:sz w:val="22"/>
          <w:szCs w:val="22"/>
          <w:rtl/>
        </w:rPr>
        <w:t xml:space="preserve">הודעת קיבול שנשלחה במועד אך הגיעה למציע באיחור בשל תקלת תקשורת שאינה תלויה בניצע — אינה יוצרת חוזה.</w:t>
      </w:r>
    </w:p>
    <w:p>
      <w:pPr>
        <w:shd w:fill="F5F5F0" w:val="clear"/>
        <w:bidi/>
        <w:spacing w:after="140" w:before="0" w:line="276"/>
        <w:ind w:left="150" w:right="150"/>
      </w:pPr>
      <w:r>
        <w:rPr>
          <w:rFonts w:ascii="Arial" w:cs="Arial" w:eastAsia="Arial" w:hAnsi="Arial"/>
          <w:b/>
          <w:bCs/>
          <w:i w:val="false"/>
          <w:iCs w:val="false"/>
          <w:color w:val="B02A2A"/>
          <w:sz w:val="22"/>
          <w:szCs w:val="22"/>
          <w:rtl/>
        </w:rPr>
        <w:t xml:space="preserve">לא נכון — </w:t>
      </w:r>
      <w:r>
        <w:rPr>
          <w:rFonts w:ascii="Arial" w:cs="Arial" w:eastAsia="Arial" w:hAnsi="Arial"/>
          <w:b w:val="false"/>
          <w:bCs w:val="false"/>
          <w:i w:val="false"/>
          <w:iCs w:val="false"/>
          <w:color w:val="222222"/>
          <w:sz w:val="22"/>
          <w:szCs w:val="22"/>
          <w:rtl/>
        </w:rPr>
        <w:t xml:space="preserve">לפי ס׳ 8(ב), במקרה כזה נכרת חוזה — אלא אם המציע הודיע לניצע על דחיית הקיבול מיד עם קבלת ההודעה המאוחרת.</w:t>
      </w:r>
    </w:p>
    <w:p>
      <w:pPr>
        <w:bidi/>
        <w:spacing w:after="40" w:before="120" w:line="276"/>
      </w:pPr>
      <w:r>
        <w:rPr>
          <w:rFonts w:ascii="Arial" w:cs="Arial" w:eastAsia="Arial" w:hAnsi="Arial"/>
          <w:b/>
          <w:bCs/>
          <w:i w:val="false"/>
          <w:iCs w:val="false"/>
          <w:color w:val="222222"/>
          <w:sz w:val="22"/>
          <w:szCs w:val="22"/>
          <w:rtl/>
        </w:rPr>
        <w:t xml:space="preserve">17. </w:t>
      </w:r>
      <w:r>
        <w:rPr>
          <w:rFonts w:ascii="Arial" w:cs="Arial" w:eastAsia="Arial" w:hAnsi="Arial"/>
          <w:b/>
          <w:bCs/>
          <w:i w:val="false"/>
          <w:iCs w:val="false"/>
          <w:color w:val="222222"/>
          <w:sz w:val="22"/>
          <w:szCs w:val="22"/>
          <w:rtl/>
        </w:rPr>
        <w:t xml:space="preserve">קיבול של הצעה שפקעה הוא חסר כל נפקות משפטית.</w:t>
      </w:r>
    </w:p>
    <w:p>
      <w:pPr>
        <w:shd w:fill="F5F5F0" w:val="clear"/>
        <w:bidi/>
        <w:spacing w:after="140" w:before="0" w:line="276"/>
        <w:ind w:left="150" w:right="150"/>
      </w:pPr>
      <w:r>
        <w:rPr>
          <w:rFonts w:ascii="Arial" w:cs="Arial" w:eastAsia="Arial" w:hAnsi="Arial"/>
          <w:b/>
          <w:bCs/>
          <w:i w:val="false"/>
          <w:iCs w:val="false"/>
          <w:color w:val="B02A2A"/>
          <w:sz w:val="22"/>
          <w:szCs w:val="22"/>
          <w:rtl/>
        </w:rPr>
        <w:t xml:space="preserve">לא נכון — </w:t>
      </w:r>
      <w:r>
        <w:rPr>
          <w:rFonts w:ascii="Arial" w:cs="Arial" w:eastAsia="Arial" w:hAnsi="Arial"/>
          <w:b w:val="false"/>
          <w:bCs w:val="false"/>
          <w:i w:val="false"/>
          <w:iCs w:val="false"/>
          <w:color w:val="222222"/>
          <w:sz w:val="22"/>
          <w:szCs w:val="22"/>
          <w:rtl/>
        </w:rPr>
        <w:t xml:space="preserve">לפי ס׳ 9, קיבול לאחר פקיעה כמוהו כהצעה חדשה — המציע המקורי (שהפך ניצע) רשאי לקבלה וליצור חוזה.</w:t>
      </w:r>
    </w:p>
    <w:p>
      <w:pPr>
        <w:bidi/>
        <w:spacing w:after="40" w:before="120" w:line="276"/>
      </w:pPr>
      <w:r>
        <w:rPr>
          <w:rFonts w:ascii="Arial" w:cs="Arial" w:eastAsia="Arial" w:hAnsi="Arial"/>
          <w:b/>
          <w:bCs/>
          <w:i w:val="false"/>
          <w:iCs w:val="false"/>
          <w:color w:val="222222"/>
          <w:sz w:val="22"/>
          <w:szCs w:val="22"/>
          <w:rtl/>
        </w:rPr>
        <w:t xml:space="preserve">18. </w:t>
      </w:r>
      <w:r>
        <w:rPr>
          <w:rFonts w:ascii="Arial" w:cs="Arial" w:eastAsia="Arial" w:hAnsi="Arial"/>
          <w:b/>
          <w:bCs/>
          <w:i w:val="false"/>
          <w:iCs w:val="false"/>
          <w:color w:val="222222"/>
          <w:sz w:val="22"/>
          <w:szCs w:val="22"/>
          <w:rtl/>
        </w:rPr>
        <w:t xml:space="preserve">א׳ הציע לב׳ לקנות את רכבו, וב׳ השיב "כן" במייל. שעה לאחר מכן, בטרם נקרא המייל, מת ב׳ — ההצעה פקעה ואין חוזה.</w:t>
      </w:r>
    </w:p>
    <w:p>
      <w:pPr>
        <w:shd w:fill="F5F5F0" w:val="clear"/>
        <w:bidi/>
        <w:spacing w:after="140" w:before="0" w:line="276"/>
        <w:ind w:left="150" w:right="150"/>
      </w:pPr>
      <w:r>
        <w:rPr>
          <w:rFonts w:ascii="Arial" w:cs="Arial" w:eastAsia="Arial" w:hAnsi="Arial"/>
          <w:b/>
          <w:bCs/>
          <w:i w:val="false"/>
          <w:iCs w:val="false"/>
          <w:color w:val="B02A2A"/>
          <w:sz w:val="22"/>
          <w:szCs w:val="22"/>
          <w:rtl/>
        </w:rPr>
        <w:t xml:space="preserve">לא נכון — </w:t>
      </w:r>
      <w:r>
        <w:rPr>
          <w:rFonts w:ascii="Arial" w:cs="Arial" w:eastAsia="Arial" w:hAnsi="Arial"/>
          <w:b w:val="false"/>
          <w:bCs w:val="false"/>
          <w:i w:val="false"/>
          <w:iCs w:val="false"/>
          <w:color w:val="222222"/>
          <w:sz w:val="22"/>
          <w:szCs w:val="22"/>
          <w:rtl/>
        </w:rPr>
        <w:t xml:space="preserve">ס׳ 4(2) מפקיע את ההצעה רק במות צד לפני מתן הודעת הקיבול. "מתן" = אמירת/משלוח ה"כן" — וזה כבר נעשה. החוזה נכרת ומחייב את העיזבון.</w:t>
      </w:r>
    </w:p>
    <w:p>
      <w:pPr>
        <w:bidi/>
        <w:spacing w:after="40" w:before="120" w:line="276"/>
      </w:pPr>
      <w:r>
        <w:rPr>
          <w:rFonts w:ascii="Arial" w:cs="Arial" w:eastAsia="Arial" w:hAnsi="Arial"/>
          <w:b/>
          <w:bCs/>
          <w:i w:val="false"/>
          <w:iCs w:val="false"/>
          <w:color w:val="222222"/>
          <w:sz w:val="22"/>
          <w:szCs w:val="22"/>
          <w:rtl/>
        </w:rPr>
        <w:t xml:space="preserve">19. </w:t>
      </w:r>
      <w:r>
        <w:rPr>
          <w:rFonts w:ascii="Arial" w:cs="Arial" w:eastAsia="Arial" w:hAnsi="Arial"/>
          <w:b/>
          <w:bCs/>
          <w:i w:val="false"/>
          <w:iCs w:val="false"/>
          <w:color w:val="222222"/>
          <w:sz w:val="22"/>
          <w:szCs w:val="22"/>
          <w:rtl/>
        </w:rPr>
        <w:t xml:space="preserve">"מתן הודעת קיבול" הוא הרגע שבו הודעת הקיבול מגיעה לידי המציע.</w:t>
      </w:r>
    </w:p>
    <w:p>
      <w:pPr>
        <w:shd w:fill="F5F5F0" w:val="clear"/>
        <w:bidi/>
        <w:spacing w:after="140" w:before="0" w:line="276"/>
        <w:ind w:left="150" w:right="150"/>
      </w:pPr>
      <w:r>
        <w:rPr>
          <w:rFonts w:ascii="Arial" w:cs="Arial" w:eastAsia="Arial" w:hAnsi="Arial"/>
          <w:b/>
          <w:bCs/>
          <w:i w:val="false"/>
          <w:iCs w:val="false"/>
          <w:color w:val="B02A2A"/>
          <w:sz w:val="22"/>
          <w:szCs w:val="22"/>
          <w:rtl/>
        </w:rPr>
        <w:t xml:space="preserve">לא נכון — </w:t>
      </w:r>
      <w:r>
        <w:rPr>
          <w:rFonts w:ascii="Arial" w:cs="Arial" w:eastAsia="Arial" w:hAnsi="Arial"/>
          <w:b w:val="false"/>
          <w:bCs w:val="false"/>
          <w:i w:val="false"/>
          <w:iCs w:val="false"/>
          <w:color w:val="222222"/>
          <w:sz w:val="22"/>
          <w:szCs w:val="22"/>
          <w:rtl/>
        </w:rPr>
        <w:t xml:space="preserve">מתן הודעת קיבול = רגע אמירת ה"כן" או משלוחו; הרגע שבו ההודעה מגיעה למציע הוא "מסירת" ההודעה. ההבחנה קריטית: ס׳ 3(א) ו-4(2) נבחנים לפי מתן; ס׳ 10 — לפי מסירה.</w:t>
      </w:r>
    </w:p>
    <w:p>
      <w:pPr>
        <w:bidi/>
        <w:spacing w:after="40" w:before="120" w:line="276"/>
      </w:pPr>
      <w:r>
        <w:rPr>
          <w:rFonts w:ascii="Arial" w:cs="Arial" w:eastAsia="Arial" w:hAnsi="Arial"/>
          <w:b/>
          <w:bCs/>
          <w:i w:val="false"/>
          <w:iCs w:val="false"/>
          <w:color w:val="222222"/>
          <w:sz w:val="22"/>
          <w:szCs w:val="22"/>
          <w:rtl/>
        </w:rPr>
        <w:t xml:space="preserve">20. </w:t>
      </w:r>
      <w:r>
        <w:rPr>
          <w:rFonts w:ascii="Arial" w:cs="Arial" w:eastAsia="Arial" w:hAnsi="Arial"/>
          <w:b/>
          <w:bCs/>
          <w:i w:val="false"/>
          <w:iCs w:val="false"/>
          <w:color w:val="222222"/>
          <w:sz w:val="22"/>
          <w:szCs w:val="22"/>
          <w:rtl/>
        </w:rPr>
        <w:t xml:space="preserve">ניהול משא ומתן במקביל עם כמה רוכשים מהווה כשלעצמו חוסר תום לב.</w:t>
      </w:r>
    </w:p>
    <w:p>
      <w:pPr>
        <w:shd w:fill="F5F5F0" w:val="clear"/>
        <w:bidi/>
        <w:spacing w:after="140" w:before="0" w:line="276"/>
        <w:ind w:left="150" w:right="150"/>
      </w:pPr>
      <w:r>
        <w:rPr>
          <w:rFonts w:ascii="Arial" w:cs="Arial" w:eastAsia="Arial" w:hAnsi="Arial"/>
          <w:b/>
          <w:bCs/>
          <w:i w:val="false"/>
          <w:iCs w:val="false"/>
          <w:color w:val="B02A2A"/>
          <w:sz w:val="22"/>
          <w:szCs w:val="22"/>
          <w:rtl/>
        </w:rPr>
        <w:t xml:space="preserve">לא נכון — </w:t>
      </w:r>
      <w:r>
        <w:rPr>
          <w:rFonts w:ascii="Arial" w:cs="Arial" w:eastAsia="Arial" w:hAnsi="Arial"/>
          <w:b w:val="false"/>
          <w:bCs w:val="false"/>
          <w:i w:val="false"/>
          <w:iCs w:val="false"/>
          <w:color w:val="222222"/>
          <w:sz w:val="22"/>
          <w:szCs w:val="22"/>
          <w:rtl/>
        </w:rPr>
        <w:t xml:space="preserve">מו"מ מקביל הוא לגיטימי (זעירא נ׳ קנית); חוסר תום הלב (ס׳ 12) נוצר בהסתרה וביצירת מצג של בלעדיות — חובת השיקוף היא ההופכת את ההתנהגות לפסולה.</w:t>
      </w:r>
    </w:p>
    <w:p>
      <w:pPr>
        <w:bidi/>
        <w:spacing w:after="40" w:before="120" w:line="276"/>
      </w:pPr>
      <w:r>
        <w:rPr>
          <w:rFonts w:ascii="Arial" w:cs="Arial" w:eastAsia="Arial" w:hAnsi="Arial"/>
          <w:b/>
          <w:bCs/>
          <w:i w:val="false"/>
          <w:iCs w:val="false"/>
          <w:color w:val="222222"/>
          <w:sz w:val="22"/>
          <w:szCs w:val="22"/>
          <w:rtl/>
        </w:rPr>
        <w:t xml:space="preserve">21. </w:t>
      </w:r>
      <w:r>
        <w:rPr>
          <w:rFonts w:ascii="Arial" w:cs="Arial" w:eastAsia="Arial" w:hAnsi="Arial"/>
          <w:b/>
          <w:bCs/>
          <w:i w:val="false"/>
          <w:iCs w:val="false"/>
          <w:color w:val="222222"/>
          <w:sz w:val="22"/>
          <w:szCs w:val="22"/>
          <w:rtl/>
        </w:rPr>
        <w:t xml:space="preserve">מי שפרש ממשא ומתן מבלי שנכרת חוזה אינו חשוף לתביעה, שהרי אין חוזה ביניהם.</w:t>
      </w:r>
    </w:p>
    <w:p>
      <w:pPr>
        <w:shd w:fill="F5F5F0" w:val="clear"/>
        <w:bidi/>
        <w:spacing w:after="140" w:before="0" w:line="276"/>
        <w:ind w:left="150" w:right="150"/>
      </w:pPr>
      <w:r>
        <w:rPr>
          <w:rFonts w:ascii="Arial" w:cs="Arial" w:eastAsia="Arial" w:hAnsi="Arial"/>
          <w:b/>
          <w:bCs/>
          <w:i w:val="false"/>
          <w:iCs w:val="false"/>
          <w:color w:val="B02A2A"/>
          <w:sz w:val="22"/>
          <w:szCs w:val="22"/>
          <w:rtl/>
        </w:rPr>
        <w:t xml:space="preserve">לא נכון — </w:t>
      </w:r>
      <w:r>
        <w:rPr>
          <w:rFonts w:ascii="Arial" w:cs="Arial" w:eastAsia="Arial" w:hAnsi="Arial"/>
          <w:b w:val="false"/>
          <w:bCs w:val="false"/>
          <w:i w:val="false"/>
          <w:iCs w:val="false"/>
          <w:color w:val="222222"/>
          <w:sz w:val="22"/>
          <w:szCs w:val="22"/>
          <w:rtl/>
        </w:rPr>
        <w:t xml:space="preserve">חובת תום הלב (ס׳ 12) חלה בשלב הטרום-חוזי, והסעד (12(ב)) אינו תלוי בכריתה. פרישה שלא בתום לב בשלב מתקדם מזכה בפיצויי הסתמכות, ובחריגים אף בפיצויי קיום (קל בניין).</w:t>
      </w:r>
    </w:p>
    <w:p>
      <w:pPr>
        <w:bidi/>
        <w:spacing w:after="40" w:before="120" w:line="276"/>
      </w:pPr>
      <w:r>
        <w:rPr>
          <w:rFonts w:ascii="Arial" w:cs="Arial" w:eastAsia="Arial" w:hAnsi="Arial"/>
          <w:b/>
          <w:bCs/>
          <w:i w:val="false"/>
          <w:iCs w:val="false"/>
          <w:color w:val="222222"/>
          <w:sz w:val="22"/>
          <w:szCs w:val="22"/>
          <w:rtl/>
        </w:rPr>
        <w:t xml:space="preserve">22. </w:t>
      </w:r>
      <w:r>
        <w:rPr>
          <w:rFonts w:ascii="Arial" w:cs="Arial" w:eastAsia="Arial" w:hAnsi="Arial"/>
          <w:b/>
          <w:bCs/>
          <w:i w:val="false"/>
          <w:iCs w:val="false"/>
          <w:color w:val="222222"/>
          <w:sz w:val="22"/>
          <w:szCs w:val="22"/>
          <w:rtl/>
        </w:rPr>
        <w:t xml:space="preserve">צד שנפגע מחוסר תום לב במשא ומתן חייב לבטל את החוזה שנכרת כדי לזכות בפיצויים לפי ס׳ 12(ב).</w:t>
      </w:r>
    </w:p>
    <w:p>
      <w:pPr>
        <w:shd w:fill="F5F5F0" w:val="clear"/>
        <w:bidi/>
        <w:spacing w:after="140" w:before="0" w:line="276"/>
        <w:ind w:left="150" w:right="150"/>
      </w:pPr>
      <w:r>
        <w:rPr>
          <w:rFonts w:ascii="Arial" w:cs="Arial" w:eastAsia="Arial" w:hAnsi="Arial"/>
          <w:b/>
          <w:bCs/>
          <w:i w:val="false"/>
          <w:iCs w:val="false"/>
          <w:color w:val="B02A2A"/>
          <w:sz w:val="22"/>
          <w:szCs w:val="22"/>
          <w:rtl/>
        </w:rPr>
        <w:t xml:space="preserve">לא נכון — </w:t>
      </w:r>
      <w:r>
        <w:rPr>
          <w:rFonts w:ascii="Arial" w:cs="Arial" w:eastAsia="Arial" w:hAnsi="Arial"/>
          <w:b w:val="false"/>
          <w:bCs w:val="false"/>
          <w:i w:val="false"/>
          <w:iCs w:val="false"/>
          <w:color w:val="222222"/>
          <w:sz w:val="22"/>
          <w:szCs w:val="22"/>
          <w:rtl/>
        </w:rPr>
        <w:t xml:space="preserve">ניתן לתבוע פיצויים בגין הפרת חובת תום הלב בין אם נכרת חוזה ובין אם לאו — וגם אם הנפגע בוחר להשאיר את החוזה בתוקפו.</w:t>
      </w:r>
    </w:p>
    <w:p>
      <w:pPr>
        <w:bidi/>
        <w:spacing w:after="40" w:before="120" w:line="276"/>
      </w:pPr>
      <w:r>
        <w:rPr>
          <w:rFonts w:ascii="Arial" w:cs="Arial" w:eastAsia="Arial" w:hAnsi="Arial"/>
          <w:b/>
          <w:bCs/>
          <w:i w:val="false"/>
          <w:iCs w:val="false"/>
          <w:color w:val="222222"/>
          <w:sz w:val="22"/>
          <w:szCs w:val="22"/>
          <w:rtl/>
        </w:rPr>
        <w:t xml:space="preserve">23. </w:t>
      </w:r>
      <w:r>
        <w:rPr>
          <w:rFonts w:ascii="Arial" w:cs="Arial" w:eastAsia="Arial" w:hAnsi="Arial"/>
          <w:b/>
          <w:bCs/>
          <w:i w:val="false"/>
          <w:iCs w:val="false"/>
          <w:color w:val="222222"/>
          <w:sz w:val="22"/>
          <w:szCs w:val="22"/>
          <w:rtl/>
        </w:rPr>
        <w:t xml:space="preserve">רוכשת קרקע חקלאית שקיוותה להפשרה קרובה, וההפשרה לא הגיעה — רשאית לבטל את החוזה בעילת טעות.</w:t>
      </w:r>
    </w:p>
    <w:p>
      <w:pPr>
        <w:shd w:fill="F5F5F0" w:val="clear"/>
        <w:bidi/>
        <w:spacing w:after="140" w:before="0" w:line="276"/>
        <w:ind w:left="150" w:right="150"/>
      </w:pPr>
      <w:r>
        <w:rPr>
          <w:rFonts w:ascii="Arial" w:cs="Arial" w:eastAsia="Arial" w:hAnsi="Arial"/>
          <w:b/>
          <w:bCs/>
          <w:i w:val="false"/>
          <w:iCs w:val="false"/>
          <w:color w:val="B02A2A"/>
          <w:sz w:val="22"/>
          <w:szCs w:val="22"/>
          <w:rtl/>
        </w:rPr>
        <w:t xml:space="preserve">לא נכון — </w:t>
      </w:r>
      <w:r>
        <w:rPr>
          <w:rFonts w:ascii="Arial" w:cs="Arial" w:eastAsia="Arial" w:hAnsi="Arial"/>
          <w:b w:val="false"/>
          <w:bCs w:val="false"/>
          <w:i w:val="false"/>
          <w:iCs w:val="false"/>
          <w:color w:val="222222"/>
          <w:sz w:val="22"/>
          <w:szCs w:val="22"/>
          <w:rtl/>
        </w:rPr>
        <w:t xml:space="preserve">טעות (ס׳ 14) מתייחסת להווה או לעבר בלבד (פס"ד רבינוביץ); ציפייה עתידית שהתבדתה היא סיכון מודע שהתממש — טעות בכדאיות העסקה המוחרגת בס׳ 14(ד) (בן לולו).</w:t>
      </w:r>
    </w:p>
    <w:p>
      <w:pPr>
        <w:bidi/>
        <w:spacing w:after="40" w:before="120" w:line="276"/>
      </w:pPr>
      <w:r>
        <w:rPr>
          <w:rFonts w:ascii="Arial" w:cs="Arial" w:eastAsia="Arial" w:hAnsi="Arial"/>
          <w:b/>
          <w:bCs/>
          <w:i w:val="false"/>
          <w:iCs w:val="false"/>
          <w:color w:val="222222"/>
          <w:sz w:val="22"/>
          <w:szCs w:val="22"/>
          <w:rtl/>
        </w:rPr>
        <w:t xml:space="preserve">24. </w:t>
      </w:r>
      <w:r>
        <w:rPr>
          <w:rFonts w:ascii="Arial" w:cs="Arial" w:eastAsia="Arial" w:hAnsi="Arial"/>
          <w:b/>
          <w:bCs/>
          <w:i w:val="false"/>
          <w:iCs w:val="false"/>
          <w:color w:val="222222"/>
          <w:sz w:val="22"/>
          <w:szCs w:val="22"/>
          <w:rtl/>
        </w:rPr>
        <w:t xml:space="preserve">קונה שרכש נכס לאחר שהמוכר הצהיר בחוזה כי הנכס נמכר "AS-IS" וללא אחריות למצבו, וגילה שטעה בשווי הזכויות — רשאי לבטל בעילת טעות.</w:t>
      </w:r>
    </w:p>
    <w:p>
      <w:pPr>
        <w:shd w:fill="F5F5F0" w:val="clear"/>
        <w:bidi/>
        <w:spacing w:after="140" w:before="0" w:line="276"/>
        <w:ind w:left="150" w:right="150"/>
      </w:pPr>
      <w:r>
        <w:rPr>
          <w:rFonts w:ascii="Arial" w:cs="Arial" w:eastAsia="Arial" w:hAnsi="Arial"/>
          <w:b/>
          <w:bCs/>
          <w:i w:val="false"/>
          <w:iCs w:val="false"/>
          <w:color w:val="B02A2A"/>
          <w:sz w:val="22"/>
          <w:szCs w:val="22"/>
          <w:rtl/>
        </w:rPr>
        <w:t xml:space="preserve">לא נכון — </w:t>
      </w:r>
      <w:r>
        <w:rPr>
          <w:rFonts w:ascii="Arial" w:cs="Arial" w:eastAsia="Arial" w:hAnsi="Arial"/>
          <w:b w:val="false"/>
          <w:bCs w:val="false"/>
          <w:i w:val="false"/>
          <w:iCs w:val="false"/>
          <w:color w:val="222222"/>
          <w:sz w:val="22"/>
          <w:szCs w:val="22"/>
          <w:rtl/>
        </w:rPr>
        <w:t xml:space="preserve">לפי כרמל נ׳ טלמון (ע"א 7920/13), תניית AS-IS ונסיבות הכריתה מלמדות שהקונה נטל על עצמו את הסיכון — טעות בשווי היא טעות בכדאיות העסקה (14(ד)) ואינה עילת ביטול.</w:t>
      </w:r>
    </w:p>
    <w:p>
      <w:pPr>
        <w:bidi/>
        <w:spacing w:after="40" w:before="120" w:line="276"/>
      </w:pPr>
      <w:r>
        <w:rPr>
          <w:rFonts w:ascii="Arial" w:cs="Arial" w:eastAsia="Arial" w:hAnsi="Arial"/>
          <w:b/>
          <w:bCs/>
          <w:i w:val="false"/>
          <w:iCs w:val="false"/>
          <w:color w:val="222222"/>
          <w:sz w:val="22"/>
          <w:szCs w:val="22"/>
          <w:rtl/>
        </w:rPr>
        <w:t xml:space="preserve">25. </w:t>
      </w:r>
      <w:r>
        <w:rPr>
          <w:rFonts w:ascii="Arial" w:cs="Arial" w:eastAsia="Arial" w:hAnsi="Arial"/>
          <w:b/>
          <w:bCs/>
          <w:i w:val="false"/>
          <w:iCs w:val="false"/>
          <w:color w:val="222222"/>
          <w:sz w:val="22"/>
          <w:szCs w:val="22"/>
          <w:rtl/>
        </w:rPr>
        <w:t xml:space="preserve">שני הצדדים טעו יחד לגבי טיב הנכס. הצד שנפגע רשאי לבטל את החוזה בהודעה לצד השני לפי ס׳ 14(א).</w:t>
      </w:r>
    </w:p>
    <w:p>
      <w:pPr>
        <w:shd w:fill="F5F5F0" w:val="clear"/>
        <w:bidi/>
        <w:spacing w:after="140" w:before="0" w:line="276"/>
        <w:ind w:left="150" w:right="150"/>
      </w:pPr>
      <w:r>
        <w:rPr>
          <w:rFonts w:ascii="Arial" w:cs="Arial" w:eastAsia="Arial" w:hAnsi="Arial"/>
          <w:b/>
          <w:bCs/>
          <w:i w:val="false"/>
          <w:iCs w:val="false"/>
          <w:color w:val="B02A2A"/>
          <w:sz w:val="22"/>
          <w:szCs w:val="22"/>
          <w:rtl/>
        </w:rPr>
        <w:t xml:space="preserve">לא נכון — </w:t>
      </w:r>
      <w:r>
        <w:rPr>
          <w:rFonts w:ascii="Arial" w:cs="Arial" w:eastAsia="Arial" w:hAnsi="Arial"/>
          <w:b w:val="false"/>
          <w:bCs w:val="false"/>
          <w:i w:val="false"/>
          <w:iCs w:val="false"/>
          <w:color w:val="222222"/>
          <w:sz w:val="22"/>
          <w:szCs w:val="22"/>
          <w:rtl/>
        </w:rPr>
        <w:t xml:space="preserve">בטעות משותפת הצד השני לא ידע ולא היה עליו לדעת על הטעות, ולכן חל מסלול 14(ב): רק בית המשפט רשאי לבטל, משיקולי צדק, ורשאי אף לחייב את המבקש בפיצויים (זהבה כנען).</w:t>
      </w:r>
    </w:p>
    <w:p>
      <w:pPr>
        <w:bidi/>
        <w:spacing w:after="40" w:before="120" w:line="276"/>
      </w:pPr>
      <w:r>
        <w:rPr>
          <w:rFonts w:ascii="Arial" w:cs="Arial" w:eastAsia="Arial" w:hAnsi="Arial"/>
          <w:b/>
          <w:bCs/>
          <w:i w:val="false"/>
          <w:iCs w:val="false"/>
          <w:color w:val="222222"/>
          <w:sz w:val="22"/>
          <w:szCs w:val="22"/>
          <w:rtl/>
        </w:rPr>
        <w:t xml:space="preserve">26. </w:t>
      </w:r>
      <w:r>
        <w:rPr>
          <w:rFonts w:ascii="Arial" w:cs="Arial" w:eastAsia="Arial" w:hAnsi="Arial"/>
          <w:b/>
          <w:bCs/>
          <w:i w:val="false"/>
          <w:iCs w:val="false"/>
          <w:color w:val="222222"/>
          <w:sz w:val="22"/>
          <w:szCs w:val="22"/>
          <w:rtl/>
        </w:rPr>
        <w:t xml:space="preserve">מי שמצא נעדר באקראי, בלי שחיפש אותו באופן פעיל, אינו זכאי לפרס שהובטח למוסרי מידע.</w:t>
      </w:r>
    </w:p>
    <w:p>
      <w:pPr>
        <w:shd w:fill="F5F5F0" w:val="clear"/>
        <w:bidi/>
        <w:spacing w:after="140" w:before="0" w:line="276"/>
        <w:ind w:left="150" w:right="150"/>
      </w:pPr>
      <w:r>
        <w:rPr>
          <w:rFonts w:ascii="Arial" w:cs="Arial" w:eastAsia="Arial" w:hAnsi="Arial"/>
          <w:b/>
          <w:bCs/>
          <w:i w:val="false"/>
          <w:iCs w:val="false"/>
          <w:color w:val="B02A2A"/>
          <w:sz w:val="22"/>
          <w:szCs w:val="22"/>
          <w:rtl/>
        </w:rPr>
        <w:t xml:space="preserve">לא נכון — </w:t>
      </w:r>
      <w:r>
        <w:rPr>
          <w:rFonts w:ascii="Arial" w:cs="Arial" w:eastAsia="Arial" w:hAnsi="Arial"/>
          <w:b w:val="false"/>
          <w:bCs w:val="false"/>
          <w:i w:val="false"/>
          <w:iCs w:val="false"/>
          <w:color w:val="222222"/>
          <w:sz w:val="22"/>
          <w:szCs w:val="22"/>
          <w:rtl/>
        </w:rPr>
        <w:t xml:space="preserve">לפי פ"ד קוזלי (ע"א 6295/16), הצעת הפרס מתפרשת לפי "הניצע הסביר" — די במסירת מידע העונה לדרישות ההצעה, ואקראיות המציאה אינה שוללת את הפרס; אף אין צורך בידיעה ודאית שההתנהגות תזכה — די בכוונה ובתקווה.</w:t>
      </w:r>
    </w:p>
    <w:p>
      <w:pPr>
        <w:pStyle w:val="Heading2"/>
        <w:keepNext/>
        <w:bidi/>
        <w:spacing w:after="120" w:before="200" w:line="276"/>
      </w:pPr>
      <w:r>
        <w:rPr>
          <w:rFonts w:ascii="Arial" w:cs="Arial" w:eastAsia="Arial" w:hAnsi="Arial"/>
          <w:b/>
          <w:bCs/>
          <w:i w:val="false"/>
          <w:iCs w:val="false"/>
          <w:color w:val="2E5395"/>
          <w:sz w:val="27"/>
          <w:szCs w:val="27"/>
          <w:rtl/>
        </w:rPr>
        <w:t xml:space="preserve">היגדים על חומר הנספח (אם יילמד עד הבוחן)</w:t>
      </w:r>
    </w:p>
    <w:p>
      <w:pPr>
        <w:bidi/>
        <w:spacing w:after="40" w:before="120" w:line="276"/>
      </w:pPr>
      <w:r>
        <w:rPr>
          <w:rFonts w:ascii="Arial" w:cs="Arial" w:eastAsia="Arial" w:hAnsi="Arial"/>
          <w:b/>
          <w:bCs/>
          <w:i w:val="false"/>
          <w:iCs w:val="false"/>
          <w:color w:val="222222"/>
          <w:sz w:val="22"/>
          <w:szCs w:val="22"/>
          <w:rtl/>
        </w:rPr>
        <w:t xml:space="preserve">27. </w:t>
      </w:r>
      <w:r>
        <w:rPr>
          <w:rFonts w:ascii="Arial" w:cs="Arial" w:eastAsia="Arial" w:hAnsi="Arial"/>
          <w:b/>
          <w:bCs/>
          <w:i w:val="false"/>
          <w:iCs w:val="false"/>
          <w:color w:val="222222"/>
          <w:sz w:val="22"/>
          <w:szCs w:val="22"/>
          <w:rtl/>
        </w:rPr>
        <w:t xml:space="preserve">אי-גילוי פרט שחובה לגלותו הינו חוסר תום לב, וגם הטעיה אם נכרת חוזה.</w:t>
      </w:r>
      <w:r>
        <w:rPr>
          <w:rFonts w:ascii="Arial" w:cs="Arial" w:eastAsia="Arial" w:hAnsi="Arial"/>
          <w:b/>
          <w:bCs/>
          <w:i w:val="false"/>
          <w:iCs w:val="false"/>
          <w:color w:val="B26B00"/>
          <w:sz w:val="19"/>
          <w:szCs w:val="19"/>
          <w:rtl/>
        </w:rPr>
        <w:t xml:space="preserve">   [ס׳ 15]</w:t>
      </w:r>
    </w:p>
    <w:p>
      <w:pPr>
        <w:shd w:fill="F5F5F0" w:val="clear"/>
        <w:bidi/>
        <w:spacing w:after="140" w:before="0" w:line="276"/>
        <w:ind w:left="150" w:right="150"/>
      </w:pPr>
      <w:r>
        <w:rPr>
          <w:rFonts w:ascii="Arial" w:cs="Arial" w:eastAsia="Arial" w:hAnsi="Arial"/>
          <w:b/>
          <w:bCs/>
          <w:i w:val="false"/>
          <w:iCs w:val="false"/>
          <w:color w:val="1E7B34"/>
          <w:sz w:val="22"/>
          <w:szCs w:val="22"/>
          <w:rtl/>
        </w:rPr>
        <w:t xml:space="preserve">נכון — </w:t>
      </w:r>
      <w:r>
        <w:rPr>
          <w:rFonts w:ascii="Arial" w:cs="Arial" w:eastAsia="Arial" w:hAnsi="Arial"/>
          <w:b w:val="false"/>
          <w:bCs w:val="false"/>
          <w:i w:val="false"/>
          <w:iCs w:val="false"/>
          <w:color w:val="222222"/>
          <w:sz w:val="22"/>
          <w:szCs w:val="22"/>
          <w:rtl/>
        </w:rPr>
        <w:t xml:space="preserve">אי-גילוי עובדה שחובה לגלותה לפי דין, נוהג או נסיבות מפר את חובת תום הלב (ס׳ 12), ואם נכרת חוזה בעקבותיו — מהווה גם הטעיה פסיבית לפי ס׳ 15 ומקנה זכות ביטול.</w:t>
      </w:r>
    </w:p>
    <w:p>
      <w:pPr>
        <w:bidi/>
        <w:spacing w:after="40" w:before="120" w:line="276"/>
      </w:pPr>
      <w:r>
        <w:rPr>
          <w:rFonts w:ascii="Arial" w:cs="Arial" w:eastAsia="Arial" w:hAnsi="Arial"/>
          <w:b/>
          <w:bCs/>
          <w:i w:val="false"/>
          <w:iCs w:val="false"/>
          <w:color w:val="222222"/>
          <w:sz w:val="22"/>
          <w:szCs w:val="22"/>
          <w:rtl/>
        </w:rPr>
        <w:t xml:space="preserve">28. </w:t>
      </w:r>
      <w:r>
        <w:rPr>
          <w:rFonts w:ascii="Arial" w:cs="Arial" w:eastAsia="Arial" w:hAnsi="Arial"/>
          <w:b/>
          <w:bCs/>
          <w:i w:val="false"/>
          <w:iCs w:val="false"/>
          <w:color w:val="222222"/>
          <w:sz w:val="22"/>
          <w:szCs w:val="22"/>
          <w:rtl/>
        </w:rPr>
        <w:t xml:space="preserve">מי שהוטעה על ידי מתווך שפעל מטעם המוכר — אינו יכול לבטל את החוזה מול המוכר, שכן המוכר עצמו לא הטעה.</w:t>
      </w:r>
      <w:r>
        <w:rPr>
          <w:rFonts w:ascii="Arial" w:cs="Arial" w:eastAsia="Arial" w:hAnsi="Arial"/>
          <w:b/>
          <w:bCs/>
          <w:i w:val="false"/>
          <w:iCs w:val="false"/>
          <w:color w:val="B26B00"/>
          <w:sz w:val="19"/>
          <w:szCs w:val="19"/>
          <w:rtl/>
        </w:rPr>
        <w:t xml:space="preserve">   [ס׳ 15]</w:t>
      </w:r>
    </w:p>
    <w:p>
      <w:pPr>
        <w:shd w:fill="F5F5F0" w:val="clear"/>
        <w:bidi/>
        <w:spacing w:after="140" w:before="0" w:line="276"/>
        <w:ind w:left="150" w:right="150"/>
      </w:pPr>
      <w:r>
        <w:rPr>
          <w:rFonts w:ascii="Arial" w:cs="Arial" w:eastAsia="Arial" w:hAnsi="Arial"/>
          <w:b/>
          <w:bCs/>
          <w:i w:val="false"/>
          <w:iCs w:val="false"/>
          <w:color w:val="B02A2A"/>
          <w:sz w:val="22"/>
          <w:szCs w:val="22"/>
          <w:rtl/>
        </w:rPr>
        <w:t xml:space="preserve">לא נכון — </w:t>
      </w:r>
      <w:r>
        <w:rPr>
          <w:rFonts w:ascii="Arial" w:cs="Arial" w:eastAsia="Arial" w:hAnsi="Arial"/>
          <w:b w:val="false"/>
          <w:bCs w:val="false"/>
          <w:i w:val="false"/>
          <w:iCs w:val="false"/>
          <w:color w:val="222222"/>
          <w:sz w:val="22"/>
          <w:szCs w:val="22"/>
          <w:rtl/>
        </w:rPr>
        <w:t xml:space="preserve">ס׳ 15 חל על הטעיה שהטעה "הצד השני או אחר מטעמו" — הטעיית שלוח או נציג מקנה זכות ביטול מול הצד עצמו.</w:t>
      </w:r>
    </w:p>
    <w:p>
      <w:pPr>
        <w:bidi/>
        <w:spacing w:after="40" w:before="120" w:line="276"/>
      </w:pPr>
      <w:r>
        <w:rPr>
          <w:rFonts w:ascii="Arial" w:cs="Arial" w:eastAsia="Arial" w:hAnsi="Arial"/>
          <w:b/>
          <w:bCs/>
          <w:i w:val="false"/>
          <w:iCs w:val="false"/>
          <w:color w:val="222222"/>
          <w:sz w:val="22"/>
          <w:szCs w:val="22"/>
          <w:rtl/>
        </w:rPr>
        <w:t xml:space="preserve">29. </w:t>
      </w:r>
      <w:r>
        <w:rPr>
          <w:rFonts w:ascii="Arial" w:cs="Arial" w:eastAsia="Arial" w:hAnsi="Arial"/>
          <w:b/>
          <w:bCs/>
          <w:i w:val="false"/>
          <w:iCs w:val="false"/>
          <w:color w:val="222222"/>
          <w:sz w:val="22"/>
          <w:szCs w:val="22"/>
          <w:rtl/>
        </w:rPr>
        <w:t xml:space="preserve">בחוזה נכתב בטעות "573 מ"ר" במקום "375 מ"ר" שסוכמו. הצד המעוניין רשאי לבטל את החוזה בשל כך.</w:t>
      </w:r>
      <w:r>
        <w:rPr>
          <w:rFonts w:ascii="Arial" w:cs="Arial" w:eastAsia="Arial" w:hAnsi="Arial"/>
          <w:b/>
          <w:bCs/>
          <w:i w:val="false"/>
          <w:iCs w:val="false"/>
          <w:color w:val="B26B00"/>
          <w:sz w:val="19"/>
          <w:szCs w:val="19"/>
          <w:rtl/>
        </w:rPr>
        <w:t xml:space="preserve">   [ס׳ 16]</w:t>
      </w:r>
    </w:p>
    <w:p>
      <w:pPr>
        <w:shd w:fill="F5F5F0" w:val="clear"/>
        <w:bidi/>
        <w:spacing w:after="140" w:before="0" w:line="276"/>
        <w:ind w:left="150" w:right="150"/>
      </w:pPr>
      <w:r>
        <w:rPr>
          <w:rFonts w:ascii="Arial" w:cs="Arial" w:eastAsia="Arial" w:hAnsi="Arial"/>
          <w:b/>
          <w:bCs/>
          <w:i w:val="false"/>
          <w:iCs w:val="false"/>
          <w:color w:val="B02A2A"/>
          <w:sz w:val="22"/>
          <w:szCs w:val="22"/>
          <w:rtl/>
        </w:rPr>
        <w:t xml:space="preserve">לא נכון — </w:t>
      </w:r>
      <w:r>
        <w:rPr>
          <w:rFonts w:ascii="Arial" w:cs="Arial" w:eastAsia="Arial" w:hAnsi="Arial"/>
          <w:b w:val="false"/>
          <w:bCs w:val="false"/>
          <w:i w:val="false"/>
          <w:iCs w:val="false"/>
          <w:color w:val="222222"/>
          <w:sz w:val="22"/>
          <w:szCs w:val="22"/>
          <w:rtl/>
        </w:rPr>
        <w:t xml:space="preserve">טעות סופר (ס׳ 16) אינה עילת ביטול — החוזה מתוקן לפי אומד דעת הצדדים; ההתכחשות לטעות מהווה חוסר תום לב.</w:t>
      </w:r>
    </w:p>
    <w:p>
      <w:pPr>
        <w:bidi/>
        <w:spacing w:after="40" w:before="120" w:line="276"/>
      </w:pPr>
      <w:r>
        <w:rPr>
          <w:rFonts w:ascii="Arial" w:cs="Arial" w:eastAsia="Arial" w:hAnsi="Arial"/>
          <w:b/>
          <w:bCs/>
          <w:i w:val="false"/>
          <w:iCs w:val="false"/>
          <w:color w:val="222222"/>
          <w:sz w:val="22"/>
          <w:szCs w:val="22"/>
          <w:rtl/>
        </w:rPr>
        <w:t xml:space="preserve">30. </w:t>
      </w:r>
      <w:r>
        <w:rPr>
          <w:rFonts w:ascii="Arial" w:cs="Arial" w:eastAsia="Arial" w:hAnsi="Arial"/>
          <w:b/>
          <w:bCs/>
          <w:i w:val="false"/>
          <w:iCs w:val="false"/>
          <w:color w:val="222222"/>
          <w:sz w:val="22"/>
          <w:szCs w:val="22"/>
          <w:rtl/>
        </w:rPr>
        <w:t xml:space="preserve">ספק שאמר ללקוח החייב לו כסף: "אם לא תשלם עד מחר — אגיש נגדך תביעה", והלקוח חתם עקב כך על הסדר — הלקוח רשאי לבטל את ההסדר בעילת כפייה.</w:t>
      </w:r>
      <w:r>
        <w:rPr>
          <w:rFonts w:ascii="Arial" w:cs="Arial" w:eastAsia="Arial" w:hAnsi="Arial"/>
          <w:b/>
          <w:bCs/>
          <w:i w:val="false"/>
          <w:iCs w:val="false"/>
          <w:color w:val="B26B00"/>
          <w:sz w:val="19"/>
          <w:szCs w:val="19"/>
          <w:rtl/>
        </w:rPr>
        <w:t xml:space="preserve">   [ס׳ 17]</w:t>
      </w:r>
    </w:p>
    <w:p>
      <w:pPr>
        <w:shd w:fill="F5F5F0" w:val="clear"/>
        <w:bidi/>
        <w:spacing w:after="140" w:before="0" w:line="276"/>
        <w:ind w:left="150" w:right="150"/>
      </w:pPr>
      <w:r>
        <w:rPr>
          <w:rFonts w:ascii="Arial" w:cs="Arial" w:eastAsia="Arial" w:hAnsi="Arial"/>
          <w:b/>
          <w:bCs/>
          <w:i w:val="false"/>
          <w:iCs w:val="false"/>
          <w:color w:val="B02A2A"/>
          <w:sz w:val="22"/>
          <w:szCs w:val="22"/>
          <w:rtl/>
        </w:rPr>
        <w:t xml:space="preserve">לא נכון — </w:t>
      </w:r>
      <w:r>
        <w:rPr>
          <w:rFonts w:ascii="Arial" w:cs="Arial" w:eastAsia="Arial" w:hAnsi="Arial"/>
          <w:b w:val="false"/>
          <w:bCs w:val="false"/>
          <w:i w:val="false"/>
          <w:iCs w:val="false"/>
          <w:color w:val="222222"/>
          <w:sz w:val="22"/>
          <w:szCs w:val="22"/>
          <w:rtl/>
        </w:rPr>
        <w:t xml:space="preserve">לפי ס׳ 17(ב), אזהרה בתום לב על הפעלת זכות (תביעה על חוב אמיתי) אינה איום. כפייה מצריכה לחץ בלתי לגיטימי — איום מפתיע, חמור ובלתי הפיך (רחמים נ׳ אקספומדיה).</w:t>
      </w:r>
    </w:p>
    <w:p>
      <w:r>
        <w:br w:type="page"/>
      </w:r>
    </w:p>
    <w:p>
      <w:pPr>
        <w:pStyle w:val="Heading1"/>
        <w:keepNext/>
        <w:bidi/>
        <w:spacing w:after="160" w:before="240" w:line="276"/>
      </w:pPr>
      <w:r>
        <w:rPr>
          <w:rFonts w:ascii="Arial" w:cs="Arial" w:eastAsia="Arial" w:hAnsi="Arial"/>
          <w:b/>
          <w:bCs/>
          <w:i w:val="false"/>
          <w:iCs w:val="false"/>
          <w:color w:val="1F3864"/>
          <w:sz w:val="32"/>
          <w:szCs w:val="32"/>
          <w:rtl/>
        </w:rPr>
        <w:t xml:space="preserve">חלק ח׳ — קייסים רשמיים עם פתרון</w:t>
      </w:r>
    </w:p>
    <w:p>
      <w:pPr>
        <w:bidi/>
        <w:spacing w:after="120" w:before="0" w:line="276"/>
      </w:pPr>
      <w:r>
        <w:rPr>
          <w:rFonts w:ascii="Arial" w:cs="Arial" w:eastAsia="Arial" w:hAnsi="Arial"/>
          <w:b/>
          <w:bCs/>
          <w:i w:val="false"/>
          <w:iCs w:val="false"/>
          <w:color w:val="222222"/>
          <w:sz w:val="22"/>
          <w:szCs w:val="22"/>
          <w:rtl/>
        </w:rPr>
        <w:t xml:space="preserve">שיטת פתרון קייס: </w:t>
      </w:r>
      <w:r>
        <w:rPr>
          <w:rFonts w:ascii="Arial" w:cs="Arial" w:eastAsia="Arial" w:hAnsi="Arial"/>
          <w:b w:val="false"/>
          <w:bCs w:val="false"/>
          <w:i w:val="false"/>
          <w:iCs w:val="false"/>
          <w:color w:val="222222"/>
          <w:sz w:val="22"/>
          <w:szCs w:val="22"/>
          <w:rtl/>
        </w:rPr>
        <w:t xml:space="preserve">מזהים את שלבי הכריתה כרונולוגית (הזמנה להציע? הצעה? קיבול / קיבול תוך שינוי / דחייה?), ואז עילות (תום לב? טעות?) וסעדים — עם סעיף לכל שלב.</w:t>
      </w:r>
    </w:p>
    <w:p>
      <w:pPr>
        <w:pStyle w:val="Heading3"/>
        <w:keepNext/>
        <w:bidi/>
        <w:spacing w:after="80" w:before="140" w:line="276"/>
      </w:pPr>
      <w:r>
        <w:rPr>
          <w:rFonts w:ascii="Arial" w:cs="Arial" w:eastAsia="Arial" w:hAnsi="Arial"/>
          <w:b/>
          <w:bCs/>
          <w:i w:val="false"/>
          <w:iCs w:val="false"/>
          <w:color w:val="404040"/>
          <w:sz w:val="23"/>
          <w:szCs w:val="23"/>
          <w:rtl/>
        </w:rPr>
        <w:t xml:space="preserve">קייס 1 — תמרי הנגר (מתוך "שקפי חזרה" הרשמיים של הקורס)</w:t>
      </w:r>
    </w:p>
    <w:p>
      <w:pPr>
        <w:shd w:fill="F2F2F2" w:val="clear"/>
        <w:bidi/>
        <w:spacing w:after="120" w:before="0" w:line="276"/>
        <w:ind w:left="200" w:right="200"/>
      </w:pPr>
      <w:r>
        <w:rPr>
          <w:rFonts w:ascii="Arial" w:cs="Arial" w:eastAsia="Arial" w:hAnsi="Arial"/>
          <w:b w:val="false"/>
          <w:bCs w:val="false"/>
          <w:i/>
          <w:iCs/>
          <w:color w:val="333333"/>
          <w:sz w:val="22"/>
          <w:szCs w:val="22"/>
          <w:rtl/>
        </w:rPr>
        <w:t xml:space="preserve">תמרי, נגר בעל שם, הציב כוננית מיוחדת בחלון הראווה של הסטודיו והצמיד תווית מחיר של 6,000 ₪. ניר נכנס, אמר שהוא מעוניין והציע 5,000 ₪ במזומן כולל הובלה והרכבה על חשבון תמרי. תמרי סירב בנימוס. למחרת שלח ניר אימייל: מוכן לשלם 5,000 ₪ ולשאת בעצמו בהובלה ובהרכבה, "ואם לא אשמע ממך עד מחר — אראה בכך הסכמה". תמרי לא ענה והפיק לניר חשבונית על 5,000 ₪. ניר לא הגיע לאסוף את הכוננית, ותמרי דורש ממנו לכבד את החוזה.</w:t>
      </w:r>
    </w:p>
    <w:p>
      <w:pPr>
        <w:pStyle w:val="ListParagraph"/>
        <w:numPr>
          <w:ilvl w:val="0"/>
          <w:numId w:val="6"/>
        </w:numPr>
        <w:bidi/>
        <w:spacing w:after="60" w:line="276"/>
      </w:pPr>
      <w:r>
        <w:rPr>
          <w:rFonts w:ascii="Arial" w:cs="Arial" w:eastAsia="Arial" w:hAnsi="Arial"/>
          <w:b/>
          <w:bCs/>
          <w:i w:val="false"/>
          <w:iCs w:val="false"/>
          <w:color w:val="222222"/>
          <w:sz w:val="22"/>
          <w:szCs w:val="22"/>
          <w:rtl/>
        </w:rPr>
        <w:t xml:space="preserve">הכוננית בחלון עם תווית מחיר: </w:t>
      </w:r>
      <w:r>
        <w:rPr>
          <w:rFonts w:ascii="Arial" w:cs="Arial" w:eastAsia="Arial" w:hAnsi="Arial"/>
          <w:b w:val="false"/>
          <w:bCs w:val="false"/>
          <w:i w:val="false"/>
          <w:iCs w:val="false"/>
          <w:color w:val="222222"/>
          <w:sz w:val="22"/>
          <w:szCs w:val="22"/>
          <w:rtl/>
        </w:rPr>
        <w:t xml:space="preserve">הצעה לציבור (ס׳ 2) — פנייה, גמירת דעת ומסוימות (מחיר נקוב).</w:t>
      </w:r>
    </w:p>
    <w:p>
      <w:pPr>
        <w:pStyle w:val="ListParagraph"/>
        <w:numPr>
          <w:ilvl w:val="0"/>
          <w:numId w:val="6"/>
        </w:numPr>
        <w:bidi/>
        <w:spacing w:after="60" w:line="276"/>
      </w:pPr>
      <w:r>
        <w:rPr>
          <w:rFonts w:ascii="Arial" w:cs="Arial" w:eastAsia="Arial" w:hAnsi="Arial"/>
          <w:b/>
          <w:bCs/>
          <w:i w:val="false"/>
          <w:iCs w:val="false"/>
          <w:color w:val="222222"/>
          <w:sz w:val="22"/>
          <w:szCs w:val="22"/>
          <w:rtl/>
        </w:rPr>
        <w:t xml:space="preserve">הצעת ניר (5,000 ₪ + הובלה על תמרי): </w:t>
      </w:r>
      <w:r>
        <w:rPr>
          <w:rFonts w:ascii="Arial" w:cs="Arial" w:eastAsia="Arial" w:hAnsi="Arial"/>
          <w:b w:val="false"/>
          <w:bCs w:val="false"/>
          <w:i w:val="false"/>
          <w:iCs w:val="false"/>
          <w:color w:val="222222"/>
          <w:sz w:val="22"/>
          <w:szCs w:val="22"/>
          <w:rtl/>
        </w:rPr>
        <w:t xml:space="preserve">קיבול תוך שינוי — הצעה חדשה (ס׳ 11); ניר נעשה מציע.</w:t>
      </w:r>
    </w:p>
    <w:p>
      <w:pPr>
        <w:pStyle w:val="ListParagraph"/>
        <w:numPr>
          <w:ilvl w:val="0"/>
          <w:numId w:val="6"/>
        </w:numPr>
        <w:bidi/>
        <w:spacing w:after="60" w:line="276"/>
      </w:pPr>
      <w:r>
        <w:rPr>
          <w:rFonts w:ascii="Arial" w:cs="Arial" w:eastAsia="Arial" w:hAnsi="Arial"/>
          <w:b/>
          <w:bCs/>
          <w:i w:val="false"/>
          <w:iCs w:val="false"/>
          <w:color w:val="222222"/>
          <w:sz w:val="22"/>
          <w:szCs w:val="22"/>
          <w:rtl/>
        </w:rPr>
        <w:t xml:space="preserve">סירוב תמרי: </w:t>
      </w:r>
      <w:r>
        <w:rPr>
          <w:rFonts w:ascii="Arial" w:cs="Arial" w:eastAsia="Arial" w:hAnsi="Arial"/>
          <w:b w:val="false"/>
          <w:bCs w:val="false"/>
          <w:i w:val="false"/>
          <w:iCs w:val="false"/>
          <w:color w:val="222222"/>
          <w:sz w:val="22"/>
          <w:szCs w:val="22"/>
          <w:rtl/>
        </w:rPr>
        <w:t xml:space="preserve">דחייה מפורשת — ההצעה של ניר פקעה (ס׳ 4(1)).</w:t>
      </w:r>
    </w:p>
    <w:p>
      <w:pPr>
        <w:pStyle w:val="ListParagraph"/>
        <w:numPr>
          <w:ilvl w:val="0"/>
          <w:numId w:val="6"/>
        </w:numPr>
        <w:bidi/>
        <w:spacing w:after="60" w:line="276"/>
      </w:pPr>
      <w:r>
        <w:rPr>
          <w:rFonts w:ascii="Arial" w:cs="Arial" w:eastAsia="Arial" w:hAnsi="Arial"/>
          <w:b/>
          <w:bCs/>
          <w:i w:val="false"/>
          <w:iCs w:val="false"/>
          <w:color w:val="222222"/>
          <w:sz w:val="22"/>
          <w:szCs w:val="22"/>
          <w:rtl/>
        </w:rPr>
        <w:t xml:space="preserve">האימייל של ניר: </w:t>
      </w:r>
      <w:r>
        <w:rPr>
          <w:rFonts w:ascii="Arial" w:cs="Arial" w:eastAsia="Arial" w:hAnsi="Arial"/>
          <w:b w:val="false"/>
          <w:bCs w:val="false"/>
          <w:i w:val="false"/>
          <w:iCs w:val="false"/>
          <w:color w:val="222222"/>
          <w:sz w:val="22"/>
          <w:szCs w:val="22"/>
          <w:rtl/>
        </w:rPr>
        <w:t xml:space="preserve">הצעה חדשה. קביעתו ששתיקה תיחשב הסכמה — חסרת תוקף כלפי תמרי (ס׳ 6(ב)), אך תמרי רשאי מיוזמתו לאמץ שתיקה כקיבול.</w:t>
      </w:r>
    </w:p>
    <w:p>
      <w:pPr>
        <w:pStyle w:val="ListParagraph"/>
        <w:numPr>
          <w:ilvl w:val="0"/>
          <w:numId w:val="6"/>
        </w:numPr>
        <w:bidi/>
        <w:spacing w:after="60" w:line="276"/>
      </w:pPr>
      <w:r>
        <w:rPr>
          <w:rFonts w:ascii="Arial" w:cs="Arial" w:eastAsia="Arial" w:hAnsi="Arial"/>
          <w:b/>
          <w:bCs/>
          <w:i w:val="false"/>
          <w:iCs w:val="false"/>
          <w:color w:val="222222"/>
          <w:sz w:val="22"/>
          <w:szCs w:val="22"/>
          <w:rtl/>
        </w:rPr>
        <w:t xml:space="preserve">הפקת החשבונית: </w:t>
      </w:r>
      <w:r>
        <w:rPr>
          <w:rFonts w:ascii="Arial" w:cs="Arial" w:eastAsia="Arial" w:hAnsi="Arial"/>
          <w:b w:val="false"/>
          <w:bCs w:val="false"/>
          <w:i w:val="false"/>
          <w:iCs w:val="false"/>
          <w:color w:val="222222"/>
          <w:sz w:val="22"/>
          <w:szCs w:val="22"/>
          <w:rtl/>
        </w:rPr>
        <w:t xml:space="preserve">קיבול בהתנהגות המעיד על גמירת דעת (ס׳ 6(א)) — נכרת חוזה. ניר אינו יכול להתנער; תמרי צודק.</w:t>
      </w:r>
    </w:p>
    <w:p>
      <w:pPr>
        <w:pStyle w:val="Heading3"/>
        <w:keepNext/>
        <w:bidi/>
        <w:spacing w:after="80" w:before="140" w:line="276"/>
      </w:pPr>
      <w:r>
        <w:rPr>
          <w:rFonts w:ascii="Arial" w:cs="Arial" w:eastAsia="Arial" w:hAnsi="Arial"/>
          <w:b/>
          <w:bCs/>
          <w:i w:val="false"/>
          <w:iCs w:val="false"/>
          <w:color w:val="404040"/>
          <w:sz w:val="23"/>
          <w:szCs w:val="23"/>
          <w:rtl/>
        </w:rPr>
        <w:t xml:space="preserve">קייס 2 — סיגל והמורה לגיטרה (בוחן אמצע, הכיתה המקבילה)</w:t>
      </w:r>
    </w:p>
    <w:p>
      <w:pPr>
        <w:shd w:fill="F2F2F2" w:val="clear"/>
        <w:bidi/>
        <w:spacing w:after="120" w:before="0" w:line="276"/>
        <w:ind w:left="200" w:right="200"/>
      </w:pPr>
      <w:r>
        <w:rPr>
          <w:rFonts w:ascii="Arial" w:cs="Arial" w:eastAsia="Arial" w:hAnsi="Arial"/>
          <w:b w:val="false"/>
          <w:bCs w:val="false"/>
          <w:i/>
          <w:iCs/>
          <w:color w:val="333333"/>
          <w:sz w:val="22"/>
          <w:szCs w:val="22"/>
          <w:rtl/>
        </w:rPr>
        <w:t xml:space="preserve">סיגל פרסמה בפייסבוק שהיא מחפשת מורה לגיטרה לבנה. איתי, גיטריסט חסר ניסיון בהוראה, פנה אליה: "אני בעל ניסיון עשיר בלימוד גיטרה ולימוד ילדים. עלות שיעור — 100 ₪". סיגל השיבה בהתלהבות אך הציעה 75 ₪. איתי הסכים, נקבע שיעור ניסיון ולאחריו שיעור שבועי ב-75 ₪. לאחר מספר שיעורים גילתה סיגל שלאיתי אין כל ניסיון. דונו לפי חוק החוזים (חלק כללי) בלבד.</w:t>
      </w:r>
    </w:p>
    <w:p>
      <w:pPr>
        <w:pStyle w:val="ListParagraph"/>
        <w:numPr>
          <w:ilvl w:val="0"/>
          <w:numId w:val="7"/>
        </w:numPr>
        <w:bidi/>
        <w:spacing w:after="60" w:line="276"/>
      </w:pPr>
      <w:r>
        <w:rPr>
          <w:rFonts w:ascii="Arial" w:cs="Arial" w:eastAsia="Arial" w:hAnsi="Arial"/>
          <w:b/>
          <w:bCs/>
          <w:i w:val="false"/>
          <w:iCs w:val="false"/>
          <w:color w:val="222222"/>
          <w:sz w:val="22"/>
          <w:szCs w:val="22"/>
          <w:rtl/>
        </w:rPr>
        <w:t xml:space="preserve">המודעה של סיגל: </w:t>
      </w:r>
      <w:r>
        <w:rPr>
          <w:rFonts w:ascii="Arial" w:cs="Arial" w:eastAsia="Arial" w:hAnsi="Arial"/>
          <w:b w:val="false"/>
          <w:bCs w:val="false"/>
          <w:i w:val="false"/>
          <w:iCs w:val="false"/>
          <w:color w:val="222222"/>
          <w:sz w:val="22"/>
          <w:szCs w:val="22"/>
          <w:rtl/>
        </w:rPr>
        <w:t xml:space="preserve">הזמנה להציע הצעות — אין גמירת דעת ומסוימות כלפי פונה מסוים.</w:t>
      </w:r>
    </w:p>
    <w:p>
      <w:pPr>
        <w:pStyle w:val="ListParagraph"/>
        <w:numPr>
          <w:ilvl w:val="0"/>
          <w:numId w:val="7"/>
        </w:numPr>
        <w:bidi/>
        <w:spacing w:after="60" w:line="276"/>
      </w:pPr>
      <w:r>
        <w:rPr>
          <w:rFonts w:ascii="Arial" w:cs="Arial" w:eastAsia="Arial" w:hAnsi="Arial"/>
          <w:b/>
          <w:bCs/>
          <w:i w:val="false"/>
          <w:iCs w:val="false"/>
          <w:color w:val="222222"/>
          <w:sz w:val="22"/>
          <w:szCs w:val="22"/>
          <w:rtl/>
        </w:rPr>
        <w:t xml:space="preserve">פניית איתי: </w:t>
      </w:r>
      <w:r>
        <w:rPr>
          <w:rFonts w:ascii="Arial" w:cs="Arial" w:eastAsia="Arial" w:hAnsi="Arial"/>
          <w:b w:val="false"/>
          <w:bCs w:val="false"/>
          <w:i w:val="false"/>
          <w:iCs w:val="false"/>
          <w:color w:val="222222"/>
          <w:sz w:val="22"/>
          <w:szCs w:val="22"/>
          <w:rtl/>
        </w:rPr>
        <w:t xml:space="preserve">הצעה (ס׳ 2) — פנייה + גמירת דעת + מסוימות (השירות ומחירו).</w:t>
      </w:r>
    </w:p>
    <w:p>
      <w:pPr>
        <w:pStyle w:val="ListParagraph"/>
        <w:numPr>
          <w:ilvl w:val="0"/>
          <w:numId w:val="7"/>
        </w:numPr>
        <w:bidi/>
        <w:spacing w:after="60" w:line="276"/>
      </w:pPr>
      <w:r>
        <w:rPr>
          <w:rFonts w:ascii="Arial" w:cs="Arial" w:eastAsia="Arial" w:hAnsi="Arial"/>
          <w:b/>
          <w:bCs/>
          <w:i w:val="false"/>
          <w:iCs w:val="false"/>
          <w:color w:val="222222"/>
          <w:sz w:val="22"/>
          <w:szCs w:val="22"/>
          <w:rtl/>
        </w:rPr>
        <w:t xml:space="preserve">תגובת סיגל (75 ₪): </w:t>
      </w:r>
      <w:r>
        <w:rPr>
          <w:rFonts w:ascii="Arial" w:cs="Arial" w:eastAsia="Arial" w:hAnsi="Arial"/>
          <w:b w:val="false"/>
          <w:bCs w:val="false"/>
          <w:i w:val="false"/>
          <w:iCs w:val="false"/>
          <w:color w:val="222222"/>
          <w:sz w:val="22"/>
          <w:szCs w:val="22"/>
          <w:rtl/>
        </w:rPr>
        <w:t xml:space="preserve">קיבול תוך שינוי = הצעה חדשה (ס׳ 11); סיגל הפכה למציעה.</w:t>
      </w:r>
    </w:p>
    <w:p>
      <w:pPr>
        <w:pStyle w:val="ListParagraph"/>
        <w:numPr>
          <w:ilvl w:val="0"/>
          <w:numId w:val="7"/>
        </w:numPr>
        <w:bidi/>
        <w:spacing w:after="60" w:line="276"/>
      </w:pPr>
      <w:r>
        <w:rPr>
          <w:rFonts w:ascii="Arial" w:cs="Arial" w:eastAsia="Arial" w:hAnsi="Arial"/>
          <w:b/>
          <w:bCs/>
          <w:i w:val="false"/>
          <w:iCs w:val="false"/>
          <w:color w:val="222222"/>
          <w:sz w:val="22"/>
          <w:szCs w:val="22"/>
          <w:rtl/>
        </w:rPr>
        <w:t xml:space="preserve">הסכמת איתי והשיעורים: </w:t>
      </w:r>
      <w:r>
        <w:rPr>
          <w:rFonts w:ascii="Arial" w:cs="Arial" w:eastAsia="Arial" w:hAnsi="Arial"/>
          <w:b w:val="false"/>
          <w:bCs w:val="false"/>
          <w:i w:val="false"/>
          <w:iCs w:val="false"/>
          <w:color w:val="222222"/>
          <w:sz w:val="22"/>
          <w:szCs w:val="22"/>
          <w:rtl/>
        </w:rPr>
        <w:t xml:space="preserve">קיבול לפי ס׳ 5, ואף קיבול בהתנהגות לפי ס׳ 6(א) — נכרת חוזה.</w:t>
      </w:r>
    </w:p>
    <w:p>
      <w:pPr>
        <w:pStyle w:val="ListParagraph"/>
        <w:numPr>
          <w:ilvl w:val="0"/>
          <w:numId w:val="7"/>
        </w:numPr>
        <w:bidi/>
        <w:spacing w:after="60" w:line="276"/>
      </w:pPr>
      <w:r>
        <w:rPr>
          <w:rFonts w:ascii="Arial" w:cs="Arial" w:eastAsia="Arial" w:hAnsi="Arial"/>
          <w:b/>
          <w:bCs/>
          <w:i w:val="false"/>
          <w:iCs w:val="false"/>
          <w:color w:val="222222"/>
          <w:sz w:val="22"/>
          <w:szCs w:val="22"/>
          <w:rtl/>
        </w:rPr>
        <w:t xml:space="preserve">עילות סיגל: </w:t>
      </w:r>
      <w:r>
        <w:rPr>
          <w:rFonts w:ascii="Arial" w:cs="Arial" w:eastAsia="Arial" w:hAnsi="Arial"/>
          <w:b w:val="false"/>
          <w:bCs w:val="false"/>
          <w:i w:val="false"/>
          <w:iCs w:val="false"/>
          <w:color w:val="222222"/>
          <w:sz w:val="22"/>
          <w:szCs w:val="22"/>
          <w:rtl/>
        </w:rPr>
        <w:t xml:space="preserve">חוסר תום לב במו"מ (ס׳ 12) — מצג שווא על הניסיון; טעות ידועה (ס׳ 14(א)) — איתי ידע על טעותה; הטעות יסודית, בקשר סיבתי, ואינה בכדאיות; וכן הטעיה אקטיבית (ס׳ 15) עם קשר סיבתי כפול.</w:t>
      </w:r>
    </w:p>
    <w:p>
      <w:pPr>
        <w:pStyle w:val="ListParagraph"/>
        <w:numPr>
          <w:ilvl w:val="0"/>
          <w:numId w:val="7"/>
        </w:numPr>
        <w:bidi/>
        <w:spacing w:after="60" w:line="276"/>
      </w:pPr>
      <w:r>
        <w:rPr>
          <w:rFonts w:ascii="Arial" w:cs="Arial" w:eastAsia="Arial" w:hAnsi="Arial"/>
          <w:b/>
          <w:bCs/>
          <w:i w:val="false"/>
          <w:iCs w:val="false"/>
          <w:color w:val="222222"/>
          <w:sz w:val="22"/>
          <w:szCs w:val="22"/>
          <w:rtl/>
        </w:rPr>
        <w:t xml:space="preserve">סעדים: </w:t>
      </w:r>
      <w:r>
        <w:rPr>
          <w:rFonts w:ascii="Arial" w:cs="Arial" w:eastAsia="Arial" w:hAnsi="Arial"/>
          <w:b w:val="false"/>
          <w:bCs w:val="false"/>
          <w:i w:val="false"/>
          <w:iCs w:val="false"/>
          <w:color w:val="222222"/>
          <w:sz w:val="22"/>
          <w:szCs w:val="22"/>
          <w:rtl/>
        </w:rPr>
        <w:t xml:space="preserve">ביטול בהודעה תוך זמן סביר (ס׳ 20) + השבה (ס׳ 21); ובמצטבר פיצויי הסתמכות מכוח ס׳ 12(ב) (ס׳ 22 — שמירת תרופות). הפחתת שכר חד-צדדית אינה סעד.</w:t>
      </w:r>
    </w:p>
    <w:p>
      <w:r>
        <w:br w:type="page"/>
      </w:r>
    </w:p>
    <w:p>
      <w:pPr>
        <w:pStyle w:val="Heading1"/>
        <w:keepNext/>
        <w:bidi/>
        <w:spacing w:after="160" w:before="240" w:line="276"/>
      </w:pPr>
      <w:r>
        <w:rPr>
          <w:rFonts w:ascii="Arial" w:cs="Arial" w:eastAsia="Arial" w:hAnsi="Arial"/>
          <w:b/>
          <w:bCs/>
          <w:i w:val="false"/>
          <w:iCs w:val="false"/>
          <w:color w:val="1F3864"/>
          <w:sz w:val="32"/>
          <w:szCs w:val="32"/>
          <w:rtl/>
        </w:rPr>
        <w:t xml:space="preserve">נספח חקיקה — לשון הסעיפים לציטוט מדויק</w:t>
      </w:r>
    </w:p>
    <w:p>
      <w:pPr>
        <w:shd w:fill="FFF6E0" w:val="clear"/>
        <w:bidi/>
        <w:spacing w:after="120" w:before="0" w:line="276"/>
        <w:ind w:left="150" w:right="150"/>
      </w:pPr>
      <w:r>
        <w:rPr>
          <w:rFonts w:ascii="Arial" w:cs="Arial" w:eastAsia="Arial" w:hAnsi="Arial"/>
          <w:b/>
          <w:bCs/>
          <w:i w:val="false"/>
          <w:iCs w:val="false"/>
          <w:color w:val="222222"/>
          <w:sz w:val="22"/>
          <w:szCs w:val="22"/>
          <w:rtl/>
        </w:rPr>
        <w:t xml:space="preserve">הסעיפים שלהלן מובאים כלשונם מהמצגות של המרצה. </w:t>
      </w:r>
      <w:r>
        <w:rPr>
          <w:rFonts w:ascii="Arial" w:cs="Arial" w:eastAsia="Arial" w:hAnsi="Arial"/>
          <w:b w:val="false"/>
          <w:bCs w:val="false"/>
          <w:i w:val="false"/>
          <w:iCs w:val="false"/>
          <w:color w:val="222222"/>
          <w:sz w:val="22"/>
          <w:szCs w:val="22"/>
          <w:rtl/>
        </w:rPr>
        <w:t xml:space="preserve">סעיפים המסומנים [תמצית] מנוסחים בתמצית — ציין בבחינה את מספר הסעיף, ואם נדרש ציטוט מילולי מדויק היעזר בקובץ החקיקה המודפס.</w:t>
      </w:r>
    </w:p>
    <w:p>
      <w:pPr>
        <w:pStyle w:val="Heading2"/>
        <w:keepNext/>
        <w:bidi/>
        <w:spacing w:after="120" w:before="200" w:line="276"/>
      </w:pPr>
      <w:r>
        <w:rPr>
          <w:rFonts w:ascii="Arial" w:cs="Arial" w:eastAsia="Arial" w:hAnsi="Arial"/>
          <w:b/>
          <w:bCs/>
          <w:i w:val="false"/>
          <w:iCs w:val="false"/>
          <w:color w:val="2E5395"/>
          <w:sz w:val="27"/>
          <w:szCs w:val="27"/>
          <w:rtl/>
        </w:rPr>
        <w:t xml:space="preserve">כריתת החוזה</w:t>
      </w:r>
    </w:p>
    <w:p>
      <w:pPr>
        <w:keepNext/>
        <w:bidi/>
        <w:spacing w:after="20" w:before="0" w:line="276"/>
      </w:pPr>
      <w:r>
        <w:rPr>
          <w:rFonts w:ascii="Arial" w:cs="Arial" w:eastAsia="Arial" w:hAnsi="Arial"/>
          <w:b/>
          <w:bCs/>
          <w:i w:val="false"/>
          <w:iCs w:val="false"/>
          <w:color w:val="2E5395"/>
          <w:sz w:val="23"/>
          <w:szCs w:val="23"/>
          <w:rtl/>
        </w:rPr>
        <w:t xml:space="preserve">ס' 2 — הצעה</w:t>
      </w:r>
    </w:p>
    <w:p>
      <w:pPr>
        <w:shd w:fill="F2F2F2" w:val="clear"/>
        <w:bidi/>
        <w:spacing w:after="120" w:before="0" w:line="276"/>
        <w:ind w:left="200" w:right="200"/>
      </w:pPr>
      <w:r>
        <w:rPr>
          <w:rFonts w:ascii="Arial" w:cs="Arial" w:eastAsia="Arial" w:hAnsi="Arial"/>
          <w:b w:val="false"/>
          <w:bCs w:val="false"/>
          <w:i/>
          <w:iCs/>
          <w:color w:val="333333"/>
          <w:sz w:val="22"/>
          <w:szCs w:val="22"/>
          <w:rtl/>
        </w:rPr>
        <w:t xml:space="preserve">"פנייתו של אדם לחברו היא בגדר הצעה, אם היא מעידה על גמירת דעתו של המציע להתקשר עם הניצע בחוזה והיא מסויימת כדי אפשרות לכרות את החוזה בקיבול ההצעה; הפניה יכול שתהיה לציבור."</w:t>
      </w:r>
    </w:p>
    <w:p>
      <w:pPr>
        <w:keepNext/>
        <w:bidi/>
        <w:spacing w:after="20" w:before="0" w:line="276"/>
      </w:pPr>
      <w:r>
        <w:rPr>
          <w:rFonts w:ascii="Arial" w:cs="Arial" w:eastAsia="Arial" w:hAnsi="Arial"/>
          <w:b/>
          <w:bCs/>
          <w:i w:val="false"/>
          <w:iCs w:val="false"/>
          <w:color w:val="2E5395"/>
          <w:sz w:val="23"/>
          <w:szCs w:val="23"/>
          <w:rtl/>
        </w:rPr>
        <w:t xml:space="preserve">ס' 3 — חזרה מן ההצעה</w:t>
      </w:r>
    </w:p>
    <w:p>
      <w:pPr>
        <w:shd w:fill="F2F2F2" w:val="clear"/>
        <w:bidi/>
        <w:spacing w:after="120" w:before="0" w:line="276"/>
        <w:ind w:left="200" w:right="200"/>
      </w:pPr>
      <w:r>
        <w:rPr>
          <w:rFonts w:ascii="Arial" w:cs="Arial" w:eastAsia="Arial" w:hAnsi="Arial"/>
          <w:b w:val="false"/>
          <w:bCs w:val="false"/>
          <w:i/>
          <w:iCs/>
          <w:color w:val="333333"/>
          <w:sz w:val="22"/>
          <w:szCs w:val="22"/>
          <w:rtl/>
        </w:rPr>
        <w:t xml:space="preserve">(א) "המציע רשאי לחזור בו מן ההצעה בהודעה לניצע, ובלבד שהודעת החזרה נמסרה לניצע לפני שנתן הודעת קיבול." (ב) "קבע המציע שהצעתו היא ללא חזרה, או שקבע מועד לקיבולה, אין הוא רשאי לחזור בו ממנה לאחר שנמסרה לניצע."</w:t>
      </w:r>
    </w:p>
    <w:p>
      <w:pPr>
        <w:keepNext/>
        <w:bidi/>
        <w:spacing w:after="20" w:before="0" w:line="276"/>
      </w:pPr>
      <w:r>
        <w:rPr>
          <w:rFonts w:ascii="Arial" w:cs="Arial" w:eastAsia="Arial" w:hAnsi="Arial"/>
          <w:b/>
          <w:bCs/>
          <w:i w:val="false"/>
          <w:iCs w:val="false"/>
          <w:color w:val="2E5395"/>
          <w:sz w:val="23"/>
          <w:szCs w:val="23"/>
          <w:rtl/>
        </w:rPr>
        <w:t xml:space="preserve">ס' 4 — פקיעת ההצעה</w:t>
      </w:r>
    </w:p>
    <w:p>
      <w:pPr>
        <w:shd w:fill="F2F2F2" w:val="clear"/>
        <w:bidi/>
        <w:spacing w:after="120" w:before="0" w:line="276"/>
        <w:ind w:left="200" w:right="200"/>
      </w:pPr>
      <w:r>
        <w:rPr>
          <w:rFonts w:ascii="Arial" w:cs="Arial" w:eastAsia="Arial" w:hAnsi="Arial"/>
          <w:b w:val="false"/>
          <w:bCs w:val="false"/>
          <w:i/>
          <w:iCs/>
          <w:color w:val="333333"/>
          <w:sz w:val="22"/>
          <w:szCs w:val="22"/>
          <w:rtl/>
        </w:rPr>
        <w:t xml:space="preserve">"ההצעה פוקעת — (1) כשדחה אותה הניצע או עבר המועד לקיבולה; (2) כשמת המציע או הניצע או כשנעשה אחד מהם פסול-דין או ניתן נגדו צו לקבלת נכסים או צו פירוק, והכל לפני מתן הודעת הקיבול."</w:t>
      </w:r>
    </w:p>
    <w:p>
      <w:pPr>
        <w:keepNext/>
        <w:bidi/>
        <w:spacing w:after="20" w:before="0" w:line="276"/>
      </w:pPr>
      <w:r>
        <w:rPr>
          <w:rFonts w:ascii="Arial" w:cs="Arial" w:eastAsia="Arial" w:hAnsi="Arial"/>
          <w:b/>
          <w:bCs/>
          <w:i w:val="false"/>
          <w:iCs w:val="false"/>
          <w:color w:val="2E5395"/>
          <w:sz w:val="23"/>
          <w:szCs w:val="23"/>
          <w:rtl/>
        </w:rPr>
        <w:t xml:space="preserve">ס' 5 — הקיבול</w:t>
      </w:r>
    </w:p>
    <w:p>
      <w:pPr>
        <w:shd w:fill="F2F2F2" w:val="clear"/>
        <w:bidi/>
        <w:spacing w:after="120" w:before="0" w:line="276"/>
        <w:ind w:left="200" w:right="200"/>
      </w:pPr>
      <w:r>
        <w:rPr>
          <w:rFonts w:ascii="Arial" w:cs="Arial" w:eastAsia="Arial" w:hAnsi="Arial"/>
          <w:b w:val="false"/>
          <w:bCs w:val="false"/>
          <w:i/>
          <w:iCs/>
          <w:color w:val="333333"/>
          <w:sz w:val="22"/>
          <w:szCs w:val="22"/>
          <w:rtl/>
        </w:rPr>
        <w:t xml:space="preserve">"הקיבול יהיה בהודעת הניצע שנמסרה למציע ומעידה על גמירת דעתו של הניצע להתקשר עם המציע בחוזה לפי ההצעה."</w:t>
      </w:r>
    </w:p>
    <w:p>
      <w:pPr>
        <w:keepNext/>
        <w:bidi/>
        <w:spacing w:after="20" w:before="0" w:line="276"/>
      </w:pPr>
      <w:r>
        <w:rPr>
          <w:rFonts w:ascii="Arial" w:cs="Arial" w:eastAsia="Arial" w:hAnsi="Arial"/>
          <w:b/>
          <w:bCs/>
          <w:i w:val="false"/>
          <w:iCs w:val="false"/>
          <w:color w:val="2E5395"/>
          <w:sz w:val="23"/>
          <w:szCs w:val="23"/>
          <w:rtl/>
        </w:rPr>
        <w:t xml:space="preserve">ס' 6 — קיבול בהתנהגות ובשתיקה</w:t>
      </w:r>
    </w:p>
    <w:p>
      <w:pPr>
        <w:shd w:fill="F2F2F2" w:val="clear"/>
        <w:bidi/>
        <w:spacing w:after="120" w:before="0" w:line="276"/>
        <w:ind w:left="200" w:right="200"/>
      </w:pPr>
      <w:r>
        <w:rPr>
          <w:rFonts w:ascii="Arial" w:cs="Arial" w:eastAsia="Arial" w:hAnsi="Arial"/>
          <w:b w:val="false"/>
          <w:bCs w:val="false"/>
          <w:i/>
          <w:iCs/>
          <w:color w:val="333333"/>
          <w:sz w:val="22"/>
          <w:szCs w:val="22"/>
          <w:rtl/>
        </w:rPr>
        <w:t xml:space="preserve">(א) "הקיבול יכול שיהיה במעשה לביצוע החוזה או בהתנהגות אחרת, אם דרכים אלה של קיבול משתמעות מן ההצעה; ולענין סעיפים 3(א) ו-4(2), התנהגות כאמור דינה כדין מתן הודעת קיבול." (ב) "קביעת המציע שהעדר תגובה מצד הניצע ייחשב לקיבול, אין לה תוקף."</w:t>
      </w:r>
    </w:p>
    <w:p>
      <w:pPr>
        <w:keepNext/>
        <w:bidi/>
        <w:spacing w:after="20" w:before="0" w:line="276"/>
      </w:pPr>
      <w:r>
        <w:rPr>
          <w:rFonts w:ascii="Arial" w:cs="Arial" w:eastAsia="Arial" w:hAnsi="Arial"/>
          <w:b/>
          <w:bCs/>
          <w:i w:val="false"/>
          <w:iCs w:val="false"/>
          <w:color w:val="2E5395"/>
          <w:sz w:val="23"/>
          <w:szCs w:val="23"/>
          <w:rtl/>
        </w:rPr>
        <w:t xml:space="preserve">ס' 7 — הצעה מזכה</w:t>
      </w:r>
    </w:p>
    <w:p>
      <w:pPr>
        <w:shd w:fill="F2F2F2" w:val="clear"/>
        <w:bidi/>
        <w:spacing w:after="120" w:before="0" w:line="276"/>
        <w:ind w:left="200" w:right="200"/>
      </w:pPr>
      <w:r>
        <w:rPr>
          <w:rFonts w:ascii="Arial" w:cs="Arial" w:eastAsia="Arial" w:hAnsi="Arial"/>
          <w:b w:val="false"/>
          <w:bCs w:val="false"/>
          <w:i/>
          <w:iCs/>
          <w:color w:val="333333"/>
          <w:sz w:val="22"/>
          <w:szCs w:val="22"/>
          <w:rtl/>
        </w:rPr>
        <w:t xml:space="preserve">"הצעה שאין בה אלא כדי לזכות את הניצע, חזקה עליו שקיבל אותה, זולת אם הודיע למציע על התנגדותו תוך זמן סביר לאחר שנודע לו עליה."</w:t>
      </w:r>
    </w:p>
    <w:p>
      <w:pPr>
        <w:keepNext/>
        <w:bidi/>
        <w:spacing w:after="20" w:before="0" w:line="276"/>
      </w:pPr>
      <w:r>
        <w:rPr>
          <w:rFonts w:ascii="Arial" w:cs="Arial" w:eastAsia="Arial" w:hAnsi="Arial"/>
          <w:b/>
          <w:bCs/>
          <w:i w:val="false"/>
          <w:iCs w:val="false"/>
          <w:color w:val="2E5395"/>
          <w:sz w:val="23"/>
          <w:szCs w:val="23"/>
          <w:rtl/>
        </w:rPr>
        <w:t xml:space="preserve">ס' 8 — מועד הקיבול</w:t>
      </w:r>
    </w:p>
    <w:p>
      <w:pPr>
        <w:shd w:fill="F2F2F2" w:val="clear"/>
        <w:bidi/>
        <w:spacing w:after="120" w:before="0" w:line="276"/>
        <w:ind w:left="200" w:right="200"/>
      </w:pPr>
      <w:r>
        <w:rPr>
          <w:rFonts w:ascii="Arial" w:cs="Arial" w:eastAsia="Arial" w:hAnsi="Arial"/>
          <w:b w:val="false"/>
          <w:bCs w:val="false"/>
          <w:i/>
          <w:iCs/>
          <w:color w:val="333333"/>
          <w:sz w:val="22"/>
          <w:szCs w:val="22"/>
          <w:rtl/>
        </w:rPr>
        <w:t xml:space="preserve">(א) "אין לקבל הצעה אלא תוך התקופה שנקבעה לכך בהצעה, ובאין תקופה כזאת — תוך זמן סביר." (ב) "נתן הניצע הודעת קיבול בעוד מועד, אך הודעתו נמסרה למציע באיחור מחמת סיבה שאינה תלויה בניצע ולא היתה ידועה לו, נכרת החוזה, זולת אם הודיע המציע לניצע על דחיית הקיבול מיד לאחר שנמסרה לו הודעת הקיבול."</w:t>
      </w:r>
    </w:p>
    <w:p>
      <w:pPr>
        <w:keepNext/>
        <w:bidi/>
        <w:spacing w:after="20" w:before="0" w:line="276"/>
      </w:pPr>
      <w:r>
        <w:rPr>
          <w:rFonts w:ascii="Arial" w:cs="Arial" w:eastAsia="Arial" w:hAnsi="Arial"/>
          <w:b/>
          <w:bCs/>
          <w:i w:val="false"/>
          <w:iCs w:val="false"/>
          <w:color w:val="2E5395"/>
          <w:sz w:val="23"/>
          <w:szCs w:val="23"/>
          <w:rtl/>
        </w:rPr>
        <w:t xml:space="preserve">ס' 9 — קיבול לאחר פקיעה</w:t>
      </w:r>
    </w:p>
    <w:p>
      <w:pPr>
        <w:shd w:fill="F2F2F2" w:val="clear"/>
        <w:bidi/>
        <w:spacing w:after="120" w:before="0" w:line="276"/>
        <w:ind w:left="200" w:right="200"/>
      </w:pPr>
      <w:r>
        <w:rPr>
          <w:rFonts w:ascii="Arial" w:cs="Arial" w:eastAsia="Arial" w:hAnsi="Arial"/>
          <w:b w:val="false"/>
          <w:bCs w:val="false"/>
          <w:i/>
          <w:iCs/>
          <w:color w:val="333333"/>
          <w:sz w:val="22"/>
          <w:szCs w:val="22"/>
          <w:rtl/>
        </w:rPr>
        <w:t xml:space="preserve">"קיבול של הצעה לאחר שפקעה, כמוהו כהצעה חדשה."</w:t>
      </w:r>
    </w:p>
    <w:p>
      <w:pPr>
        <w:keepNext/>
        <w:bidi/>
        <w:spacing w:after="20" w:before="0" w:line="276"/>
      </w:pPr>
      <w:r>
        <w:rPr>
          <w:rFonts w:ascii="Arial" w:cs="Arial" w:eastAsia="Arial" w:hAnsi="Arial"/>
          <w:b/>
          <w:bCs/>
          <w:i w:val="false"/>
          <w:iCs w:val="false"/>
          <w:color w:val="2E5395"/>
          <w:sz w:val="23"/>
          <w:szCs w:val="23"/>
          <w:rtl/>
        </w:rPr>
        <w:t xml:space="preserve">ס' 10 — חזרה מן הקיבול</w:t>
      </w:r>
    </w:p>
    <w:p>
      <w:pPr>
        <w:shd w:fill="F2F2F2" w:val="clear"/>
        <w:bidi/>
        <w:spacing w:after="120" w:before="0" w:line="276"/>
        <w:ind w:left="200" w:right="200"/>
      </w:pPr>
      <w:r>
        <w:rPr>
          <w:rFonts w:ascii="Arial" w:cs="Arial" w:eastAsia="Arial" w:hAnsi="Arial"/>
          <w:b w:val="false"/>
          <w:bCs w:val="false"/>
          <w:i/>
          <w:iCs/>
          <w:color w:val="333333"/>
          <w:sz w:val="22"/>
          <w:szCs w:val="22"/>
          <w:rtl/>
        </w:rPr>
        <w:t xml:space="preserve">"הניצע רשאי לחזור בו מן הקיבול בהודעה למציע, ובלבד שהודעת החזרה נמסרה למציע לא לאחר שנמסרה לו הודעת הקיבול או שנודע לו על קיבול בדרך האמורה בסעיף 6(א)."</w:t>
      </w:r>
    </w:p>
    <w:p>
      <w:pPr>
        <w:keepNext/>
        <w:bidi/>
        <w:spacing w:after="20" w:before="0" w:line="276"/>
      </w:pPr>
      <w:r>
        <w:rPr>
          <w:rFonts w:ascii="Arial" w:cs="Arial" w:eastAsia="Arial" w:hAnsi="Arial"/>
          <w:b/>
          <w:bCs/>
          <w:i w:val="false"/>
          <w:iCs w:val="false"/>
          <w:color w:val="2E5395"/>
          <w:sz w:val="23"/>
          <w:szCs w:val="23"/>
          <w:rtl/>
        </w:rPr>
        <w:t xml:space="preserve">ס' 11 — קיבול תוך שינוי</w:t>
      </w:r>
    </w:p>
    <w:p>
      <w:pPr>
        <w:shd w:fill="F2F2F2" w:val="clear"/>
        <w:bidi/>
        <w:spacing w:after="120" w:before="0" w:line="276"/>
        <w:ind w:left="200" w:right="200"/>
      </w:pPr>
      <w:r>
        <w:rPr>
          <w:rFonts w:ascii="Arial" w:cs="Arial" w:eastAsia="Arial" w:hAnsi="Arial"/>
          <w:b w:val="false"/>
          <w:bCs w:val="false"/>
          <w:i/>
          <w:iCs/>
          <w:color w:val="333333"/>
          <w:sz w:val="22"/>
          <w:szCs w:val="22"/>
          <w:rtl/>
        </w:rPr>
        <w:t xml:space="preserve">"קיבול שיש בו תוספת, הגבלה או שינוי אחר לעומת ההצעה כמוהו כהצעה חדשה."</w:t>
      </w:r>
    </w:p>
    <w:p>
      <w:pPr>
        <w:keepNext/>
        <w:bidi/>
        <w:spacing w:after="20" w:before="0" w:line="276"/>
      </w:pPr>
      <w:r>
        <w:rPr>
          <w:rFonts w:ascii="Arial" w:cs="Arial" w:eastAsia="Arial" w:hAnsi="Arial"/>
          <w:b/>
          <w:bCs/>
          <w:i w:val="false"/>
          <w:iCs w:val="false"/>
          <w:color w:val="2E5395"/>
          <w:sz w:val="23"/>
          <w:szCs w:val="23"/>
          <w:rtl/>
        </w:rPr>
        <w:t xml:space="preserve">ס' 12(א) — תום לב במשא ומתן</w:t>
      </w:r>
    </w:p>
    <w:p>
      <w:pPr>
        <w:shd w:fill="F2F2F2" w:val="clear"/>
        <w:bidi/>
        <w:spacing w:after="120" w:before="0" w:line="276"/>
        <w:ind w:left="200" w:right="200"/>
      </w:pPr>
      <w:r>
        <w:rPr>
          <w:rFonts w:ascii="Arial" w:cs="Arial" w:eastAsia="Arial" w:hAnsi="Arial"/>
          <w:b w:val="false"/>
          <w:bCs w:val="false"/>
          <w:i/>
          <w:iCs/>
          <w:color w:val="333333"/>
          <w:sz w:val="22"/>
          <w:szCs w:val="22"/>
          <w:rtl/>
        </w:rPr>
        <w:t xml:space="preserve">"במשא ומתן לקראת כריתתו של חוזה חייב אדם לנהוג בדרך מקובלת ובתום לב."</w:t>
      </w:r>
    </w:p>
    <w:p>
      <w:pPr>
        <w:keepNext/>
        <w:bidi/>
        <w:spacing w:after="20" w:before="0" w:line="276"/>
      </w:pPr>
      <w:r>
        <w:rPr>
          <w:rFonts w:ascii="Arial" w:cs="Arial" w:eastAsia="Arial" w:hAnsi="Arial"/>
          <w:b/>
          <w:bCs/>
          <w:i w:val="false"/>
          <w:iCs w:val="false"/>
          <w:color w:val="2E5395"/>
          <w:sz w:val="23"/>
          <w:szCs w:val="23"/>
          <w:rtl/>
        </w:rPr>
        <w:t xml:space="preserve">ס' 12(ב) — הסעד [תמצית]</w:t>
      </w:r>
    </w:p>
    <w:p>
      <w:pPr>
        <w:shd w:fill="F2F2F2" w:val="clear"/>
        <w:bidi/>
        <w:spacing w:after="120" w:before="0" w:line="276"/>
        <w:ind w:left="200" w:right="200"/>
      </w:pPr>
      <w:r>
        <w:rPr>
          <w:rFonts w:ascii="Arial" w:cs="Arial" w:eastAsia="Arial" w:hAnsi="Arial"/>
          <w:b w:val="false"/>
          <w:bCs w:val="false"/>
          <w:i/>
          <w:iCs/>
          <w:color w:val="333333"/>
          <w:sz w:val="22"/>
          <w:szCs w:val="22"/>
          <w:rtl/>
        </w:rPr>
        <w:t xml:space="preserve">צד שלא נהג בדרך מקובלת ובתום לב חייב לפצות את הצד השני על הנזק שנגרם לו עקב המשא ומתן או עקב כריתת החוזה.</w:t>
      </w:r>
    </w:p>
    <w:p>
      <w:pPr>
        <w:bidi/>
        <w:spacing w:after="120" w:before="0" w:line="276"/>
      </w:pPr>
      <w:r>
        <w:rPr>
          <w:rFonts w:ascii="Arial" w:cs="Arial" w:eastAsia="Arial" w:hAnsi="Arial"/>
          <w:b w:val="false"/>
          <w:bCs w:val="false"/>
          <w:i w:val="false"/>
          <w:iCs w:val="false"/>
          <w:color w:val="666666"/>
          <w:sz w:val="20"/>
          <w:szCs w:val="20"/>
          <w:rtl/>
        </w:rPr>
        <w:t xml:space="preserve">בפסיקה: פיצויי הסתמכות (שליליים); בחריג — פיצויי קיום (קל בניין).</w:t>
      </w:r>
    </w:p>
    <w:p>
      <w:pPr>
        <w:keepNext/>
        <w:bidi/>
        <w:spacing w:after="20" w:before="0" w:line="276"/>
      </w:pPr>
      <w:r>
        <w:rPr>
          <w:rFonts w:ascii="Arial" w:cs="Arial" w:eastAsia="Arial" w:hAnsi="Arial"/>
          <w:b/>
          <w:bCs/>
          <w:i w:val="false"/>
          <w:iCs w:val="false"/>
          <w:color w:val="2E5395"/>
          <w:sz w:val="23"/>
          <w:szCs w:val="23"/>
          <w:rtl/>
        </w:rPr>
        <w:t xml:space="preserve">ס' 26 — השלמת פרטים</w:t>
      </w:r>
    </w:p>
    <w:p>
      <w:pPr>
        <w:shd w:fill="F2F2F2" w:val="clear"/>
        <w:bidi/>
        <w:spacing w:after="120" w:before="0" w:line="276"/>
        <w:ind w:left="200" w:right="200"/>
      </w:pPr>
      <w:r>
        <w:rPr>
          <w:rFonts w:ascii="Arial" w:cs="Arial" w:eastAsia="Arial" w:hAnsi="Arial"/>
          <w:b w:val="false"/>
          <w:bCs w:val="false"/>
          <w:i/>
          <w:iCs/>
          <w:color w:val="333333"/>
          <w:sz w:val="22"/>
          <w:szCs w:val="22"/>
          <w:rtl/>
        </w:rPr>
        <w:t xml:space="preserve">"פרטים שלא נקבעו בחוזה או על פיו יהיו לפי הנוהג הקיים בין הצדדים, ובאין נוהג כזה — לפי הנוהג המקובל בחוזים מאותו סוג, ויראו גם פרטים אלה כמוסכמים."</w:t>
      </w:r>
    </w:p>
    <w:p>
      <w:pPr>
        <w:pStyle w:val="Heading2"/>
        <w:keepNext/>
        <w:bidi/>
        <w:spacing w:after="120" w:before="200" w:line="276"/>
      </w:pPr>
      <w:r>
        <w:rPr>
          <w:rFonts w:ascii="Arial" w:cs="Arial" w:eastAsia="Arial" w:hAnsi="Arial"/>
          <w:b/>
          <w:bCs/>
          <w:i w:val="false"/>
          <w:iCs w:val="false"/>
          <w:color w:val="2E5395"/>
          <w:sz w:val="27"/>
          <w:szCs w:val="27"/>
          <w:rtl/>
        </w:rPr>
        <w:t xml:space="preserve">פגמים בכריתה</w:t>
      </w:r>
    </w:p>
    <w:p>
      <w:pPr>
        <w:keepNext/>
        <w:bidi/>
        <w:spacing w:after="20" w:before="0" w:line="276"/>
      </w:pPr>
      <w:r>
        <w:rPr>
          <w:rFonts w:ascii="Arial" w:cs="Arial" w:eastAsia="Arial" w:hAnsi="Arial"/>
          <w:b/>
          <w:bCs/>
          <w:i w:val="false"/>
          <w:iCs w:val="false"/>
          <w:color w:val="2E5395"/>
          <w:sz w:val="23"/>
          <w:szCs w:val="23"/>
          <w:rtl/>
        </w:rPr>
        <w:t xml:space="preserve">ס' 14(א) — טעות ידועה</w:t>
      </w:r>
    </w:p>
    <w:p>
      <w:pPr>
        <w:shd w:fill="F2F2F2" w:val="clear"/>
        <w:bidi/>
        <w:spacing w:after="120" w:before="0" w:line="276"/>
        <w:ind w:left="200" w:right="200"/>
      </w:pPr>
      <w:r>
        <w:rPr>
          <w:rFonts w:ascii="Arial" w:cs="Arial" w:eastAsia="Arial" w:hAnsi="Arial"/>
          <w:b w:val="false"/>
          <w:bCs w:val="false"/>
          <w:i/>
          <w:iCs/>
          <w:color w:val="333333"/>
          <w:sz w:val="22"/>
          <w:szCs w:val="22"/>
          <w:rtl/>
        </w:rPr>
        <w:t xml:space="preserve">"מי שהתקשר בחוזה עקב טעות וניתן להניח שלולא הטעות לא היה מתקשר בחוזה והצד השני ידע או היה עליו לדעת על כך, רשאי לבטל את החוזה."</w:t>
      </w:r>
    </w:p>
    <w:p>
      <w:pPr>
        <w:keepNext/>
        <w:bidi/>
        <w:spacing w:after="20" w:before="0" w:line="276"/>
      </w:pPr>
      <w:r>
        <w:rPr>
          <w:rFonts w:ascii="Arial" w:cs="Arial" w:eastAsia="Arial" w:hAnsi="Arial"/>
          <w:b/>
          <w:bCs/>
          <w:i w:val="false"/>
          <w:iCs w:val="false"/>
          <w:color w:val="2E5395"/>
          <w:sz w:val="23"/>
          <w:szCs w:val="23"/>
          <w:rtl/>
        </w:rPr>
        <w:t xml:space="preserve">ס' 14(ב) — טעות שאינה ידועה</w:t>
      </w:r>
    </w:p>
    <w:p>
      <w:pPr>
        <w:shd w:fill="F2F2F2" w:val="clear"/>
        <w:bidi/>
        <w:spacing w:after="120" w:before="0" w:line="276"/>
        <w:ind w:left="200" w:right="200"/>
      </w:pPr>
      <w:r>
        <w:rPr>
          <w:rFonts w:ascii="Arial" w:cs="Arial" w:eastAsia="Arial" w:hAnsi="Arial"/>
          <w:b w:val="false"/>
          <w:bCs w:val="false"/>
          <w:i/>
          <w:iCs/>
          <w:color w:val="333333"/>
          <w:sz w:val="22"/>
          <w:szCs w:val="22"/>
          <w:rtl/>
        </w:rPr>
        <w:t xml:space="preserve">"מי שהתקשר בחוזה עקב טעות וניתן להניח שלולא הטעות לא היה מתקשר בחוזה והצד השני לא ידע ולא היה עליו לדעת על כך, רשאי בית המשפט, לפי בקשת הצד שטעה, לבטל את החוזה, אם ראה שמן הצדק לעשות זאת; עשה כן, רשאי בית המשפט לחייב את הצד שטעה בפיצויים בעד הנזק שנגרם לצד השני עקב כריתת החוזה."</w:t>
      </w:r>
    </w:p>
    <w:p>
      <w:pPr>
        <w:keepNext/>
        <w:bidi/>
        <w:spacing w:after="20" w:before="0" w:line="276"/>
      </w:pPr>
      <w:r>
        <w:rPr>
          <w:rFonts w:ascii="Arial" w:cs="Arial" w:eastAsia="Arial" w:hAnsi="Arial"/>
          <w:b/>
          <w:bCs/>
          <w:i w:val="false"/>
          <w:iCs w:val="false"/>
          <w:color w:val="2E5395"/>
          <w:sz w:val="23"/>
          <w:szCs w:val="23"/>
          <w:rtl/>
        </w:rPr>
        <w:t xml:space="preserve">ס' 14(ג) — תיקון הטעות</w:t>
      </w:r>
    </w:p>
    <w:p>
      <w:pPr>
        <w:shd w:fill="F2F2F2" w:val="clear"/>
        <w:bidi/>
        <w:spacing w:after="120" w:before="0" w:line="276"/>
        <w:ind w:left="200" w:right="200"/>
      </w:pPr>
      <w:r>
        <w:rPr>
          <w:rFonts w:ascii="Arial" w:cs="Arial" w:eastAsia="Arial" w:hAnsi="Arial"/>
          <w:b w:val="false"/>
          <w:bCs w:val="false"/>
          <w:i/>
          <w:iCs/>
          <w:color w:val="333333"/>
          <w:sz w:val="22"/>
          <w:szCs w:val="22"/>
          <w:rtl/>
        </w:rPr>
        <w:t xml:space="preserve">"טעות אינה עילה לביטול חוזה, אם ניתן לקיים את החוזה בתיקון הטעות והצד השני הודיע, לפני שבוטל החוזה, שהוא מוכן לעשות כן."</w:t>
      </w:r>
    </w:p>
    <w:p>
      <w:pPr>
        <w:keepNext/>
        <w:bidi/>
        <w:spacing w:after="20" w:before="0" w:line="276"/>
      </w:pPr>
      <w:r>
        <w:rPr>
          <w:rFonts w:ascii="Arial" w:cs="Arial" w:eastAsia="Arial" w:hAnsi="Arial"/>
          <w:b/>
          <w:bCs/>
          <w:i w:val="false"/>
          <w:iCs w:val="false"/>
          <w:color w:val="2E5395"/>
          <w:sz w:val="23"/>
          <w:szCs w:val="23"/>
          <w:rtl/>
        </w:rPr>
        <w:t xml:space="preserve">ס' 14(ד) — הגדרת "טעות" [תמצית]</w:t>
      </w:r>
    </w:p>
    <w:p>
      <w:pPr>
        <w:shd w:fill="F2F2F2" w:val="clear"/>
        <w:bidi/>
        <w:spacing w:after="120" w:before="0" w:line="276"/>
        <w:ind w:left="200" w:right="200"/>
      </w:pPr>
      <w:r>
        <w:rPr>
          <w:rFonts w:ascii="Arial" w:cs="Arial" w:eastAsia="Arial" w:hAnsi="Arial"/>
          <w:b w:val="false"/>
          <w:bCs w:val="false"/>
          <w:i/>
          <w:iCs/>
          <w:color w:val="333333"/>
          <w:sz w:val="22"/>
          <w:szCs w:val="22"/>
          <w:rtl/>
        </w:rPr>
        <w:t xml:space="preserve">"טעות" לעניין סעיף זה וסעיף 15 — בין בעובדה ובין בחוק, להוציא טעות שאינה אלא בכדאיות העסקה.</w:t>
      </w:r>
    </w:p>
    <w:p>
      <w:pPr>
        <w:bidi/>
        <w:spacing w:after="120" w:before="0" w:line="276"/>
      </w:pPr>
      <w:r>
        <w:rPr>
          <w:rFonts w:ascii="Arial" w:cs="Arial" w:eastAsia="Arial" w:hAnsi="Arial"/>
          <w:b w:val="false"/>
          <w:bCs w:val="false"/>
          <w:i w:val="false"/>
          <w:iCs w:val="false"/>
          <w:color w:val="666666"/>
          <w:sz w:val="20"/>
          <w:szCs w:val="20"/>
          <w:rtl/>
        </w:rPr>
        <w:t xml:space="preserve">זהו הסייג המרכזי: סיכון שנטל צד במפורש או מכללא והתממש — אינו טעות.</w:t>
      </w:r>
    </w:p>
    <w:p>
      <w:pPr>
        <w:keepNext/>
        <w:bidi/>
        <w:spacing w:after="20" w:before="0" w:line="276"/>
      </w:pPr>
      <w:r>
        <w:rPr>
          <w:rFonts w:ascii="Arial" w:cs="Arial" w:eastAsia="Arial" w:hAnsi="Arial"/>
          <w:b/>
          <w:bCs/>
          <w:i w:val="false"/>
          <w:iCs w:val="false"/>
          <w:color w:val="2E5395"/>
          <w:sz w:val="23"/>
          <w:szCs w:val="23"/>
          <w:rtl/>
        </w:rPr>
        <w:t xml:space="preserve">ס' 15 — הטעיה [צפוי להילמד ב-1.9]</w:t>
      </w:r>
    </w:p>
    <w:p>
      <w:pPr>
        <w:shd w:fill="F2F2F2" w:val="clear"/>
        <w:bidi/>
        <w:spacing w:after="120" w:before="0" w:line="276"/>
        <w:ind w:left="200" w:right="200"/>
      </w:pPr>
      <w:r>
        <w:rPr>
          <w:rFonts w:ascii="Arial" w:cs="Arial" w:eastAsia="Arial" w:hAnsi="Arial"/>
          <w:b w:val="false"/>
          <w:bCs w:val="false"/>
          <w:i/>
          <w:iCs/>
          <w:color w:val="333333"/>
          <w:sz w:val="22"/>
          <w:szCs w:val="22"/>
          <w:rtl/>
        </w:rPr>
        <w:t xml:space="preserve">"מי שהתקשר בחוזה עקב טעות שהיא תוצאת הטעיה שהטעהו הצד השני או אחר מטעמו, רשאי לבטל את החוזה; לענין זה, 'הטעיה' — לרבות אי-גילוין של עובדות אשר לפי דין, לפי נוהג או לפי הנסיבות היה על הצד השני לגלותן."</w:t>
      </w:r>
    </w:p>
    <w:p>
      <w:pPr>
        <w:keepNext/>
        <w:bidi/>
        <w:spacing w:after="20" w:before="0" w:line="276"/>
      </w:pPr>
      <w:r>
        <w:rPr>
          <w:rFonts w:ascii="Arial" w:cs="Arial" w:eastAsia="Arial" w:hAnsi="Arial"/>
          <w:b/>
          <w:bCs/>
          <w:i w:val="false"/>
          <w:iCs w:val="false"/>
          <w:color w:val="2E5395"/>
          <w:sz w:val="23"/>
          <w:szCs w:val="23"/>
          <w:rtl/>
        </w:rPr>
        <w:t xml:space="preserve">ס' 19 — ביטול חלקי</w:t>
      </w:r>
    </w:p>
    <w:p>
      <w:pPr>
        <w:shd w:fill="F2F2F2" w:val="clear"/>
        <w:bidi/>
        <w:spacing w:after="120" w:before="0" w:line="276"/>
        <w:ind w:left="200" w:right="200"/>
      </w:pPr>
      <w:r>
        <w:rPr>
          <w:rFonts w:ascii="Arial" w:cs="Arial" w:eastAsia="Arial" w:hAnsi="Arial"/>
          <w:b w:val="false"/>
          <w:bCs w:val="false"/>
          <w:i/>
          <w:iCs/>
          <w:color w:val="333333"/>
          <w:sz w:val="22"/>
          <w:szCs w:val="22"/>
          <w:rtl/>
        </w:rPr>
        <w:t xml:space="preserve">"ניתן החוזה להפרדה לחלקים ועילת הביטול נוגעת רק לאחד מחלקיו, ניתן לביטול אותו חלק בלבד; אולם אם יש להניח שהצד הרשאי לבטל לא היה מתקשר בחוזה לולא העילה, רשאי הוא לבטל את החלק האמור או את החוזה כולו."</w:t>
      </w:r>
    </w:p>
    <w:p>
      <w:pPr>
        <w:keepNext/>
        <w:bidi/>
        <w:spacing w:after="20" w:before="0" w:line="276"/>
      </w:pPr>
      <w:r>
        <w:rPr>
          <w:rFonts w:ascii="Arial" w:cs="Arial" w:eastAsia="Arial" w:hAnsi="Arial"/>
          <w:b/>
          <w:bCs/>
          <w:i w:val="false"/>
          <w:iCs w:val="false"/>
          <w:color w:val="2E5395"/>
          <w:sz w:val="23"/>
          <w:szCs w:val="23"/>
          <w:rtl/>
        </w:rPr>
        <w:t xml:space="preserve">ס' 20 — דרך הביטול [תמצית]</w:t>
      </w:r>
    </w:p>
    <w:p>
      <w:pPr>
        <w:shd w:fill="F2F2F2" w:val="clear"/>
        <w:bidi/>
        <w:spacing w:after="120" w:before="0" w:line="276"/>
        <w:ind w:left="200" w:right="200"/>
      </w:pPr>
      <w:r>
        <w:rPr>
          <w:rFonts w:ascii="Arial" w:cs="Arial" w:eastAsia="Arial" w:hAnsi="Arial"/>
          <w:b w:val="false"/>
          <w:bCs w:val="false"/>
          <w:i/>
          <w:iCs/>
          <w:color w:val="333333"/>
          <w:sz w:val="22"/>
          <w:szCs w:val="22"/>
          <w:rtl/>
        </w:rPr>
        <w:t xml:space="preserve">ביטול החוזה יהיה בהודעת המתקשר לצד השני תוך זמן סביר לאחר שנודע לו על עילת הביטול, ובמקרה של כפייה — תוך זמן סביר לאחר שנודע לו שפסקה הכפייה.</w:t>
      </w:r>
    </w:p>
    <w:p>
      <w:pPr>
        <w:bidi/>
        <w:spacing w:after="120" w:before="0" w:line="276"/>
      </w:pPr>
      <w:r>
        <w:rPr>
          <w:rFonts w:ascii="Arial" w:cs="Arial" w:eastAsia="Arial" w:hAnsi="Arial"/>
          <w:b w:val="false"/>
          <w:bCs w:val="false"/>
          <w:i w:val="false"/>
          <w:iCs w:val="false"/>
          <w:color w:val="666666"/>
          <w:sz w:val="20"/>
          <w:szCs w:val="20"/>
          <w:rtl/>
        </w:rPr>
        <w:t xml:space="preserve">ההודעה יכולה להיות אף משתמעת (מהמצגת).</w:t>
      </w:r>
    </w:p>
    <w:p>
      <w:pPr>
        <w:keepNext/>
        <w:bidi/>
        <w:spacing w:after="20" w:before="0" w:line="276"/>
      </w:pPr>
      <w:r>
        <w:rPr>
          <w:rFonts w:ascii="Arial" w:cs="Arial" w:eastAsia="Arial" w:hAnsi="Arial"/>
          <w:b/>
          <w:bCs/>
          <w:i w:val="false"/>
          <w:iCs w:val="false"/>
          <w:color w:val="2E5395"/>
          <w:sz w:val="23"/>
          <w:szCs w:val="23"/>
          <w:rtl/>
        </w:rPr>
        <w:t xml:space="preserve">ס' 21 — השבה [תמצית]</w:t>
      </w:r>
    </w:p>
    <w:p>
      <w:pPr>
        <w:shd w:fill="F2F2F2" w:val="clear"/>
        <w:bidi/>
        <w:spacing w:after="120" w:before="0" w:line="276"/>
        <w:ind w:left="200" w:right="200"/>
      </w:pPr>
      <w:r>
        <w:rPr>
          <w:rFonts w:ascii="Arial" w:cs="Arial" w:eastAsia="Arial" w:hAnsi="Arial"/>
          <w:b w:val="false"/>
          <w:bCs w:val="false"/>
          <w:i/>
          <w:iCs/>
          <w:color w:val="333333"/>
          <w:sz w:val="22"/>
          <w:szCs w:val="22"/>
          <w:rtl/>
        </w:rPr>
        <w:t xml:space="preserve">משבוטל החוזה, חייב כל צד להשיב לצד השני מה שקיבל על פי החוזה, ואם ההשבה היתה בלתי אפשרית או בלתי סבירה — לשלם לו את שוויו של מה שקיבל.</w:t>
      </w:r>
    </w:p>
    <w:p>
      <w:pPr>
        <w:keepNext/>
        <w:bidi/>
        <w:spacing w:after="20" w:before="0" w:line="276"/>
      </w:pPr>
      <w:r>
        <w:rPr>
          <w:rFonts w:ascii="Arial" w:cs="Arial" w:eastAsia="Arial" w:hAnsi="Arial"/>
          <w:b/>
          <w:bCs/>
          <w:i w:val="false"/>
          <w:iCs w:val="false"/>
          <w:color w:val="2E5395"/>
          <w:sz w:val="23"/>
          <w:szCs w:val="23"/>
          <w:rtl/>
        </w:rPr>
        <w:t xml:space="preserve">ס' 22 — שמירת תרופות [תמצית]</w:t>
      </w:r>
    </w:p>
    <w:p>
      <w:pPr>
        <w:shd w:fill="F2F2F2" w:val="clear"/>
        <w:bidi/>
        <w:spacing w:after="120" w:before="0" w:line="276"/>
        <w:ind w:left="200" w:right="200"/>
      </w:pPr>
      <w:r>
        <w:rPr>
          <w:rFonts w:ascii="Arial" w:cs="Arial" w:eastAsia="Arial" w:hAnsi="Arial"/>
          <w:b w:val="false"/>
          <w:bCs w:val="false"/>
          <w:i/>
          <w:iCs/>
          <w:color w:val="333333"/>
          <w:sz w:val="22"/>
          <w:szCs w:val="22"/>
          <w:rtl/>
        </w:rPr>
        <w:t xml:space="preserve">אין בהוראות פרק זה כדי לגרוע מהוראות כל דין בדבר תרופות אחרות.</w:t>
      </w:r>
    </w:p>
    <w:p>
      <w:pPr>
        <w:bidi/>
        <w:spacing w:after="120" w:before="0" w:line="276"/>
      </w:pPr>
      <w:r>
        <w:rPr>
          <w:rFonts w:ascii="Arial" w:cs="Arial" w:eastAsia="Arial" w:hAnsi="Arial"/>
          <w:b w:val="false"/>
          <w:bCs w:val="false"/>
          <w:i w:val="false"/>
          <w:iCs w:val="false"/>
          <w:color w:val="666666"/>
          <w:sz w:val="20"/>
          <w:szCs w:val="20"/>
          <w:rtl/>
        </w:rPr>
        <w:t xml:space="preserve">המשמעות המעשית: אפשר לצרף פיצויי ס' 12 לביטול ולהשבה.</w:t>
      </w:r>
    </w:p>
    <w:p>
      <w:pPr>
        <w:pStyle w:val="Heading2"/>
        <w:keepNext/>
        <w:bidi/>
        <w:spacing w:after="120" w:before="200" w:line="276"/>
      </w:pPr>
      <w:r>
        <w:rPr>
          <w:rFonts w:ascii="Arial" w:cs="Arial" w:eastAsia="Arial" w:hAnsi="Arial"/>
          <w:b/>
          <w:bCs/>
          <w:i w:val="false"/>
          <w:iCs w:val="false"/>
          <w:color w:val="2E5395"/>
          <w:sz w:val="27"/>
          <w:szCs w:val="27"/>
          <w:rtl/>
        </w:rPr>
        <w:t xml:space="preserve">עקרונות ומסגרת</w:t>
      </w:r>
    </w:p>
    <w:p>
      <w:pPr>
        <w:keepNext/>
        <w:bidi/>
        <w:spacing w:after="20" w:before="0" w:line="276"/>
      </w:pPr>
      <w:r>
        <w:rPr>
          <w:rFonts w:ascii="Arial" w:cs="Arial" w:eastAsia="Arial" w:hAnsi="Arial"/>
          <w:b/>
          <w:bCs/>
          <w:i w:val="false"/>
          <w:iCs w:val="false"/>
          <w:color w:val="2E5395"/>
          <w:sz w:val="23"/>
          <w:szCs w:val="23"/>
          <w:rtl/>
        </w:rPr>
        <w:t xml:space="preserve">ס' 23 — צורת החוזה</w:t>
      </w:r>
    </w:p>
    <w:p>
      <w:pPr>
        <w:shd w:fill="F2F2F2" w:val="clear"/>
        <w:bidi/>
        <w:spacing w:after="120" w:before="0" w:line="276"/>
        <w:ind w:left="200" w:right="200"/>
      </w:pPr>
      <w:r>
        <w:rPr>
          <w:rFonts w:ascii="Arial" w:cs="Arial" w:eastAsia="Arial" w:hAnsi="Arial"/>
          <w:b w:val="false"/>
          <w:bCs w:val="false"/>
          <w:i/>
          <w:iCs/>
          <w:color w:val="333333"/>
          <w:sz w:val="22"/>
          <w:szCs w:val="22"/>
          <w:rtl/>
        </w:rPr>
        <w:t xml:space="preserve">"חוזה יכול שייעשה בעל פה, בכתב או בצורה אחרת, זולת אם היתה צורה מסויימת תנאי לתקפו על פי חוק או הסכם בין הצדדים."</w:t>
      </w:r>
    </w:p>
    <w:p>
      <w:pPr>
        <w:keepNext/>
        <w:bidi/>
        <w:spacing w:after="20" w:before="0" w:line="276"/>
      </w:pPr>
      <w:r>
        <w:rPr>
          <w:rFonts w:ascii="Arial" w:cs="Arial" w:eastAsia="Arial" w:hAnsi="Arial"/>
          <w:b/>
          <w:bCs/>
          <w:i w:val="false"/>
          <w:iCs w:val="false"/>
          <w:color w:val="2E5395"/>
          <w:sz w:val="23"/>
          <w:szCs w:val="23"/>
          <w:rtl/>
        </w:rPr>
        <w:t xml:space="preserve">ס' 30 — חוזה פסול</w:t>
      </w:r>
    </w:p>
    <w:p>
      <w:pPr>
        <w:shd w:fill="F2F2F2" w:val="clear"/>
        <w:bidi/>
        <w:spacing w:after="120" w:before="0" w:line="276"/>
        <w:ind w:left="200" w:right="200"/>
      </w:pPr>
      <w:r>
        <w:rPr>
          <w:rFonts w:ascii="Arial" w:cs="Arial" w:eastAsia="Arial" w:hAnsi="Arial"/>
          <w:b w:val="false"/>
          <w:bCs w:val="false"/>
          <w:i/>
          <w:iCs/>
          <w:color w:val="333333"/>
          <w:sz w:val="22"/>
          <w:szCs w:val="22"/>
          <w:rtl/>
        </w:rPr>
        <w:t xml:space="preserve">"חוזה שכריתתו, תכנו או מטרתו הם בלתי חוקיים, בלתי מוסריים או סותרים את תקנת הציבור — בטל."</w:t>
      </w:r>
    </w:p>
    <w:p>
      <w:pPr>
        <w:keepNext/>
        <w:bidi/>
        <w:spacing w:after="20" w:before="0" w:line="276"/>
      </w:pPr>
      <w:r>
        <w:rPr>
          <w:rFonts w:ascii="Arial" w:cs="Arial" w:eastAsia="Arial" w:hAnsi="Arial"/>
          <w:b/>
          <w:bCs/>
          <w:i w:val="false"/>
          <w:iCs w:val="false"/>
          <w:color w:val="2E5395"/>
          <w:sz w:val="23"/>
          <w:szCs w:val="23"/>
          <w:rtl/>
        </w:rPr>
        <w:t xml:space="preserve">חוק הכשרות המשפטית, ס' 2 — כשרות</w:t>
      </w:r>
    </w:p>
    <w:p>
      <w:pPr>
        <w:shd w:fill="F2F2F2" w:val="clear"/>
        <w:bidi/>
        <w:spacing w:after="120" w:before="0" w:line="276"/>
        <w:ind w:left="200" w:right="200"/>
      </w:pPr>
      <w:r>
        <w:rPr>
          <w:rFonts w:ascii="Arial" w:cs="Arial" w:eastAsia="Arial" w:hAnsi="Arial"/>
          <w:b w:val="false"/>
          <w:bCs w:val="false"/>
          <w:i/>
          <w:iCs/>
          <w:color w:val="333333"/>
          <w:sz w:val="22"/>
          <w:szCs w:val="22"/>
          <w:rtl/>
        </w:rPr>
        <w:t xml:space="preserve">"כל אדם כשר לפעולות משפטיות, זולת אם נשללה או הוגבלה כשרות זו בחוק או בפסק דין של בית משפט."</w:t>
      </w:r>
    </w:p>
    <w:p>
      <w:pPr>
        <w:keepNext/>
        <w:bidi/>
        <w:spacing w:after="20" w:before="0" w:line="276"/>
      </w:pPr>
      <w:r>
        <w:rPr>
          <w:rFonts w:ascii="Arial" w:cs="Arial" w:eastAsia="Arial" w:hAnsi="Arial"/>
          <w:b/>
          <w:bCs/>
          <w:i w:val="false"/>
          <w:iCs w:val="false"/>
          <w:color w:val="2E5395"/>
          <w:sz w:val="23"/>
          <w:szCs w:val="23"/>
          <w:rtl/>
        </w:rPr>
        <w:t xml:space="preserve">שם, ס' 3 — קטינות ובגירות</w:t>
      </w:r>
    </w:p>
    <w:p>
      <w:pPr>
        <w:shd w:fill="F2F2F2" w:val="clear"/>
        <w:bidi/>
        <w:spacing w:after="120" w:before="0" w:line="276"/>
        <w:ind w:left="200" w:right="200"/>
      </w:pPr>
      <w:r>
        <w:rPr>
          <w:rFonts w:ascii="Arial" w:cs="Arial" w:eastAsia="Arial" w:hAnsi="Arial"/>
          <w:b w:val="false"/>
          <w:bCs w:val="false"/>
          <w:i/>
          <w:iCs/>
          <w:color w:val="333333"/>
          <w:sz w:val="22"/>
          <w:szCs w:val="22"/>
          <w:rtl/>
        </w:rPr>
        <w:t xml:space="preserve">"אדם שלא מלאו לו 18 שנה הוא קטין; אדם שמלאו לו 18 שנה הוא בגיר."</w:t>
      </w:r>
    </w:p>
    <w:p>
      <w:pPr>
        <w:keepNext/>
        <w:bidi/>
        <w:spacing w:after="20" w:before="0" w:line="276"/>
      </w:pPr>
      <w:r>
        <w:rPr>
          <w:rFonts w:ascii="Arial" w:cs="Arial" w:eastAsia="Arial" w:hAnsi="Arial"/>
          <w:b/>
          <w:bCs/>
          <w:i w:val="false"/>
          <w:iCs w:val="false"/>
          <w:color w:val="2E5395"/>
          <w:sz w:val="23"/>
          <w:szCs w:val="23"/>
          <w:rtl/>
        </w:rPr>
        <w:t xml:space="preserve">שם, ס' 4 — פעולות של קטין</w:t>
      </w:r>
    </w:p>
    <w:p>
      <w:pPr>
        <w:shd w:fill="F2F2F2" w:val="clear"/>
        <w:bidi/>
        <w:spacing w:after="120" w:before="0" w:line="276"/>
        <w:ind w:left="200" w:right="200"/>
      </w:pPr>
      <w:r>
        <w:rPr>
          <w:rFonts w:ascii="Arial" w:cs="Arial" w:eastAsia="Arial" w:hAnsi="Arial"/>
          <w:b w:val="false"/>
          <w:bCs w:val="false"/>
          <w:i/>
          <w:iCs/>
          <w:color w:val="333333"/>
          <w:sz w:val="22"/>
          <w:szCs w:val="22"/>
          <w:rtl/>
        </w:rPr>
        <w:t xml:space="preserve">"פעולה משפטית של קטין טעונה הסכמת נציגו; ההסכמה יכולה להינתן מראש או למפרע לפעולה מסויימת או לסוג מסויים של פעולות."</w:t>
      </w:r>
    </w:p>
    <w:p>
      <w:pPr>
        <w:pStyle w:val="Heading2"/>
        <w:keepNext/>
        <w:bidi/>
        <w:spacing w:after="120" w:before="200" w:line="276"/>
      </w:pPr>
      <w:r>
        <w:rPr>
          <w:rFonts w:ascii="Arial" w:cs="Arial" w:eastAsia="Arial" w:hAnsi="Arial"/>
          <w:b/>
          <w:bCs/>
          <w:i w:val="false"/>
          <w:iCs w:val="false"/>
          <w:color w:val="2E5395"/>
          <w:sz w:val="27"/>
          <w:szCs w:val="27"/>
          <w:rtl/>
        </w:rPr>
        <w:t xml:space="preserve">סעיפי הכפייה והעושק (נספח — טרם נלמד)</w:t>
      </w:r>
    </w:p>
    <w:p>
      <w:pPr>
        <w:keepNext/>
        <w:bidi/>
        <w:spacing w:after="20" w:before="0" w:line="276"/>
      </w:pPr>
      <w:r>
        <w:rPr>
          <w:rFonts w:ascii="Arial" w:cs="Arial" w:eastAsia="Arial" w:hAnsi="Arial"/>
          <w:b/>
          <w:bCs/>
          <w:i w:val="false"/>
          <w:iCs w:val="false"/>
          <w:color w:val="2E5395"/>
          <w:sz w:val="23"/>
          <w:szCs w:val="23"/>
          <w:rtl/>
        </w:rPr>
        <w:t xml:space="preserve">ס' 17(א) — כפייה</w:t>
      </w:r>
    </w:p>
    <w:p>
      <w:pPr>
        <w:shd w:fill="F2F2F2" w:val="clear"/>
        <w:bidi/>
        <w:spacing w:after="120" w:before="0" w:line="276"/>
        <w:ind w:left="200" w:right="200"/>
      </w:pPr>
      <w:r>
        <w:rPr>
          <w:rFonts w:ascii="Arial" w:cs="Arial" w:eastAsia="Arial" w:hAnsi="Arial"/>
          <w:b w:val="false"/>
          <w:bCs w:val="false"/>
          <w:i/>
          <w:iCs/>
          <w:color w:val="333333"/>
          <w:sz w:val="22"/>
          <w:szCs w:val="22"/>
          <w:rtl/>
        </w:rPr>
        <w:t xml:space="preserve">"מי שהתקשר בחוזה עקב כפיה שכפה עליו הצד השני או אחד מטעמו, בכוח או באיום, רשאי לבטל את החוזה."</w:t>
      </w:r>
    </w:p>
    <w:p>
      <w:pPr>
        <w:keepNext/>
        <w:bidi/>
        <w:spacing w:after="20" w:before="0" w:line="276"/>
      </w:pPr>
      <w:r>
        <w:rPr>
          <w:rFonts w:ascii="Arial" w:cs="Arial" w:eastAsia="Arial" w:hAnsi="Arial"/>
          <w:b/>
          <w:bCs/>
          <w:i w:val="false"/>
          <w:iCs w:val="false"/>
          <w:color w:val="2E5395"/>
          <w:sz w:val="23"/>
          <w:szCs w:val="23"/>
          <w:rtl/>
        </w:rPr>
        <w:t xml:space="preserve">ס' 17(ב) — אזהרה בתום לב</w:t>
      </w:r>
    </w:p>
    <w:p>
      <w:pPr>
        <w:shd w:fill="F2F2F2" w:val="clear"/>
        <w:bidi/>
        <w:spacing w:after="120" w:before="0" w:line="276"/>
        <w:ind w:left="200" w:right="200"/>
      </w:pPr>
      <w:r>
        <w:rPr>
          <w:rFonts w:ascii="Arial" w:cs="Arial" w:eastAsia="Arial" w:hAnsi="Arial"/>
          <w:b w:val="false"/>
          <w:bCs w:val="false"/>
          <w:i/>
          <w:iCs/>
          <w:color w:val="333333"/>
          <w:sz w:val="22"/>
          <w:szCs w:val="22"/>
          <w:rtl/>
        </w:rPr>
        <w:t xml:space="preserve">"אזהרה בתום-לב על הפעלתה של זכות אינה בגדר איום לעניין סעיף זה."</w:t>
      </w:r>
    </w:p>
    <w:p>
      <w:pPr>
        <w:keepNext/>
        <w:bidi/>
        <w:spacing w:after="20" w:before="0" w:line="276"/>
      </w:pPr>
      <w:r>
        <w:rPr>
          <w:rFonts w:ascii="Arial" w:cs="Arial" w:eastAsia="Arial" w:hAnsi="Arial"/>
          <w:b/>
          <w:bCs/>
          <w:i w:val="false"/>
          <w:iCs w:val="false"/>
          <w:color w:val="2E5395"/>
          <w:sz w:val="23"/>
          <w:szCs w:val="23"/>
          <w:rtl/>
        </w:rPr>
        <w:t xml:space="preserve">ס' 18 — עושק</w:t>
      </w:r>
    </w:p>
    <w:p>
      <w:pPr>
        <w:shd w:fill="F2F2F2" w:val="clear"/>
        <w:bidi/>
        <w:spacing w:after="120" w:before="0" w:line="276"/>
        <w:ind w:left="200" w:right="200"/>
      </w:pPr>
      <w:r>
        <w:rPr>
          <w:rFonts w:ascii="Arial" w:cs="Arial" w:eastAsia="Arial" w:hAnsi="Arial"/>
          <w:b w:val="false"/>
          <w:bCs w:val="false"/>
          <w:i/>
          <w:iCs/>
          <w:color w:val="333333"/>
          <w:sz w:val="22"/>
          <w:szCs w:val="22"/>
          <w:rtl/>
        </w:rPr>
        <w:t xml:space="preserve">"מי שהתקשר בחוזה עקב ניצול הצד השני או אחר מטעמו את מצוקת המתקשר, חולשתו השכלית או הגופנית או חוסר נסיונו, ותנאי החוזה גרועים במידה בלתי סבירה מן המקובל, רשאי לבטל את החוזה."</w:t>
      </w:r>
    </w:p>
    <w:p>
      <w:pPr>
        <w:keepNext/>
        <w:bidi/>
        <w:spacing w:after="20" w:before="0" w:line="276"/>
      </w:pPr>
      <w:r>
        <w:rPr>
          <w:rFonts w:ascii="Arial" w:cs="Arial" w:eastAsia="Arial" w:hAnsi="Arial"/>
          <w:b/>
          <w:bCs/>
          <w:i w:val="false"/>
          <w:iCs w:val="false"/>
          <w:color w:val="2E5395"/>
          <w:sz w:val="23"/>
          <w:szCs w:val="23"/>
          <w:rtl/>
        </w:rPr>
        <w:t xml:space="preserve">ס' 16 — טעות סופר [תמצית]</w:t>
      </w:r>
    </w:p>
    <w:p>
      <w:pPr>
        <w:shd w:fill="F2F2F2" w:val="clear"/>
        <w:bidi/>
        <w:spacing w:after="120" w:before="0" w:line="276"/>
        <w:ind w:left="200" w:right="200"/>
      </w:pPr>
      <w:r>
        <w:rPr>
          <w:rFonts w:ascii="Arial" w:cs="Arial" w:eastAsia="Arial" w:hAnsi="Arial"/>
          <w:b w:val="false"/>
          <w:bCs w:val="false"/>
          <w:i/>
          <w:iCs/>
          <w:color w:val="333333"/>
          <w:sz w:val="22"/>
          <w:szCs w:val="22"/>
          <w:rtl/>
        </w:rPr>
        <w:t xml:space="preserve">נפלה בחוזה טעות סופר או טעות כיוצא בה, יתוקן החוזה לפי אומד דעת הצדדים ואין הטעות עילה לביטול החוזה.</w:t>
      </w:r>
    </w:p>
    <w:p>
      <w:r>
        <w:br w:type="page"/>
      </w:r>
    </w:p>
    <w:p>
      <w:pPr>
        <w:pStyle w:val="Heading1"/>
        <w:keepNext/>
        <w:bidi/>
        <w:spacing w:after="160" w:before="240" w:line="276"/>
      </w:pPr>
      <w:r>
        <w:rPr>
          <w:rFonts w:ascii="Arial" w:cs="Arial" w:eastAsia="Arial" w:hAnsi="Arial"/>
          <w:b/>
          <w:bCs/>
          <w:i w:val="false"/>
          <w:iCs w:val="false"/>
          <w:color w:val="1F3864"/>
          <w:sz w:val="32"/>
          <w:szCs w:val="32"/>
          <w:rtl/>
        </w:rPr>
        <w:t xml:space="preserve">נספח — חומר שטרם נלמד (נכון ל-25.8)</w:t>
      </w:r>
    </w:p>
    <w:p>
      <w:pPr>
        <w:bidi/>
        <w:spacing w:after="120" w:before="0" w:line="276"/>
      </w:pPr>
      <w:r>
        <w:rPr>
          <w:rFonts w:ascii="Arial" w:cs="Arial" w:eastAsia="Arial" w:hAnsi="Arial"/>
          <w:b w:val="false"/>
          <w:bCs w:val="false"/>
          <w:i/>
          <w:iCs/>
          <w:color w:val="666666"/>
          <w:sz w:val="22"/>
          <w:szCs w:val="22"/>
          <w:rtl/>
        </w:rPr>
        <w:t xml:space="preserve">הסעיפים הבאים מופיעים בהמשך מצגת 2 וטרם נלמדו בכיתה. אם המרצה תספיק אותם לפני 8.9 — זה מוכן; אחרת, כנראה לא ייכללו בבוחן.</w:t>
      </w:r>
    </w:p>
    <w:p>
      <w:pPr>
        <w:pStyle w:val="Heading3"/>
        <w:keepNext/>
        <w:bidi/>
        <w:spacing w:after="80" w:before="140" w:line="276"/>
      </w:pPr>
      <w:r>
        <w:rPr>
          <w:rFonts w:ascii="Arial" w:cs="Arial" w:eastAsia="Arial" w:hAnsi="Arial"/>
          <w:b/>
          <w:bCs/>
          <w:i w:val="false"/>
          <w:iCs w:val="false"/>
          <w:color w:val="404040"/>
          <w:sz w:val="23"/>
          <w:szCs w:val="23"/>
          <w:rtl/>
        </w:rPr>
        <w:t xml:space="preserve">הטעיה (ס׳ 15) — פירוט</w:t>
      </w:r>
    </w:p>
    <w:p>
      <w:pPr>
        <w:pStyle w:val="ListParagraph"/>
        <w:numPr>
          <w:ilvl w:val="0"/>
          <w:numId w:val="2"/>
        </w:numPr>
        <w:bidi/>
        <w:spacing w:after="60" w:line="276"/>
      </w:pPr>
      <w:r>
        <w:rPr>
          <w:rFonts w:ascii="Arial" w:cs="Arial" w:eastAsia="Arial" w:hAnsi="Arial"/>
          <w:b/>
          <w:bCs/>
          <w:i w:val="false"/>
          <w:iCs w:val="false"/>
          <w:color w:val="222222"/>
          <w:sz w:val="22"/>
          <w:szCs w:val="22"/>
          <w:rtl/>
        </w:rPr>
        <w:t xml:space="preserve">אקטיבית: </w:t>
      </w:r>
      <w:r>
        <w:rPr>
          <w:rFonts w:ascii="Arial" w:cs="Arial" w:eastAsia="Arial" w:hAnsi="Arial"/>
          <w:b w:val="false"/>
          <w:bCs w:val="false"/>
          <w:i w:val="false"/>
          <w:iCs w:val="false"/>
          <w:color w:val="222222"/>
          <w:sz w:val="22"/>
          <w:szCs w:val="22"/>
          <w:rtl/>
        </w:rPr>
        <w:t xml:space="preserve">"שתילת מידע מוטעה במוחו של הטועה" — מסירת מידע כוזב, גם בתום לב ("הרכב עבר 50,000 ק"מ" כשעבר 200,000; פרסומת מטעה).</w:t>
      </w:r>
    </w:p>
    <w:p>
      <w:pPr>
        <w:pStyle w:val="ListParagraph"/>
        <w:numPr>
          <w:ilvl w:val="0"/>
          <w:numId w:val="2"/>
        </w:numPr>
        <w:bidi/>
        <w:spacing w:after="60" w:line="276"/>
      </w:pPr>
      <w:r>
        <w:rPr>
          <w:rFonts w:ascii="Arial" w:cs="Arial" w:eastAsia="Arial" w:hAnsi="Arial"/>
          <w:b/>
          <w:bCs/>
          <w:i w:val="false"/>
          <w:iCs w:val="false"/>
          <w:color w:val="222222"/>
          <w:sz w:val="22"/>
          <w:szCs w:val="22"/>
          <w:rtl/>
        </w:rPr>
        <w:t xml:space="preserve">פסיבית: </w:t>
      </w:r>
      <w:r>
        <w:rPr>
          <w:rFonts w:ascii="Arial" w:cs="Arial" w:eastAsia="Arial" w:hAnsi="Arial"/>
          <w:b w:val="false"/>
          <w:bCs w:val="false"/>
          <w:i w:val="false"/>
          <w:iCs w:val="false"/>
          <w:color w:val="222222"/>
          <w:sz w:val="22"/>
          <w:szCs w:val="22"/>
          <w:rtl/>
        </w:rPr>
        <w:t xml:space="preserve">אי-גילוי עובדות שחובה לגלותן לפי דין, לפי הנסיבות או לפי נוהג (רטיבות חמורה, תאונה קשה).</w:t>
      </w:r>
    </w:p>
    <w:p>
      <w:pPr>
        <w:pStyle w:val="ListParagraph"/>
        <w:numPr>
          <w:ilvl w:val="0"/>
          <w:numId w:val="2"/>
        </w:numPr>
        <w:bidi/>
        <w:spacing w:after="60" w:line="276"/>
      </w:pPr>
      <w:r>
        <w:rPr>
          <w:rFonts w:ascii="Arial" w:cs="Arial" w:eastAsia="Arial" w:hAnsi="Arial"/>
          <w:b/>
          <w:bCs/>
          <w:i w:val="false"/>
          <w:iCs w:val="false"/>
          <w:color w:val="222222"/>
          <w:sz w:val="22"/>
          <w:szCs w:val="22"/>
          <w:rtl/>
        </w:rPr>
        <w:t xml:space="preserve">הסעד: </w:t>
      </w:r>
      <w:r>
        <w:rPr>
          <w:rFonts w:ascii="Arial" w:cs="Arial" w:eastAsia="Arial" w:hAnsi="Arial"/>
          <w:b w:val="false"/>
          <w:bCs w:val="false"/>
          <w:i w:val="false"/>
          <w:iCs w:val="false"/>
          <w:color w:val="222222"/>
          <w:sz w:val="22"/>
          <w:szCs w:val="22"/>
          <w:rtl/>
        </w:rPr>
        <w:t xml:space="preserve">ביטול עצמי (ס׳ 20) + השבה (ס׳ 21); כפוף לביטול חלקי (ס׳ 19) ולסייג הכדאיות. קשר סיבתי כפול נדרש: הטעיה ← טעות ← התקשרות.</w:t>
      </w:r>
    </w:p>
    <w:p>
      <w:pPr>
        <w:pStyle w:val="Heading3"/>
        <w:keepNext/>
        <w:bidi/>
        <w:spacing w:after="80" w:before="140" w:line="276"/>
      </w:pPr>
      <w:r>
        <w:rPr>
          <w:rFonts w:ascii="Arial" w:cs="Arial" w:eastAsia="Arial" w:hAnsi="Arial"/>
          <w:b/>
          <w:bCs/>
          <w:i w:val="false"/>
          <w:iCs w:val="false"/>
          <w:color w:val="404040"/>
          <w:sz w:val="23"/>
          <w:szCs w:val="23"/>
          <w:rtl/>
        </w:rPr>
        <w:t xml:space="preserve">טעות סופר (ס׳ 16)</w:t>
      </w:r>
    </w:p>
    <w:p>
      <w:pPr>
        <w:pStyle w:val="ListParagraph"/>
        <w:numPr>
          <w:ilvl w:val="0"/>
          <w:numId w:val="2"/>
        </w:numPr>
        <w:bidi/>
        <w:spacing w:after="60" w:line="276"/>
      </w:pPr>
      <w:r>
        <w:rPr>
          <w:rFonts w:ascii="Arial" w:cs="Arial" w:eastAsia="Arial" w:hAnsi="Arial"/>
          <w:b w:val="false"/>
          <w:bCs w:val="false"/>
          <w:i w:val="false"/>
          <w:iCs w:val="false"/>
          <w:color w:val="222222"/>
          <w:sz w:val="22"/>
          <w:szCs w:val="22"/>
          <w:rtl/>
        </w:rPr>
        <w:t xml:space="preserve">טעות רישום/הקלדה — החוזה מתוקן לפי אומד דעת הצדדים; אין עילת ביטול. המתכחש לטעות פועל בחוסר תום לב; ניתן להוכיח שהמוסכם בע"פ גובר על הכתוב.</w:t>
      </w:r>
    </w:p>
    <w:p>
      <w:pPr>
        <w:pStyle w:val="Heading3"/>
        <w:keepNext/>
        <w:bidi/>
        <w:spacing w:after="80" w:before="140" w:line="276"/>
      </w:pPr>
      <w:r>
        <w:rPr>
          <w:rFonts w:ascii="Arial" w:cs="Arial" w:eastAsia="Arial" w:hAnsi="Arial"/>
          <w:b/>
          <w:bCs/>
          <w:i w:val="false"/>
          <w:iCs w:val="false"/>
          <w:color w:val="404040"/>
          <w:sz w:val="23"/>
          <w:szCs w:val="23"/>
          <w:rtl/>
        </w:rPr>
        <w:t xml:space="preserve">כפייה (ס׳ 17)</w:t>
      </w:r>
    </w:p>
    <w:p>
      <w:pPr>
        <w:pStyle w:val="ListParagraph"/>
        <w:numPr>
          <w:ilvl w:val="0"/>
          <w:numId w:val="2"/>
        </w:numPr>
        <w:bidi/>
        <w:spacing w:after="60" w:line="276"/>
      </w:pPr>
      <w:r>
        <w:rPr>
          <w:rFonts w:ascii="Arial" w:cs="Arial" w:eastAsia="Arial" w:hAnsi="Arial"/>
          <w:b/>
          <w:bCs/>
          <w:i w:val="false"/>
          <w:iCs w:val="false"/>
          <w:color w:val="222222"/>
          <w:sz w:val="22"/>
          <w:szCs w:val="22"/>
          <w:rtl/>
        </w:rPr>
        <w:t xml:space="preserve">יסודות: </w:t>
      </w:r>
      <w:r>
        <w:rPr>
          <w:rFonts w:ascii="Arial" w:cs="Arial" w:eastAsia="Arial" w:hAnsi="Arial"/>
          <w:b w:val="false"/>
          <w:bCs w:val="false"/>
          <w:i w:val="false"/>
          <w:iCs w:val="false"/>
          <w:color w:val="222222"/>
          <w:sz w:val="22"/>
          <w:szCs w:val="22"/>
          <w:rtl/>
        </w:rPr>
        <w:t xml:space="preserve">חוזה + כפייה בכוח או באיום + ע"י הצד השני או מטעמו + קשר סיבתי. כפייה מגורם שאינו צד — לא בגדר הסעיף (מהשיעורים: שושנה קרן נ׳ דיור לעולה).</w:t>
      </w:r>
    </w:p>
    <w:p>
      <w:pPr>
        <w:pStyle w:val="ListParagraph"/>
        <w:numPr>
          <w:ilvl w:val="0"/>
          <w:numId w:val="2"/>
        </w:numPr>
        <w:bidi/>
        <w:spacing w:after="60" w:line="276"/>
      </w:pPr>
      <w:r>
        <w:rPr>
          <w:rFonts w:ascii="Arial" w:cs="Arial" w:eastAsia="Arial" w:hAnsi="Arial"/>
          <w:b/>
          <w:bCs/>
          <w:i w:val="false"/>
          <w:iCs w:val="false"/>
          <w:color w:val="222222"/>
          <w:sz w:val="22"/>
          <w:szCs w:val="22"/>
          <w:rtl/>
        </w:rPr>
        <w:t xml:space="preserve">כפייה כלכלית: </w:t>
      </w:r>
      <w:r>
        <w:rPr>
          <w:rFonts w:ascii="Arial" w:cs="Arial" w:eastAsia="Arial" w:hAnsi="Arial"/>
          <w:b w:val="false"/>
          <w:bCs w:val="false"/>
          <w:i w:val="false"/>
          <w:iCs w:val="false"/>
          <w:color w:val="222222"/>
          <w:sz w:val="22"/>
          <w:szCs w:val="22"/>
          <w:rtl/>
        </w:rPr>
        <w:t xml:space="preserve">רחמים נ׳ אקספומדיה (ע"א 8/88): איום מפתיע, חמור ובלתי הפיך, בעיתוי של פגיעוּת מרבית — "גובל בסחיטה", לחץ בלתי לגיטימי. מאיה נ׳ פנפורד (ע"א 1569/93): נבחנות איכות הלחץ (מנוגד לכללי המשחק) ועוצמתו ("מקדיח את התבשיל").</w:t>
      </w:r>
    </w:p>
    <w:p>
      <w:pPr>
        <w:pStyle w:val="ListParagraph"/>
        <w:numPr>
          <w:ilvl w:val="0"/>
          <w:numId w:val="2"/>
        </w:numPr>
        <w:bidi/>
        <w:spacing w:after="60" w:line="276"/>
      </w:pPr>
      <w:r>
        <w:rPr>
          <w:rFonts w:ascii="Arial" w:cs="Arial" w:eastAsia="Arial" w:hAnsi="Arial"/>
          <w:b/>
          <w:bCs/>
          <w:i w:val="false"/>
          <w:iCs w:val="false"/>
          <w:color w:val="222222"/>
          <w:sz w:val="22"/>
          <w:szCs w:val="22"/>
          <w:rtl/>
        </w:rPr>
        <w:t xml:space="preserve">לא כפייה (17(ב)): </w:t>
      </w:r>
      <w:r>
        <w:rPr>
          <w:rFonts w:ascii="Arial" w:cs="Arial" w:eastAsia="Arial" w:hAnsi="Arial"/>
          <w:b w:val="false"/>
          <w:bCs w:val="false"/>
          <w:i w:val="false"/>
          <w:iCs w:val="false"/>
          <w:color w:val="222222"/>
          <w:sz w:val="22"/>
          <w:szCs w:val="22"/>
          <w:rtl/>
        </w:rPr>
        <w:t xml:space="preserve">אזהרה בתום לב על הפעלת זכות — למשל הודעה על כוונה לתבוע.</w:t>
      </w:r>
    </w:p>
    <w:p>
      <w:pPr>
        <w:pStyle w:val="ListParagraph"/>
        <w:numPr>
          <w:ilvl w:val="0"/>
          <w:numId w:val="2"/>
        </w:numPr>
        <w:bidi/>
        <w:spacing w:after="60" w:line="276"/>
      </w:pPr>
      <w:r>
        <w:rPr>
          <w:rFonts w:ascii="Arial" w:cs="Arial" w:eastAsia="Arial" w:hAnsi="Arial"/>
          <w:b/>
          <w:bCs/>
          <w:i w:val="false"/>
          <w:iCs w:val="false"/>
          <w:color w:val="222222"/>
          <w:sz w:val="22"/>
          <w:szCs w:val="22"/>
          <w:rtl/>
        </w:rPr>
        <w:t xml:space="preserve">ביטול: </w:t>
      </w:r>
      <w:r>
        <w:rPr>
          <w:rFonts w:ascii="Arial" w:cs="Arial" w:eastAsia="Arial" w:hAnsi="Arial"/>
          <w:b w:val="false"/>
          <w:bCs w:val="false"/>
          <w:i w:val="false"/>
          <w:iCs w:val="false"/>
          <w:color w:val="222222"/>
          <w:sz w:val="22"/>
          <w:szCs w:val="22"/>
          <w:rtl/>
        </w:rPr>
        <w:t xml:space="preserve">תוך זמן סביר מתום הכפייה (ס׳ 20; אקספומדיה) + השבה; ניתן לצרף פיצויי ס׳ 12 (ס׳ 22).</w:t>
      </w:r>
    </w:p>
    <w:p>
      <w:pPr>
        <w:pStyle w:val="Heading3"/>
        <w:keepNext/>
        <w:bidi/>
        <w:spacing w:after="80" w:before="140" w:line="276"/>
      </w:pPr>
      <w:r>
        <w:rPr>
          <w:rFonts w:ascii="Arial" w:cs="Arial" w:eastAsia="Arial" w:hAnsi="Arial"/>
          <w:b/>
          <w:bCs/>
          <w:i w:val="false"/>
          <w:iCs w:val="false"/>
          <w:color w:val="404040"/>
          <w:sz w:val="23"/>
          <w:szCs w:val="23"/>
          <w:rtl/>
        </w:rPr>
        <w:t xml:space="preserve">עושק (ס׳ 18)</w:t>
      </w:r>
    </w:p>
    <w:p>
      <w:pPr>
        <w:pStyle w:val="ListParagraph"/>
        <w:numPr>
          <w:ilvl w:val="0"/>
          <w:numId w:val="2"/>
        </w:numPr>
        <w:bidi/>
        <w:spacing w:after="60" w:line="276"/>
      </w:pPr>
      <w:r>
        <w:rPr>
          <w:rFonts w:ascii="Arial" w:cs="Arial" w:eastAsia="Arial" w:hAnsi="Arial"/>
          <w:b/>
          <w:bCs/>
          <w:i w:val="false"/>
          <w:iCs w:val="false"/>
          <w:color w:val="222222"/>
          <w:sz w:val="22"/>
          <w:szCs w:val="22"/>
          <w:rtl/>
        </w:rPr>
        <w:t xml:space="preserve">יסודות: </w:t>
      </w:r>
      <w:r>
        <w:rPr>
          <w:rFonts w:ascii="Arial" w:cs="Arial" w:eastAsia="Arial" w:hAnsi="Arial"/>
          <w:b w:val="false"/>
          <w:bCs w:val="false"/>
          <w:i w:val="false"/>
          <w:iCs w:val="false"/>
          <w:color w:val="222222"/>
          <w:sz w:val="22"/>
          <w:szCs w:val="22"/>
          <w:rtl/>
        </w:rPr>
        <w:t xml:space="preserve">חוזה; ניצול (ביודעין או בעצימת עיניים — פס"ד סאסי) של מצוקת המתקשר, חולשתו השכלית/הגופנית או חוסר ניסיונו; מצב חמור ומשמעותי במועד ההתקשרות; קשר סיבתי כפול (מצוקה←ניצול←התקשרות); ותנאי חוזה גרועים במידה בלתי סבירה מהמקובל (בוחנים את החוזה כולו — תנאים מיטיבים אחרים עשויים לאזן).</w:t>
      </w:r>
    </w:p>
    <w:p>
      <w:pPr>
        <w:bidi/>
        <w:spacing w:after="160"/>
      </w:pPr>
    </w:p>
    <w:p>
      <w:pPr>
        <w:bidi/>
        <w:spacing w:after="0" w:before="0" w:line="276"/>
      </w:pPr>
      <w:r>
        <w:rPr>
          <w:rFonts w:ascii="Arial" w:cs="Arial" w:eastAsia="Arial" w:hAnsi="Arial"/>
          <w:b/>
          <w:bCs/>
          <w:i w:val="false"/>
          <w:iCs w:val="false"/>
          <w:color w:val="1F3864"/>
          <w:sz w:val="26"/>
          <w:szCs w:val="26"/>
          <w:rtl/>
        </w:rPr>
        <w:t xml:space="preserve">בהצלחה בבוחן! 🍀</w:t>
      </w:r>
    </w:p>
    <w:sectPr>
      <w:footerReference w:type="default" r:id="rId7"/>
      <w:pgSz w:w="11906" w:h="16838" w:orient="portrait"/>
      <w:pgMar w:top="1080" w:right="1200" w:bottom="108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00"/>
      </w:pPr>
    </w:lvl>
    <w:lvl w:ilvl="1" w15:tentative="1">
      <w:start w:val="1"/>
      <w:numFmt w:val="bullet"/>
      <w:lvlText w:val="◦"/>
      <w:lvlJc w:val="left"/>
      <w:pPr>
        <w:ind w:left="680" w:hanging="200"/>
      </w:pPr>
    </w:lvl>
  </w:abstractNum>
  <w:abstractNum w:abstractNumId="3" w15:restartNumberingAfterBreak="0">
    <w:multiLevelType w:val="hybridMultilevel"/>
    <w:lvl w:ilvl="0" w15:tentative="1">
      <w:start w:val="1"/>
      <w:numFmt w:val="decimal"/>
      <w:lvlText w:val="%1."/>
      <w:lvlJc w:val="left"/>
      <w:pPr>
        <w:ind w:left="380" w:hanging="260"/>
      </w:pPr>
    </w:lvl>
  </w:abstractNum>
  <w:abstractNum w:abstractNumId="4" w15:restartNumberingAfterBreak="0">
    <w:multiLevelType w:val="hybridMultilevel"/>
    <w:lvl w:ilvl="0" w15:tentative="1">
      <w:start w:val="1"/>
      <w:numFmt w:val="decimal"/>
      <w:lvlText w:val="%1."/>
      <w:lvlJc w:val="left"/>
      <w:pPr>
        <w:ind w:left="380" w:hanging="260"/>
      </w:pPr>
    </w:lvl>
  </w:abstractNum>
  <w:abstractNum w:abstractNumId="5" w15:restartNumberingAfterBreak="0">
    <w:multiLevelType w:val="hybridMultilevel"/>
    <w:lvl w:ilvl="0" w15:tentative="1">
      <w:start w:val="1"/>
      <w:numFmt w:val="decimal"/>
      <w:lvlText w:val="%1."/>
      <w:lvlJc w:val="left"/>
      <w:pPr>
        <w:ind w:left="380" w:hanging="260"/>
      </w:pPr>
    </w:lvl>
  </w:abstractNum>
  <w:abstractNum w:abstractNumId="6" w15:restartNumberingAfterBreak="0">
    <w:multiLevelType w:val="hybridMultilevel"/>
    <w:lvl w:ilvl="0" w15:tentative="1">
      <w:start w:val="1"/>
      <w:numFmt w:val="decimal"/>
      <w:lvlText w:val="%1."/>
      <w:lvlJc w:val="left"/>
      <w:pPr>
        <w:ind w:left="380" w:hanging="260"/>
      </w:pPr>
    </w:lvl>
  </w:abstractNum>
  <w:abstractNum w:abstractNumId="7" w15:restartNumberingAfterBreak="0">
    <w:multiLevelType w:val="hybridMultilevel"/>
    <w:lvl w:ilvl="0" w15:tentative="1">
      <w:start w:val="1"/>
      <w:numFmt w:val="decimal"/>
      <w:lvlText w:val="%1."/>
      <w:lvlJc w:val="left"/>
      <w:pPr>
        <w:ind w:left="38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2026-08-28T08:53:50.144Z</dcterms:created>
  <dcterms:modified xsi:type="dcterms:W3CDTF">2026-08-28T08:53:50.145Z</dcterms:modified>
</cp:coreProperties>
</file>

<file path=docProps/custom.xml><?xml version="1.0" encoding="utf-8"?>
<Properties xmlns="http://schemas.openxmlformats.org/officeDocument/2006/custom-properties" xmlns:vt="http://schemas.openxmlformats.org/officeDocument/2006/docPropsVTypes"/>
</file>