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FE1010" w14:textId="3C54F8B0" w:rsidR="001D542F" w:rsidRPr="005137DA" w:rsidRDefault="005137DA" w:rsidP="009914B8">
      <w:pPr>
        <w:bidi/>
        <w:rPr>
          <w:b/>
          <w:bCs/>
          <w:u w:val="single"/>
          <w:rtl/>
        </w:rPr>
      </w:pPr>
      <w:r>
        <w:rPr>
          <w:rFonts w:hint="cs"/>
          <w:b/>
          <w:bCs/>
          <w:u w:val="single"/>
          <w:rtl/>
        </w:rPr>
        <w:t xml:space="preserve">פתרון מבחן: היבטים </w:t>
      </w:r>
      <w:proofErr w:type="spellStart"/>
      <w:r>
        <w:rPr>
          <w:rFonts w:hint="cs"/>
          <w:b/>
          <w:bCs/>
          <w:u w:val="single"/>
          <w:rtl/>
        </w:rPr>
        <w:t>תשפח</w:t>
      </w:r>
      <w:proofErr w:type="spellEnd"/>
      <w:r>
        <w:rPr>
          <w:rFonts w:hint="cs"/>
          <w:b/>
          <w:bCs/>
          <w:u w:val="single"/>
          <w:rtl/>
        </w:rPr>
        <w:t xml:space="preserve"> (חדווה)</w:t>
      </w:r>
      <w:r w:rsidR="009914B8" w:rsidRPr="005137DA">
        <w:rPr>
          <w:rFonts w:hint="cs"/>
          <w:b/>
          <w:bCs/>
          <w:u w:val="single"/>
          <w:rtl/>
        </w:rPr>
        <w:t>שאלה 1</w:t>
      </w:r>
    </w:p>
    <w:p w14:paraId="44B67C02" w14:textId="2E24A138" w:rsidR="009914B8" w:rsidRDefault="009914B8" w:rsidP="009914B8">
      <w:pPr>
        <w:pStyle w:val="a9"/>
        <w:numPr>
          <w:ilvl w:val="0"/>
          <w:numId w:val="1"/>
        </w:numPr>
        <w:bidi/>
      </w:pPr>
      <w:r>
        <w:rPr>
          <w:rFonts w:hint="cs"/>
          <w:rtl/>
        </w:rPr>
        <w:t>האם המודעה של חדווה הינה הצעה לפי סעיף 2? יש לבדוק: פניה- קיימת: פרסום מודעה היא פניה לציבור. גמירת דעת- עצם הפרסום בעיתון מלמד על רצינות לפי מבן אובייקטיבי. מסוימות- יש פרטים לגבי סוג הטיפול וגובה ההנחיה. נראה שאכן מדובר בהצעה. הצעה זו היא ללא תוקף ולכן תסווג כהצעה רגילה. זו גם הצעה שניתן לקבל בהתנהגות (מי שתבוא עם המודעה).הצעה רגילה פוקעת תוך זמן סביר לפי סעיף 4(1). חדווה יכולה להתחרט לפני מתן הודעת קיבול (סעיף 3(א)+סעיף 6(א). עליה לעדכן את חרטתה באופן גלוי (</w:t>
      </w:r>
      <w:proofErr w:type="spellStart"/>
      <w:r>
        <w:rPr>
          <w:rFonts w:hint="cs"/>
          <w:rtl/>
        </w:rPr>
        <w:t>קוזלי</w:t>
      </w:r>
      <w:proofErr w:type="spellEnd"/>
      <w:r>
        <w:rPr>
          <w:rFonts w:hint="cs"/>
          <w:rtl/>
        </w:rPr>
        <w:t>).</w:t>
      </w:r>
    </w:p>
    <w:p w14:paraId="344A0DA2" w14:textId="743DFEBB" w:rsidR="009914B8" w:rsidRDefault="009914B8" w:rsidP="009914B8">
      <w:pPr>
        <w:pStyle w:val="a9"/>
        <w:numPr>
          <w:ilvl w:val="0"/>
          <w:numId w:val="1"/>
        </w:numPr>
        <w:bidi/>
      </w:pPr>
      <w:r>
        <w:rPr>
          <w:rFonts w:hint="cs"/>
          <w:rtl/>
        </w:rPr>
        <w:t xml:space="preserve">חדווה מעוניינת לבטל את החוזה עקב פגם ברצון: טעות. על מנת לבטל חוזה עקב טעות יש להוכיח: 1. חוזה- נתון שיש. 2. טעות- במקרה זה נראה כי מדובר בטעות שהיא אך ורק בכדאיות העסקה. חדווה לא </w:t>
      </w:r>
      <w:proofErr w:type="spellStart"/>
      <w:r>
        <w:rPr>
          <w:rFonts w:hint="cs"/>
          <w:rtl/>
        </w:rPr>
        <w:t>תימחרה</w:t>
      </w:r>
      <w:proofErr w:type="spellEnd"/>
      <w:r>
        <w:rPr>
          <w:rFonts w:hint="cs"/>
          <w:rtl/>
        </w:rPr>
        <w:t xml:space="preserve"> נכון את הטיפול. טעות כזו אינה מאפשרת לבטל את החוזה (סעיף 14ד) מי שיטען כי מדובר בטעות גם בטיב הטיפול- נניח טעתה בסוג העור ואבחונו היה צריך להמשיך לנתח לפי יסודות סעיף 14 האם הטעות יסודית והאם הצד השני ידע או היה צריך לדעת. במקרה זה נראה שהלקוחה לא יכולה </w:t>
      </w:r>
      <w:proofErr w:type="spellStart"/>
      <w:r>
        <w:rPr>
          <w:rFonts w:hint="cs"/>
          <w:rtl/>
        </w:rPr>
        <w:t>היתה</w:t>
      </w:r>
      <w:proofErr w:type="spellEnd"/>
      <w:r>
        <w:rPr>
          <w:rFonts w:hint="cs"/>
          <w:rtl/>
        </w:rPr>
        <w:t xml:space="preserve"> לדעת ולכן על מנת לבטל על חדווה לפנות לבית המשפט ולבקש ביטול מטעמי צדק. ספק אם בית המשפט יסכים לכך.</w:t>
      </w:r>
    </w:p>
    <w:p w14:paraId="1AE1AE89" w14:textId="251DF070" w:rsidR="009914B8" w:rsidRPr="005137DA" w:rsidRDefault="009914B8" w:rsidP="009914B8">
      <w:pPr>
        <w:bidi/>
        <w:rPr>
          <w:b/>
          <w:bCs/>
          <w:u w:val="single"/>
          <w:rtl/>
        </w:rPr>
      </w:pPr>
      <w:r w:rsidRPr="005137DA">
        <w:rPr>
          <w:rFonts w:hint="cs"/>
          <w:b/>
          <w:bCs/>
          <w:u w:val="single"/>
          <w:rtl/>
        </w:rPr>
        <w:t>שאלה 2</w:t>
      </w:r>
    </w:p>
    <w:p w14:paraId="252A4A30" w14:textId="7078CF77" w:rsidR="009914B8" w:rsidRDefault="009914B8" w:rsidP="009914B8">
      <w:pPr>
        <w:bidi/>
        <w:rPr>
          <w:rtl/>
        </w:rPr>
      </w:pPr>
      <w:r>
        <w:rPr>
          <w:rFonts w:hint="cs"/>
          <w:rtl/>
        </w:rPr>
        <w:t xml:space="preserve">בוני תטען שאומנם היא מפרה את החוזה אך מדובר בסיכול לפי סעיף 18א: נסיבות לא צפויות, שלא ניתן למנען ואשר הופכות את החוזה ללא ניתן לקיום </w:t>
      </w:r>
      <w:proofErr w:type="spellStart"/>
      <w:r>
        <w:rPr>
          <w:rFonts w:hint="cs"/>
          <w:rtl/>
        </w:rPr>
        <w:t>רו</w:t>
      </w:r>
      <w:proofErr w:type="spellEnd"/>
      <w:r>
        <w:rPr>
          <w:rFonts w:hint="cs"/>
          <w:rtl/>
        </w:rPr>
        <w:t xml:space="preserve"> שקיומו הופך לשונה באופן מהותי מהמוסכם.</w:t>
      </w:r>
      <w:r w:rsidR="00172807">
        <w:rPr>
          <w:rFonts w:hint="cs"/>
          <w:rtl/>
        </w:rPr>
        <w:t xml:space="preserve"> ספק אם טענה כזו תתקבל כי איומים </w:t>
      </w:r>
      <w:proofErr w:type="spellStart"/>
      <w:r w:rsidR="00172807">
        <w:rPr>
          <w:rFonts w:hint="cs"/>
          <w:rtl/>
        </w:rPr>
        <w:t>כטלו</w:t>
      </w:r>
      <w:proofErr w:type="spellEnd"/>
      <w:r w:rsidR="00172807">
        <w:rPr>
          <w:rFonts w:hint="cs"/>
          <w:rtl/>
        </w:rPr>
        <w:t xml:space="preserve"> יש למכביר וניתן היה לצפותם. אם הטענה תתקבל, לפי סעיף 18ב ניצן יוכל לקבל רק השבה והחזר הוצאות סבירות. אם הטענה לא תתקבל, אז מדובר </w:t>
      </w:r>
      <w:r>
        <w:rPr>
          <w:rFonts w:hint="cs"/>
          <w:rtl/>
        </w:rPr>
        <w:t>בהפרה צפויה (שבועיים לפני המועד) ולכן לפי סעיף 17 ניצן יכול לפעול כבר כעת או לחכות לתאריך ההפרה עמו. מה התרופות העומדות לניצן</w:t>
      </w:r>
      <w:r w:rsidR="00172807">
        <w:rPr>
          <w:rFonts w:hint="cs"/>
          <w:rtl/>
        </w:rPr>
        <w:t>?</w:t>
      </w:r>
    </w:p>
    <w:p w14:paraId="75244F8A" w14:textId="4E4375DF" w:rsidR="00172807" w:rsidRDefault="00172807" w:rsidP="00172807">
      <w:pPr>
        <w:bidi/>
        <w:rPr>
          <w:rtl/>
        </w:rPr>
      </w:pPr>
      <w:r>
        <w:rPr>
          <w:rFonts w:hint="cs"/>
          <w:rtl/>
        </w:rPr>
        <w:t>אכיפה- לפי סעיף 3 מדובר במלכת התרופות וטולם כאן קיים חריג של שירות אישי ולא ניתן לכפות על ניצן להופיע.</w:t>
      </w:r>
    </w:p>
    <w:p w14:paraId="62B161C8" w14:textId="01205438" w:rsidR="00172807" w:rsidRDefault="00172807" w:rsidP="00172807">
      <w:pPr>
        <w:bidi/>
        <w:rPr>
          <w:rtl/>
        </w:rPr>
      </w:pPr>
      <w:r>
        <w:rPr>
          <w:rFonts w:hint="cs"/>
          <w:rtl/>
        </w:rPr>
        <w:t xml:space="preserve">לחילופין ניצן יוכל לדרוש ביטול. אומנם לא מדובר בהפרה יסודית מוסכמת כי הצדדים קבעו בחוזה תניה גורפת שאין לה תוקף (סעיף 6) אבל עדיין תיתכן הפרה יסודית מסתברת. אי קיום הופעה זו הפרה יסודית מסתברת שכן אדם סביר, לו היה יודע, לא היה מתקשר בחוזה. כיון שכך ניתן רשאי לבטל את החוזה לפי סעיף 7א וגם אם בוני תפנה לבית המשפט בית המשפט לא יתערב. יש להודיע על הביטול תוך זמן סביר(סעיף 8). ניצן זכאי להשבה </w:t>
      </w:r>
      <w:proofErr w:type="spellStart"/>
      <w:r>
        <w:rPr>
          <w:rFonts w:hint="cs"/>
          <w:rtl/>
        </w:rPr>
        <w:t>ךפי</w:t>
      </w:r>
      <w:proofErr w:type="spellEnd"/>
      <w:r>
        <w:rPr>
          <w:rFonts w:hint="cs"/>
          <w:rtl/>
        </w:rPr>
        <w:t xml:space="preserve"> סעיף 9.</w:t>
      </w:r>
    </w:p>
    <w:p w14:paraId="01B0C16E" w14:textId="014C076C" w:rsidR="00172807" w:rsidRDefault="00172807" w:rsidP="00172807">
      <w:pPr>
        <w:bidi/>
        <w:rPr>
          <w:rtl/>
        </w:rPr>
      </w:pPr>
      <w:r>
        <w:rPr>
          <w:rFonts w:hint="cs"/>
          <w:rtl/>
        </w:rPr>
        <w:t>בנוסף או לחילופין ניצן זכאי לפיצויים. במקרה זה נקבע פיצוי  מוסכם לפי סעיף 15. ניצן תוכל לטעון שהפיצוי נקבע בגובה מופרז יחסית לנזק שניתן לצפותו ושעל בית המשפט להפחיתו לפי סעיף 15א. לאור נתוני השאלה נניח ש</w:t>
      </w:r>
      <w:r w:rsidR="005137DA">
        <w:rPr>
          <w:rFonts w:hint="cs"/>
          <w:rtl/>
        </w:rPr>
        <w:t>היו אכן נמכרים</w:t>
      </w:r>
      <w:r>
        <w:rPr>
          <w:rFonts w:hint="cs"/>
          <w:rtl/>
        </w:rPr>
        <w:t xml:space="preserve"> 50,000 כרטיסים במחיר 500 ועוד 100</w:t>
      </w:r>
      <w:r w:rsidR="005137DA">
        <w:rPr>
          <w:rFonts w:hint="cs"/>
          <w:rtl/>
        </w:rPr>
        <w:t>0</w:t>
      </w:r>
      <w:r>
        <w:rPr>
          <w:rFonts w:hint="cs"/>
          <w:rtl/>
        </w:rPr>
        <w:t xml:space="preserve"> במחי</w:t>
      </w:r>
      <w:r w:rsidR="005137DA">
        <w:rPr>
          <w:rFonts w:hint="cs"/>
          <w:rtl/>
        </w:rPr>
        <w:t>ר 1000 כלומ</w:t>
      </w:r>
      <w:r>
        <w:rPr>
          <w:rFonts w:hint="cs"/>
          <w:rtl/>
        </w:rPr>
        <w:t xml:space="preserve">ר </w:t>
      </w:r>
      <w:r w:rsidR="005137DA">
        <w:rPr>
          <w:rFonts w:hint="cs"/>
          <w:rtl/>
        </w:rPr>
        <w:t>הפסד של לפחות 26 מיליון. לחילופין ניצן יכול לוותר על הפיצוי המוסכם ולהוכיח את נזקו לפי סעיפים 10 ו-13 בכפוף לנטל הקטנת הנזק (סעיף 14) ספק אם כדאי לו ללכת בדרך זו.</w:t>
      </w:r>
    </w:p>
    <w:p w14:paraId="76DFBE54" w14:textId="77777777" w:rsidR="009914B8" w:rsidRDefault="009914B8" w:rsidP="009914B8">
      <w:pPr>
        <w:bidi/>
      </w:pPr>
    </w:p>
    <w:sectPr w:rsidR="009914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E49798E"/>
    <w:multiLevelType w:val="hybridMultilevel"/>
    <w:tmpl w:val="D2A234F4"/>
    <w:lvl w:ilvl="0" w:tplc="441415A6">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96661536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4B8"/>
    <w:rsid w:val="00172807"/>
    <w:rsid w:val="001D542F"/>
    <w:rsid w:val="005137DA"/>
    <w:rsid w:val="00813C84"/>
    <w:rsid w:val="009914B8"/>
    <w:rsid w:val="00B812F2"/>
    <w:rsid w:val="00F35B8A"/>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E5AE4"/>
  <w15:chartTrackingRefBased/>
  <w15:docId w15:val="{B98E8FC8-784B-43C7-A97C-37237EC72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914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914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914B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914B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914B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914B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914B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914B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914B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914B8"/>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9914B8"/>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9914B8"/>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9914B8"/>
    <w:rPr>
      <w:rFonts w:eastAsiaTheme="majorEastAsia" w:cstheme="majorBidi"/>
      <w:i/>
      <w:iCs/>
      <w:color w:val="2F5496" w:themeColor="accent1" w:themeShade="BF"/>
    </w:rPr>
  </w:style>
  <w:style w:type="character" w:customStyle="1" w:styleId="50">
    <w:name w:val="כותרת 5 תו"/>
    <w:basedOn w:val="a0"/>
    <w:link w:val="5"/>
    <w:uiPriority w:val="9"/>
    <w:semiHidden/>
    <w:rsid w:val="009914B8"/>
    <w:rPr>
      <w:rFonts w:eastAsiaTheme="majorEastAsia" w:cstheme="majorBidi"/>
      <w:color w:val="2F5496" w:themeColor="accent1" w:themeShade="BF"/>
    </w:rPr>
  </w:style>
  <w:style w:type="character" w:customStyle="1" w:styleId="60">
    <w:name w:val="כותרת 6 תו"/>
    <w:basedOn w:val="a0"/>
    <w:link w:val="6"/>
    <w:uiPriority w:val="9"/>
    <w:semiHidden/>
    <w:rsid w:val="009914B8"/>
    <w:rPr>
      <w:rFonts w:eastAsiaTheme="majorEastAsia" w:cstheme="majorBidi"/>
      <w:i/>
      <w:iCs/>
      <w:color w:val="595959" w:themeColor="text1" w:themeTint="A6"/>
    </w:rPr>
  </w:style>
  <w:style w:type="character" w:customStyle="1" w:styleId="70">
    <w:name w:val="כותרת 7 תו"/>
    <w:basedOn w:val="a0"/>
    <w:link w:val="7"/>
    <w:uiPriority w:val="9"/>
    <w:semiHidden/>
    <w:rsid w:val="009914B8"/>
    <w:rPr>
      <w:rFonts w:eastAsiaTheme="majorEastAsia" w:cstheme="majorBidi"/>
      <w:color w:val="595959" w:themeColor="text1" w:themeTint="A6"/>
    </w:rPr>
  </w:style>
  <w:style w:type="character" w:customStyle="1" w:styleId="80">
    <w:name w:val="כותרת 8 תו"/>
    <w:basedOn w:val="a0"/>
    <w:link w:val="8"/>
    <w:uiPriority w:val="9"/>
    <w:semiHidden/>
    <w:rsid w:val="009914B8"/>
    <w:rPr>
      <w:rFonts w:eastAsiaTheme="majorEastAsia" w:cstheme="majorBidi"/>
      <w:i/>
      <w:iCs/>
      <w:color w:val="272727" w:themeColor="text1" w:themeTint="D8"/>
    </w:rPr>
  </w:style>
  <w:style w:type="character" w:customStyle="1" w:styleId="90">
    <w:name w:val="כותרת 9 תו"/>
    <w:basedOn w:val="a0"/>
    <w:link w:val="9"/>
    <w:uiPriority w:val="9"/>
    <w:semiHidden/>
    <w:rsid w:val="009914B8"/>
    <w:rPr>
      <w:rFonts w:eastAsiaTheme="majorEastAsia" w:cstheme="majorBidi"/>
      <w:color w:val="272727" w:themeColor="text1" w:themeTint="D8"/>
    </w:rPr>
  </w:style>
  <w:style w:type="paragraph" w:styleId="a3">
    <w:name w:val="Title"/>
    <w:basedOn w:val="a"/>
    <w:next w:val="a"/>
    <w:link w:val="a4"/>
    <w:uiPriority w:val="10"/>
    <w:qFormat/>
    <w:rsid w:val="00991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914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14B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914B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914B8"/>
    <w:pPr>
      <w:spacing w:before="160"/>
      <w:jc w:val="center"/>
    </w:pPr>
    <w:rPr>
      <w:i/>
      <w:iCs/>
      <w:color w:val="404040" w:themeColor="text1" w:themeTint="BF"/>
    </w:rPr>
  </w:style>
  <w:style w:type="character" w:customStyle="1" w:styleId="a8">
    <w:name w:val="ציטוט תו"/>
    <w:basedOn w:val="a0"/>
    <w:link w:val="a7"/>
    <w:uiPriority w:val="29"/>
    <w:rsid w:val="009914B8"/>
    <w:rPr>
      <w:i/>
      <w:iCs/>
      <w:color w:val="404040" w:themeColor="text1" w:themeTint="BF"/>
    </w:rPr>
  </w:style>
  <w:style w:type="paragraph" w:styleId="a9">
    <w:name w:val="List Paragraph"/>
    <w:basedOn w:val="a"/>
    <w:uiPriority w:val="34"/>
    <w:qFormat/>
    <w:rsid w:val="009914B8"/>
    <w:pPr>
      <w:ind w:left="720"/>
      <w:contextualSpacing/>
    </w:pPr>
  </w:style>
  <w:style w:type="character" w:styleId="aa">
    <w:name w:val="Intense Emphasis"/>
    <w:basedOn w:val="a0"/>
    <w:uiPriority w:val="21"/>
    <w:qFormat/>
    <w:rsid w:val="009914B8"/>
    <w:rPr>
      <w:i/>
      <w:iCs/>
      <w:color w:val="2F5496" w:themeColor="accent1" w:themeShade="BF"/>
    </w:rPr>
  </w:style>
  <w:style w:type="paragraph" w:styleId="ab">
    <w:name w:val="Intense Quote"/>
    <w:basedOn w:val="a"/>
    <w:next w:val="a"/>
    <w:link w:val="ac"/>
    <w:uiPriority w:val="30"/>
    <w:qFormat/>
    <w:rsid w:val="009914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9914B8"/>
    <w:rPr>
      <w:i/>
      <w:iCs/>
      <w:color w:val="2F5496" w:themeColor="accent1" w:themeShade="BF"/>
    </w:rPr>
  </w:style>
  <w:style w:type="character" w:styleId="ad">
    <w:name w:val="Intense Reference"/>
    <w:basedOn w:val="a0"/>
    <w:uiPriority w:val="32"/>
    <w:qFormat/>
    <w:rsid w:val="009914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412</Words>
  <Characters>2060</Characters>
  <Application>Microsoft Office Word</Application>
  <DocSecurity>0</DocSecurity>
  <Lines>17</Lines>
  <Paragraphs>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Korman Nava</dc:creator>
  <cp:keywords/>
  <dc:description/>
  <cp:lastModifiedBy>נדב אשכנזי</cp:lastModifiedBy>
  <cp:revision>2</cp:revision>
  <dcterms:created xsi:type="dcterms:W3CDTF">2026-07-26T13:22:00Z</dcterms:created>
  <dcterms:modified xsi:type="dcterms:W3CDTF">2026-07-26T13:22:00Z</dcterms:modified>
</cp:coreProperties>
</file>