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22146" w14:textId="77777777" w:rsidR="00AE473F" w:rsidRPr="00AE473F" w:rsidRDefault="00AE473F" w:rsidP="00AE473F">
      <w:pPr>
        <w:spacing w:line="360" w:lineRule="auto"/>
        <w:contextualSpacing/>
        <w:jc w:val="both"/>
        <w:rPr>
          <w:rFonts w:ascii="Calibri" w:eastAsia="Times New Roman" w:hAnsi="Calibri" w:cs="David"/>
          <w:sz w:val="24"/>
          <w:szCs w:val="24"/>
        </w:rPr>
      </w:pPr>
      <w:r w:rsidRPr="00AE473F">
        <w:rPr>
          <w:rFonts w:ascii="Calibri" w:eastAsia="Times New Roman" w:hAnsi="Calibri" w:cs="David" w:hint="cs"/>
          <w:sz w:val="24"/>
          <w:szCs w:val="24"/>
          <w:rtl/>
        </w:rPr>
        <w:t>שמואלה קנתה מבנה המשמש כמחסן, והחלה בשיפוצו לצורך הפיכתו למעדנייה המתמחה בגבינות מעושנות. היא פנתה לחיים, שיפוצניק, על מנת לשפץ את המחסן. חיים אמר כי הוא יכול לבצע את העבודה בתמורה לסכום של 30,000 ש"ח, והתחייב לסיים את העבודה תוך 45 ימים, כולל אספקה והתקנה של כל הציוד. בחוזה בין שמואלה לחיים נקבע כי הפרה של ההתחייבות לסיים את העבודה תוך 45 ימים תהווה הפרה יסודית ותחייב את חיים לשלם לשמואלה פיצוי על סך 15,000 ש"ח בגין כל חודש עיכוב.</w:t>
      </w:r>
    </w:p>
    <w:p w14:paraId="19C33780" w14:textId="77777777" w:rsidR="00AE473F" w:rsidRPr="00AE473F" w:rsidRDefault="00AE473F" w:rsidP="00AE473F">
      <w:pPr>
        <w:spacing w:line="360" w:lineRule="auto"/>
        <w:contextualSpacing/>
        <w:jc w:val="both"/>
        <w:rPr>
          <w:rFonts w:ascii="Calibri" w:eastAsia="Times New Roman" w:hAnsi="Calibri" w:cs="David"/>
          <w:sz w:val="24"/>
          <w:szCs w:val="24"/>
          <w:rtl/>
        </w:rPr>
      </w:pPr>
      <w:r w:rsidRPr="00AE473F">
        <w:rPr>
          <w:rFonts w:ascii="Calibri" w:eastAsia="Times New Roman" w:hAnsi="Calibri" w:cs="David" w:hint="cs"/>
          <w:sz w:val="24"/>
          <w:szCs w:val="24"/>
          <w:rtl/>
        </w:rPr>
        <w:t>כשבועיים לפני המועד שנקבע לסיום העבודה, נודע לשמואלה כי חיים מאושפז בבית חולים במצב קשה כתוצאה מנפילה לפיר של מעלית. היא שוחחה עם קרוביו של חיים והובהר לה כי גם לאחר שחרורו מהאשפוז צפוי לו תהליך שיקום ארוך, שלא יאפשר את השלמת העבודה. שמואלה איחלה לחיים איחולי החלמה מהירה, אך נותרה מיואשת ואובדת עצות. בעיקר חוששת שמואלה מההפסדים שיגרמו לה כתוצאה מהעיכוב בפתיחת העסק.</w:t>
      </w:r>
    </w:p>
    <w:p w14:paraId="7134DE66" w14:textId="77777777" w:rsidR="00AE473F" w:rsidRPr="00AE473F" w:rsidRDefault="00AE473F" w:rsidP="00AE473F">
      <w:pPr>
        <w:spacing w:line="360" w:lineRule="auto"/>
        <w:contextualSpacing/>
        <w:jc w:val="both"/>
        <w:rPr>
          <w:rFonts w:ascii="Calibri" w:eastAsia="Times New Roman" w:hAnsi="Calibri" w:cs="David"/>
          <w:b/>
          <w:bCs/>
          <w:sz w:val="24"/>
          <w:szCs w:val="24"/>
          <w:rtl/>
        </w:rPr>
      </w:pPr>
    </w:p>
    <w:p w14:paraId="1444D20A" w14:textId="77777777" w:rsidR="00AE473F" w:rsidRPr="00AE473F" w:rsidRDefault="00AE473F" w:rsidP="00AE473F">
      <w:pPr>
        <w:spacing w:line="360" w:lineRule="auto"/>
        <w:contextualSpacing/>
        <w:jc w:val="both"/>
        <w:rPr>
          <w:rFonts w:ascii="Calibri" w:eastAsia="Times New Roman" w:hAnsi="Calibri" w:cs="David"/>
          <w:sz w:val="24"/>
          <w:szCs w:val="24"/>
          <w:rtl/>
        </w:rPr>
      </w:pPr>
      <w:r w:rsidRPr="00AE473F">
        <w:rPr>
          <w:rFonts w:ascii="Calibri" w:eastAsia="Times New Roman" w:hAnsi="Calibri" w:cs="David" w:hint="cs"/>
          <w:b/>
          <w:bCs/>
          <w:sz w:val="24"/>
          <w:szCs w:val="24"/>
          <w:rtl/>
        </w:rPr>
        <w:t>דונו בכל הסוגיות המשפטיות, עילות התביעה והסעדים בהתייחס לחוק החוזים (תרופות בשל הפרת חוזה).</w:t>
      </w:r>
    </w:p>
    <w:p w14:paraId="2F3A7B29" w14:textId="77777777" w:rsidR="00932FEB" w:rsidRDefault="00932FEB" w:rsidP="00AE473F">
      <w:pPr>
        <w:numPr>
          <w:ilvl w:val="0"/>
          <w:numId w:val="1"/>
        </w:numPr>
        <w:spacing w:after="120" w:line="360" w:lineRule="auto"/>
        <w:ind w:right="-357"/>
        <w:contextualSpacing/>
        <w:jc w:val="both"/>
        <w:rPr>
          <w:rFonts w:ascii="Calibri" w:eastAsia="Times New Roman" w:hAnsi="Calibri" w:cs="David"/>
          <w:color w:val="FF0000"/>
          <w:sz w:val="24"/>
          <w:szCs w:val="24"/>
        </w:rPr>
      </w:pPr>
      <w:r>
        <w:rPr>
          <w:rFonts w:ascii="Calibri" w:eastAsia="Times New Roman" w:hAnsi="Calibri" w:cs="David" w:hint="cs"/>
          <w:color w:val="FF0000"/>
          <w:sz w:val="24"/>
          <w:szCs w:val="24"/>
          <w:rtl/>
        </w:rPr>
        <w:t>הפרה של חיים את ההתחייבות לסיים את העבודה תוך 45 יום.</w:t>
      </w:r>
    </w:p>
    <w:p w14:paraId="7193B034" w14:textId="77777777" w:rsidR="00AE473F" w:rsidRPr="00AE473F" w:rsidRDefault="00932FEB" w:rsidP="00AE473F">
      <w:pPr>
        <w:numPr>
          <w:ilvl w:val="0"/>
          <w:numId w:val="1"/>
        </w:numPr>
        <w:spacing w:after="120" w:line="360" w:lineRule="auto"/>
        <w:ind w:right="-357"/>
        <w:contextualSpacing/>
        <w:jc w:val="both"/>
        <w:rPr>
          <w:rFonts w:ascii="Calibri" w:eastAsia="Times New Roman" w:hAnsi="Calibri" w:cs="David"/>
          <w:color w:val="FF0000"/>
          <w:sz w:val="24"/>
          <w:szCs w:val="24"/>
          <w:rtl/>
        </w:rPr>
      </w:pPr>
      <w:r>
        <w:rPr>
          <w:rFonts w:ascii="Calibri" w:eastAsia="Times New Roman" w:hAnsi="Calibri" w:cs="David" w:hint="cs"/>
          <w:color w:val="FF0000"/>
          <w:sz w:val="24"/>
          <w:szCs w:val="24"/>
          <w:rtl/>
        </w:rPr>
        <w:t>מדובר</w:t>
      </w:r>
      <w:r w:rsidR="00AE473F" w:rsidRPr="00AE473F">
        <w:rPr>
          <w:rFonts w:ascii="Calibri" w:eastAsia="Times New Roman" w:hAnsi="Calibri" w:cs="David" w:hint="cs"/>
          <w:color w:val="FF0000"/>
          <w:sz w:val="24"/>
          <w:szCs w:val="24"/>
          <w:rtl/>
        </w:rPr>
        <w:t xml:space="preserve"> </w:t>
      </w:r>
      <w:r>
        <w:rPr>
          <w:rFonts w:ascii="Calibri" w:eastAsia="Times New Roman" w:hAnsi="Calibri" w:cs="David" w:hint="cs"/>
          <w:color w:val="FF0000"/>
          <w:sz w:val="24"/>
          <w:szCs w:val="24"/>
          <w:rtl/>
        </w:rPr>
        <w:t>ב</w:t>
      </w:r>
      <w:r w:rsidR="00AE473F" w:rsidRPr="00AE473F">
        <w:rPr>
          <w:rFonts w:ascii="Calibri" w:eastAsia="Times New Roman" w:hAnsi="Calibri" w:cs="David" w:hint="cs"/>
          <w:color w:val="FF0000"/>
          <w:sz w:val="24"/>
          <w:szCs w:val="24"/>
          <w:rtl/>
        </w:rPr>
        <w:t>הפרה צפויה</w:t>
      </w:r>
      <w:r>
        <w:rPr>
          <w:rFonts w:ascii="Calibri" w:eastAsia="Times New Roman" w:hAnsi="Calibri" w:cs="David" w:hint="cs"/>
          <w:color w:val="FF0000"/>
          <w:sz w:val="24"/>
          <w:szCs w:val="24"/>
          <w:rtl/>
        </w:rPr>
        <w:t xml:space="preserve"> לפי סעיף 17 לחוק, שכן שמואלה ידעה שבועיים לפני המועד האחרון לסיום העבודה כי תהיה הפרה.</w:t>
      </w:r>
    </w:p>
    <w:p w14:paraId="49DBB2B3" w14:textId="77777777" w:rsidR="00932FEB" w:rsidRDefault="00AE473F" w:rsidP="00932FEB">
      <w:pPr>
        <w:numPr>
          <w:ilvl w:val="0"/>
          <w:numId w:val="1"/>
        </w:numPr>
        <w:spacing w:after="120" w:line="360" w:lineRule="auto"/>
        <w:ind w:right="-357"/>
        <w:contextualSpacing/>
        <w:jc w:val="both"/>
        <w:rPr>
          <w:rFonts w:ascii="Calibri" w:eastAsia="Times New Roman" w:hAnsi="Calibri" w:cs="David"/>
          <w:color w:val="FF0000"/>
          <w:sz w:val="24"/>
          <w:szCs w:val="24"/>
        </w:rPr>
      </w:pPr>
      <w:r w:rsidRPr="00AE473F">
        <w:rPr>
          <w:rFonts w:ascii="Calibri" w:eastAsia="Times New Roman" w:hAnsi="Calibri" w:cs="David" w:hint="cs"/>
          <w:color w:val="FF0000"/>
          <w:sz w:val="24"/>
          <w:szCs w:val="24"/>
          <w:rtl/>
        </w:rPr>
        <w:t>דיון ב</w:t>
      </w:r>
      <w:r w:rsidR="00932FEB">
        <w:rPr>
          <w:rFonts w:ascii="Calibri" w:eastAsia="Times New Roman" w:hAnsi="Calibri" w:cs="David" w:hint="cs"/>
          <w:color w:val="FF0000"/>
          <w:sz w:val="24"/>
          <w:szCs w:val="24"/>
          <w:rtl/>
        </w:rPr>
        <w:t>טענת ה</w:t>
      </w:r>
      <w:r w:rsidRPr="00AE473F">
        <w:rPr>
          <w:rFonts w:ascii="Calibri" w:eastAsia="Times New Roman" w:hAnsi="Calibri" w:cs="David" w:hint="cs"/>
          <w:color w:val="FF0000"/>
          <w:sz w:val="24"/>
          <w:szCs w:val="24"/>
          <w:rtl/>
        </w:rPr>
        <w:t>סיכול</w:t>
      </w:r>
      <w:r w:rsidR="00932FEB">
        <w:rPr>
          <w:rFonts w:ascii="Calibri" w:eastAsia="Times New Roman" w:hAnsi="Calibri" w:cs="David" w:hint="cs"/>
          <w:color w:val="FF0000"/>
          <w:sz w:val="24"/>
          <w:szCs w:val="24"/>
          <w:rtl/>
        </w:rPr>
        <w:t xml:space="preserve"> של חיים</w:t>
      </w:r>
      <w:r w:rsidRPr="00AE473F">
        <w:rPr>
          <w:rFonts w:ascii="Calibri" w:eastAsia="Times New Roman" w:hAnsi="Calibri" w:cs="David" w:hint="cs"/>
          <w:color w:val="FF0000"/>
          <w:sz w:val="24"/>
          <w:szCs w:val="24"/>
          <w:rtl/>
        </w:rPr>
        <w:t xml:space="preserve"> – </w:t>
      </w:r>
      <w:r w:rsidR="00932FEB">
        <w:rPr>
          <w:rFonts w:ascii="Calibri" w:eastAsia="Times New Roman" w:hAnsi="Calibri" w:cs="David" w:hint="cs"/>
          <w:color w:val="FF0000"/>
          <w:sz w:val="24"/>
          <w:szCs w:val="24"/>
          <w:rtl/>
        </w:rPr>
        <w:t xml:space="preserve">נסיבות </w:t>
      </w:r>
      <w:r w:rsidRPr="00AE473F">
        <w:rPr>
          <w:rFonts w:ascii="Calibri" w:eastAsia="Times New Roman" w:hAnsi="Calibri" w:cs="David" w:hint="cs"/>
          <w:color w:val="FF0000"/>
          <w:sz w:val="24"/>
          <w:szCs w:val="24"/>
          <w:rtl/>
        </w:rPr>
        <w:t>הפציעה של חיים.</w:t>
      </w:r>
      <w:r w:rsidR="00932FEB">
        <w:rPr>
          <w:rFonts w:ascii="Calibri" w:eastAsia="Times New Roman" w:hAnsi="Calibri" w:cs="David" w:hint="cs"/>
          <w:color w:val="FF0000"/>
          <w:sz w:val="24"/>
          <w:szCs w:val="24"/>
          <w:rtl/>
        </w:rPr>
        <w:t xml:space="preserve"> ככל הנראה לא תתקבל הטענה.</w:t>
      </w:r>
    </w:p>
    <w:p w14:paraId="0C6367F4" w14:textId="77777777" w:rsidR="00932FEB" w:rsidRDefault="00932FEB" w:rsidP="00932FEB">
      <w:pPr>
        <w:numPr>
          <w:ilvl w:val="0"/>
          <w:numId w:val="1"/>
        </w:numPr>
        <w:spacing w:after="120" w:line="360" w:lineRule="auto"/>
        <w:ind w:right="-357"/>
        <w:contextualSpacing/>
        <w:jc w:val="both"/>
        <w:rPr>
          <w:rFonts w:ascii="Calibri" w:eastAsia="Times New Roman" w:hAnsi="Calibri" w:cs="David"/>
          <w:color w:val="FF0000"/>
          <w:sz w:val="24"/>
          <w:szCs w:val="24"/>
        </w:rPr>
      </w:pPr>
      <w:r>
        <w:rPr>
          <w:rFonts w:ascii="Calibri" w:eastAsia="Times New Roman" w:hAnsi="Calibri" w:cs="David" w:hint="cs"/>
          <w:color w:val="FF0000"/>
          <w:sz w:val="24"/>
          <w:szCs w:val="24"/>
          <w:rtl/>
        </w:rPr>
        <w:t>סעדים:</w:t>
      </w:r>
    </w:p>
    <w:p w14:paraId="5C97B6D5" w14:textId="77777777" w:rsidR="00932FEB" w:rsidRDefault="00AE473F" w:rsidP="00932FEB">
      <w:pPr>
        <w:spacing w:after="120" w:line="360" w:lineRule="auto"/>
        <w:ind w:left="720" w:right="-357"/>
        <w:contextualSpacing/>
        <w:jc w:val="both"/>
        <w:rPr>
          <w:rFonts w:ascii="Calibri" w:eastAsia="Times New Roman" w:hAnsi="Calibri" w:cs="David"/>
          <w:color w:val="FF0000"/>
          <w:sz w:val="24"/>
          <w:szCs w:val="24"/>
          <w:rtl/>
        </w:rPr>
      </w:pPr>
      <w:r w:rsidRPr="00932FEB">
        <w:rPr>
          <w:rFonts w:ascii="Calibri" w:eastAsia="Times New Roman" w:hAnsi="Calibri" w:cs="David" w:hint="cs"/>
          <w:color w:val="FF0000"/>
          <w:sz w:val="24"/>
          <w:szCs w:val="24"/>
          <w:rtl/>
        </w:rPr>
        <w:t>אכ</w:t>
      </w:r>
      <w:r w:rsidR="00932FEB">
        <w:rPr>
          <w:rFonts w:ascii="Calibri" w:eastAsia="Times New Roman" w:hAnsi="Calibri" w:cs="David" w:hint="cs"/>
          <w:color w:val="FF0000"/>
          <w:sz w:val="24"/>
          <w:szCs w:val="24"/>
          <w:rtl/>
        </w:rPr>
        <w:t>יפה – אינה אפשרית, עבודה אישית (ס' 3 לחוק);</w:t>
      </w:r>
    </w:p>
    <w:p w14:paraId="434DF640" w14:textId="77777777" w:rsidR="00932FEB" w:rsidRDefault="00932FEB" w:rsidP="00932FEB">
      <w:pPr>
        <w:spacing w:after="120" w:line="360" w:lineRule="auto"/>
        <w:ind w:left="720" w:right="-357"/>
        <w:contextualSpacing/>
        <w:jc w:val="both"/>
        <w:rPr>
          <w:rFonts w:ascii="Calibri" w:eastAsia="Times New Roman" w:hAnsi="Calibri" w:cs="David"/>
          <w:color w:val="FF0000"/>
          <w:sz w:val="24"/>
          <w:szCs w:val="24"/>
          <w:rtl/>
        </w:rPr>
      </w:pPr>
      <w:r>
        <w:rPr>
          <w:rFonts w:ascii="Calibri" w:eastAsia="Times New Roman" w:hAnsi="Calibri" w:cs="David" w:hint="cs"/>
          <w:color w:val="FF0000"/>
          <w:sz w:val="24"/>
          <w:szCs w:val="24"/>
          <w:rtl/>
        </w:rPr>
        <w:t>ביטול +השבה של מה ששולם. מדובר בהפרה יסודית מוסכמת. שמואלה יכולה להודיע על ביטול תוך זמן סביר.</w:t>
      </w:r>
    </w:p>
    <w:p w14:paraId="20ECCC2B" w14:textId="77777777" w:rsidR="00932FEB" w:rsidRDefault="00AE473F" w:rsidP="00932FEB">
      <w:pPr>
        <w:spacing w:after="120" w:line="360" w:lineRule="auto"/>
        <w:ind w:left="720" w:right="-357"/>
        <w:contextualSpacing/>
        <w:jc w:val="both"/>
        <w:rPr>
          <w:rFonts w:ascii="Calibri" w:eastAsia="Times New Roman" w:hAnsi="Calibri" w:cs="David"/>
          <w:color w:val="FF0000"/>
          <w:sz w:val="24"/>
          <w:szCs w:val="24"/>
          <w:rtl/>
        </w:rPr>
      </w:pPr>
      <w:r w:rsidRPr="00932FEB">
        <w:rPr>
          <w:rFonts w:ascii="Calibri" w:eastAsia="Times New Roman" w:hAnsi="Calibri" w:cs="David" w:hint="cs"/>
          <w:color w:val="FF0000"/>
          <w:sz w:val="24"/>
          <w:szCs w:val="24"/>
          <w:rtl/>
        </w:rPr>
        <w:t xml:space="preserve">פיצויים – </w:t>
      </w:r>
      <w:r w:rsidR="00932FEB">
        <w:rPr>
          <w:rFonts w:ascii="Calibri" w:eastAsia="Times New Roman" w:hAnsi="Calibri" w:cs="David" w:hint="cs"/>
          <w:color w:val="FF0000"/>
          <w:sz w:val="24"/>
          <w:szCs w:val="24"/>
          <w:rtl/>
        </w:rPr>
        <w:t xml:space="preserve">בגין </w:t>
      </w:r>
      <w:r w:rsidRPr="00932FEB">
        <w:rPr>
          <w:rFonts w:ascii="Calibri" w:eastAsia="Times New Roman" w:hAnsi="Calibri" w:cs="David" w:hint="cs"/>
          <w:color w:val="FF0000"/>
          <w:sz w:val="24"/>
          <w:szCs w:val="24"/>
          <w:rtl/>
        </w:rPr>
        <w:t>ההפסדים העתידיים</w:t>
      </w:r>
      <w:r w:rsidR="00932FEB">
        <w:rPr>
          <w:rFonts w:ascii="Calibri" w:eastAsia="Times New Roman" w:hAnsi="Calibri" w:cs="David" w:hint="cs"/>
          <w:color w:val="FF0000"/>
          <w:sz w:val="24"/>
          <w:szCs w:val="24"/>
          <w:rtl/>
        </w:rPr>
        <w:t xml:space="preserve"> </w:t>
      </w:r>
      <w:r w:rsidR="00932FEB">
        <w:rPr>
          <w:rFonts w:ascii="Calibri" w:eastAsia="Times New Roman" w:hAnsi="Calibri" w:cs="David"/>
          <w:color w:val="FF0000"/>
          <w:sz w:val="24"/>
          <w:szCs w:val="24"/>
          <w:rtl/>
        </w:rPr>
        <w:t>–</w:t>
      </w:r>
      <w:r w:rsidR="00932FEB">
        <w:rPr>
          <w:rFonts w:ascii="Calibri" w:eastAsia="Times New Roman" w:hAnsi="Calibri" w:cs="David" w:hint="cs"/>
          <w:color w:val="FF0000"/>
          <w:sz w:val="24"/>
          <w:szCs w:val="24"/>
          <w:rtl/>
        </w:rPr>
        <w:t xml:space="preserve"> מכוח ס' 10, יש להוכיח קשר סיבתי וצפיות.</w:t>
      </w:r>
    </w:p>
    <w:p w14:paraId="37615C12" w14:textId="77777777" w:rsidR="00000000" w:rsidRPr="00932FEB" w:rsidRDefault="00AE473F" w:rsidP="00932FEB">
      <w:pPr>
        <w:spacing w:after="120" w:line="360" w:lineRule="auto"/>
        <w:ind w:left="720" w:right="-357"/>
        <w:contextualSpacing/>
        <w:jc w:val="both"/>
        <w:rPr>
          <w:rFonts w:ascii="Calibri" w:eastAsia="Times New Roman" w:hAnsi="Calibri" w:cs="David"/>
          <w:color w:val="FF0000"/>
          <w:sz w:val="24"/>
          <w:szCs w:val="24"/>
        </w:rPr>
      </w:pPr>
      <w:r w:rsidRPr="00932FEB">
        <w:rPr>
          <w:rFonts w:ascii="Calibri" w:eastAsia="Times New Roman" w:hAnsi="Calibri" w:cs="David" w:hint="cs"/>
          <w:color w:val="FF0000"/>
          <w:sz w:val="24"/>
          <w:szCs w:val="24"/>
          <w:rtl/>
        </w:rPr>
        <w:t xml:space="preserve"> </w:t>
      </w:r>
      <w:r w:rsidR="00932FEB">
        <w:rPr>
          <w:rFonts w:ascii="Calibri" w:eastAsia="Times New Roman" w:hAnsi="Calibri" w:cs="David" w:hint="cs"/>
          <w:color w:val="FF0000"/>
          <w:sz w:val="24"/>
          <w:szCs w:val="24"/>
          <w:rtl/>
        </w:rPr>
        <w:t xml:space="preserve">בגין </w:t>
      </w:r>
      <w:r w:rsidRPr="00932FEB">
        <w:rPr>
          <w:rFonts w:ascii="Calibri" w:eastAsia="Times New Roman" w:hAnsi="Calibri" w:cs="David" w:hint="cs"/>
          <w:color w:val="FF0000"/>
          <w:sz w:val="24"/>
          <w:szCs w:val="24"/>
          <w:rtl/>
        </w:rPr>
        <w:t>עגמת נפש</w:t>
      </w:r>
      <w:r w:rsidR="00932FEB">
        <w:rPr>
          <w:rFonts w:ascii="Calibri" w:eastAsia="Times New Roman" w:hAnsi="Calibri" w:cs="David" w:hint="cs"/>
          <w:color w:val="FF0000"/>
          <w:sz w:val="24"/>
          <w:szCs w:val="24"/>
          <w:rtl/>
        </w:rPr>
        <w:t xml:space="preserve"> </w:t>
      </w:r>
      <w:r w:rsidR="00932FEB">
        <w:rPr>
          <w:rFonts w:ascii="Calibri" w:eastAsia="Times New Roman" w:hAnsi="Calibri" w:cs="David"/>
          <w:color w:val="FF0000"/>
          <w:sz w:val="24"/>
          <w:szCs w:val="24"/>
          <w:rtl/>
        </w:rPr>
        <w:t>–</w:t>
      </w:r>
      <w:r w:rsidR="00932FEB">
        <w:rPr>
          <w:rFonts w:ascii="Calibri" w:eastAsia="Times New Roman" w:hAnsi="Calibri" w:cs="David" w:hint="cs"/>
          <w:color w:val="FF0000"/>
          <w:sz w:val="24"/>
          <w:szCs w:val="24"/>
          <w:rtl/>
        </w:rPr>
        <w:t xml:space="preserve"> מכוח ס' 13, גם יש להוכיח קשר סיבתי וצפיות</w:t>
      </w:r>
      <w:r w:rsidRPr="00932FEB">
        <w:rPr>
          <w:rFonts w:ascii="Calibri" w:eastAsia="Times New Roman" w:hAnsi="Calibri" w:cs="David" w:hint="cs"/>
          <w:color w:val="FF0000"/>
          <w:sz w:val="24"/>
          <w:szCs w:val="24"/>
          <w:rtl/>
        </w:rPr>
        <w:t>.</w:t>
      </w:r>
    </w:p>
    <w:sectPr w:rsidR="0088229D" w:rsidRPr="00932FEB" w:rsidSect="00A1272C">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5232C"/>
    <w:multiLevelType w:val="hybridMultilevel"/>
    <w:tmpl w:val="20DA95E8"/>
    <w:lvl w:ilvl="0" w:tplc="2250C214">
      <w:start w:val="1"/>
      <w:numFmt w:val="bullet"/>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16470085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3F"/>
    <w:rsid w:val="003706B7"/>
    <w:rsid w:val="0061659F"/>
    <w:rsid w:val="00813C84"/>
    <w:rsid w:val="00855DE9"/>
    <w:rsid w:val="00932FEB"/>
    <w:rsid w:val="00A1272C"/>
    <w:rsid w:val="00AE47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5FF2"/>
  <w15:docId w15:val="{8DCA003B-B430-44A8-9B1E-9212A3CA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34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1180</Characters>
  <Application>Microsoft Office Word</Application>
  <DocSecurity>0</DocSecurity>
  <Lines>9</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Keren</dc:creator>
  <cp:lastModifiedBy>נדב אשכנזי</cp:lastModifiedBy>
  <cp:revision>2</cp:revision>
  <dcterms:created xsi:type="dcterms:W3CDTF">2026-07-26T13:28:00Z</dcterms:created>
  <dcterms:modified xsi:type="dcterms:W3CDTF">2026-07-26T13:28:00Z</dcterms:modified>
</cp:coreProperties>
</file>